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(Mark One)</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21"/>
          <w:szCs w:val="21"/>
          <w:color w:val="auto"/>
        </w:rPr>
        <w:t>x QUARTERLY REPORT PURSUANT TO SECTION 13 OR 15(d) OF THE SECURITIES EXCHANGE ACT OF 1934</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June 30, 2021</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21"/>
          <w:szCs w:val="21"/>
          <w:color w:val="auto"/>
        </w:rPr>
        <w:t>o TRANSITION REPORT PURSUANT TO SECTION 13 OR 15(d) OF THE SECURITIES EXCHANGE ACT OF 1934</w:t>
      </w:r>
    </w:p>
    <w:p>
      <w:pPr>
        <w:spacing w:after="0" w:line="157"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For the transition period from __________________ to __________________</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001-40379</w:t>
      </w:r>
    </w:p>
    <w:p>
      <w:pPr>
        <w:spacing w:after="0" w:line="128" w:lineRule="exact"/>
        <w:rPr>
          <w:sz w:val="24"/>
          <w:szCs w:val="24"/>
          <w:color w:val="auto"/>
        </w:rPr>
      </w:pPr>
    </w:p>
    <w:p>
      <w:pPr>
        <w:jc w:val="center"/>
        <w:ind w:right="60"/>
        <w:spacing w:after="0"/>
        <w:rPr>
          <w:sz w:val="20"/>
          <w:szCs w:val="20"/>
          <w:color w:val="auto"/>
        </w:rPr>
      </w:pPr>
      <w:r>
        <w:rPr>
          <w:rFonts w:ascii="Arial" w:cs="Arial" w:eastAsia="Arial" w:hAnsi="Arial"/>
          <w:sz w:val="43"/>
          <w:szCs w:val="43"/>
          <w:b w:val="1"/>
          <w:bCs w:val="1"/>
          <w:color w:val="auto"/>
        </w:rPr>
        <w:t>FIVE STAR BANCORP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right="2050"/>
              <w:spacing w:after="0"/>
              <w:rPr>
                <w:sz w:val="20"/>
                <w:szCs w:val="20"/>
                <w:color w:val="auto"/>
              </w:rPr>
            </w:pPr>
            <w:r>
              <w:rPr>
                <w:rFonts w:ascii="Arial" w:cs="Arial" w:eastAsia="Arial" w:hAnsi="Arial"/>
                <w:sz w:val="18"/>
                <w:szCs w:val="18"/>
                <w:color w:val="auto"/>
                <w:w w:val="97"/>
              </w:rPr>
              <w:t>California</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75-3100966</w:t>
            </w:r>
          </w:p>
        </w:tc>
      </w:tr>
      <w:tr>
        <w:trPr>
          <w:trHeight w:val="224"/>
        </w:trPr>
        <w:tc>
          <w:tcPr>
            <w:tcW w:w="6520" w:type="dxa"/>
            <w:vAlign w:val="bottom"/>
            <w:gridSpan w:val="3"/>
          </w:tcPr>
          <w:p>
            <w:pPr>
              <w:jc w:val="center"/>
              <w:ind w:left="12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64"/>
        </w:trPr>
        <w:tc>
          <w:tcPr>
            <w:tcW w:w="2240" w:type="dxa"/>
            <w:vAlign w:val="bottom"/>
          </w:tcPr>
          <w:p>
            <w:pPr>
              <w:ind w:left="360"/>
              <w:spacing w:after="0"/>
              <w:rPr>
                <w:sz w:val="20"/>
                <w:szCs w:val="20"/>
                <w:color w:val="auto"/>
              </w:rPr>
            </w:pPr>
            <w:r>
              <w:rPr>
                <w:rFonts w:ascii="Arial" w:cs="Arial" w:eastAsia="Arial" w:hAnsi="Arial"/>
                <w:sz w:val="18"/>
                <w:szCs w:val="18"/>
                <w:color w:val="auto"/>
              </w:rPr>
              <w:t>3100 Zinfandel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94"/>
              </w:rPr>
              <w:t>Suite 100</w:t>
            </w:r>
          </w:p>
        </w:tc>
        <w:tc>
          <w:tcPr>
            <w:tcW w:w="3000" w:type="dxa"/>
            <w:vAlign w:val="bottom"/>
          </w:tcPr>
          <w:p>
            <w:pPr>
              <w:ind w:left="960"/>
              <w:spacing w:after="0"/>
              <w:rPr>
                <w:sz w:val="20"/>
                <w:szCs w:val="20"/>
                <w:color w:val="auto"/>
              </w:rPr>
            </w:pPr>
            <w:r>
              <w:rPr>
                <w:rFonts w:ascii="Arial" w:cs="Arial" w:eastAsia="Arial" w:hAnsi="Arial"/>
                <w:sz w:val="18"/>
                <w:szCs w:val="18"/>
                <w:color w:val="auto"/>
              </w:rPr>
              <w:t>Rancho Cordova</w:t>
            </w:r>
          </w:p>
        </w:tc>
        <w:tc>
          <w:tcPr>
            <w:tcW w:w="1580" w:type="dxa"/>
            <w:vAlign w:val="bottom"/>
            <w:gridSpan w:val="3"/>
          </w:tcPr>
          <w:p>
            <w:pPr>
              <w:ind w:left="400"/>
              <w:spacing w:after="0"/>
              <w:rPr>
                <w:sz w:val="20"/>
                <w:szCs w:val="20"/>
                <w:color w:val="auto"/>
              </w:rPr>
            </w:pPr>
            <w:r>
              <w:rPr>
                <w:rFonts w:ascii="Arial" w:cs="Arial" w:eastAsia="Arial" w:hAnsi="Arial"/>
                <w:sz w:val="18"/>
                <w:szCs w:val="18"/>
                <w:color w:val="auto"/>
              </w:rPr>
              <w:t>CA</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95670</w:t>
            </w:r>
          </w:p>
        </w:tc>
      </w:tr>
      <w:tr>
        <w:trPr>
          <w:trHeight w:val="224"/>
        </w:trPr>
        <w:tc>
          <w:tcPr>
            <w:tcW w:w="224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gridSpan w:val="2"/>
          </w:tcPr>
          <w:p>
            <w:pPr>
              <w:jc w:val="center"/>
              <w:ind w:right="750"/>
              <w:spacing w:after="0"/>
              <w:rPr>
                <w:sz w:val="20"/>
                <w:szCs w:val="20"/>
                <w:color w:val="auto"/>
              </w:rPr>
            </w:pPr>
            <w:r>
              <w:rPr>
                <w:rFonts w:ascii="Arial" w:cs="Arial" w:eastAsia="Arial" w:hAnsi="Arial"/>
                <w:sz w:val="18"/>
                <w:szCs w:val="18"/>
                <w:color w:val="auto"/>
                <w:w w:val="93"/>
              </w:rPr>
              <w:t>(Address of principal executive office)</w:t>
            </w: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20"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(916) 626-5000</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(Former name, former address and formal fiscal year, if changed since last report)</w:t>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12(b) of the Act:</w:t>
      </w:r>
    </w:p>
    <w:p>
      <w:pPr>
        <w:spacing w:after="0" w:line="17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no par value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FSBC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143"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6"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40" w:type="dxa"/>
            <w:vAlign w:val="bottom"/>
          </w:tcPr>
          <w:p>
            <w:pPr>
              <w:ind w:left="1200"/>
              <w:spacing w:after="0"/>
              <w:rPr>
                <w:sz w:val="20"/>
                <w:szCs w:val="20"/>
                <w:color w:val="auto"/>
              </w:rPr>
            </w:pPr>
            <w:r>
              <w:rPr>
                <w:rFonts w:ascii="Arial" w:cs="Arial" w:eastAsia="Arial" w:hAnsi="Arial"/>
                <w:sz w:val="18"/>
                <w:szCs w:val="18"/>
                <w:color w:val="auto"/>
              </w:rPr>
              <w:t>o</w:t>
            </w:r>
          </w:p>
        </w:tc>
        <w:tc>
          <w:tcPr>
            <w:tcW w:w="40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80"/>
              <w:spacing w:after="0"/>
              <w:rPr>
                <w:sz w:val="20"/>
                <w:szCs w:val="20"/>
                <w:color w:val="auto"/>
              </w:rPr>
            </w:pPr>
            <w:r>
              <w:rPr>
                <w:rFonts w:ascii="Arial" w:cs="Arial" w:eastAsia="Arial" w:hAnsi="Arial"/>
                <w:sz w:val="18"/>
                <w:szCs w:val="18"/>
                <w:color w:val="auto"/>
                <w:w w:val="79"/>
              </w:rPr>
              <w:t>o</w:t>
            </w: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440" w:type="dxa"/>
            <w:vAlign w:val="bottom"/>
          </w:tcPr>
          <w:p>
            <w:pPr>
              <w:ind w:left="1200"/>
              <w:spacing w:after="0"/>
              <w:rPr>
                <w:sz w:val="20"/>
                <w:szCs w:val="20"/>
                <w:color w:val="auto"/>
              </w:rPr>
            </w:pPr>
            <w:r>
              <w:rPr>
                <w:rFonts w:ascii="Arial" w:cs="Arial" w:eastAsia="Arial" w:hAnsi="Arial"/>
                <w:sz w:val="18"/>
                <w:szCs w:val="18"/>
                <w:color w:val="auto"/>
              </w:rPr>
              <w:t>x</w:t>
            </w:r>
          </w:p>
        </w:tc>
        <w:tc>
          <w:tcPr>
            <w:tcW w:w="40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80"/>
              <w:spacing w:after="0"/>
              <w:rPr>
                <w:sz w:val="20"/>
                <w:szCs w:val="20"/>
                <w:color w:val="auto"/>
              </w:rPr>
            </w:pPr>
            <w:r>
              <w:rPr>
                <w:rFonts w:ascii="Arial" w:cs="Arial" w:eastAsia="Arial" w:hAnsi="Arial"/>
                <w:sz w:val="18"/>
                <w:szCs w:val="18"/>
                <w:color w:val="auto"/>
                <w:w w:val="88"/>
              </w:rPr>
              <w:t>x</w:t>
            </w: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40" w:type="dxa"/>
            <w:vAlign w:val="bottom"/>
          </w:tcPr>
          <w:p>
            <w:pPr>
              <w:ind w:left="1200"/>
              <w:spacing w:after="0"/>
              <w:rPr>
                <w:sz w:val="20"/>
                <w:szCs w:val="20"/>
                <w:color w:val="auto"/>
              </w:rPr>
            </w:pPr>
            <w:r>
              <w:rPr>
                <w:rFonts w:ascii="Arial" w:cs="Arial" w:eastAsia="Arial" w:hAnsi="Arial"/>
                <w:sz w:val="18"/>
                <w:szCs w:val="18"/>
                <w:color w:val="auto"/>
              </w:rPr>
              <w:t>x</w:t>
            </w:r>
          </w:p>
        </w:tc>
        <w:tc>
          <w:tcPr>
            <w:tcW w:w="408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16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As of August 9, 2021, there were 17,225,508 shares of the registrant’s common stock, no par value, outstanding.</w:t>
      </w:r>
    </w:p>
    <w:p>
      <w:pPr>
        <w:sectPr>
          <w:pgSz w:w="11900" w:h="16838" w:orient="portrait"/>
          <w:cols w:equalWidth="0" w:num="1">
            <w:col w:w="11260"/>
          </w:cols>
          <w:pgMar w:left="320" w:top="225" w:right="319" w:bottom="1440" w:gutter="0" w:footer="0" w:header="0"/>
        </w:sect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Comprehensive Income</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Changes in Shareholders’ Equity</w:t>
              </w:r>
            </w:hyperlink>
          </w:p>
        </w:tc>
        <w:tc>
          <w:tcPr>
            <w:tcW w:w="1820" w:type="dxa"/>
            <w:vAlign w:val="bottom"/>
            <w:gridSpan w:val="5"/>
            <w:shd w:val="clear" w:color="auto" w:fill="CCEEFF"/>
          </w:tcPr>
          <w:p>
            <w:pPr>
              <w:jc w:val="center"/>
              <w:ind w:left="1570"/>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8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1840" w:type="dxa"/>
            <w:vAlign w:val="bottom"/>
            <w:gridSpan w:val="6"/>
            <w:shd w:val="clear" w:color="auto" w:fill="CCEEFF"/>
          </w:tcPr>
          <w:p>
            <w:pPr>
              <w:jc w:val="center"/>
              <w:ind w:left="1550"/>
              <w:spacing w:after="0" w:line="17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 About Market Risk</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Unregistered Sales of Equity Securities and Use of Proceeds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Defaults Upon Senior Securities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Mine Safety Disclosures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080" w:type="dxa"/>
            <w:vAlign w:val="bottom"/>
            <w:gridSpan w:val="20"/>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Exhibits</w:t>
              </w:r>
            </w:hyperlink>
          </w:p>
        </w:tc>
        <w:tc>
          <w:tcPr>
            <w:tcW w:w="1880" w:type="dxa"/>
            <w:vAlign w:val="bottom"/>
            <w:gridSpan w:val="7"/>
            <w:shd w:val="clear" w:color="auto" w:fill="CCEEFF"/>
          </w:tcPr>
          <w:p>
            <w:pPr>
              <w:jc w:val="center"/>
              <w:ind w:left="1530"/>
              <w:spacing w:after="0" w:line="17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14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SIGNATURES</w:t>
              </w:r>
            </w:hyperlink>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20" w:type="dxa"/>
            <w:vAlign w:val="bottom"/>
            <w:gridSpan w:val="8"/>
            <w:shd w:val="clear" w:color="auto" w:fill="CCEEFF"/>
          </w:tcPr>
          <w:p>
            <w:pPr>
              <w:jc w:val="center"/>
              <w:ind w:left="1370"/>
              <w:spacing w:after="0" w:line="17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r>
      <w:tr>
        <w:trPr>
          <w:trHeight w:val="453"/>
        </w:trPr>
        <w:tc>
          <w:tcPr>
            <w:tcW w:w="110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CCEEFF"/>
              <w:bottom w:val="single" w:sz="8" w:color="DCDCDC"/>
            </w:tcBorders>
          </w:tcPr>
          <w:p>
            <w:pPr>
              <w:spacing w:after="0"/>
              <w:rPr>
                <w:sz w:val="24"/>
                <w:szCs w:val="24"/>
                <w:color w:val="auto"/>
              </w:rPr>
            </w:pPr>
          </w:p>
        </w:tc>
        <w:tc>
          <w:tcPr>
            <w:tcW w:w="4560" w:type="dxa"/>
            <w:vAlign w:val="bottom"/>
            <w:tcBorders>
              <w:top w:val="single" w:sz="8" w:color="CCEEFF"/>
              <w:bottom w:val="single" w:sz="8" w:color="DCDCDC"/>
            </w:tcBorders>
            <w:gridSpan w:val="18"/>
          </w:tcPr>
          <w:p>
            <w:pPr>
              <w:ind w:left="4440"/>
              <w:spacing w:after="0"/>
              <w:rPr>
                <w:sz w:val="20"/>
                <w:szCs w:val="20"/>
                <w:color w:val="auto"/>
              </w:rPr>
            </w:pPr>
            <w:r>
              <w:rPr>
                <w:rFonts w:ascii="Arial" w:cs="Arial" w:eastAsia="Arial" w:hAnsi="Arial"/>
                <w:sz w:val="18"/>
                <w:szCs w:val="18"/>
                <w:color w:val="auto"/>
                <w:w w:val="99"/>
              </w:rPr>
              <w:t>2</w:t>
            </w:r>
          </w:p>
        </w:tc>
        <w:tc>
          <w:tcPr>
            <w:tcW w:w="1900" w:type="dxa"/>
            <w:vAlign w:val="bottom"/>
            <w:tcBorders>
              <w:top w:val="single" w:sz="8" w:color="CCEEFF"/>
              <w:bottom w:val="single" w:sz="8" w:color="DCDCDC"/>
            </w:tcBorders>
          </w:tcPr>
          <w:p>
            <w:pPr>
              <w:spacing w:after="0"/>
              <w:rPr>
                <w:sz w:val="24"/>
                <w:szCs w:val="24"/>
                <w:color w:val="auto"/>
              </w:rPr>
            </w:pPr>
          </w:p>
        </w:tc>
        <w:tc>
          <w:tcPr>
            <w:tcW w:w="1620" w:type="dxa"/>
            <w:vAlign w:val="bottom"/>
            <w:tcBorders>
              <w:top w:val="single" w:sz="8" w:color="CCEEFF"/>
              <w:bottom w:val="single" w:sz="8" w:color="DCDCDC"/>
            </w:tcBorders>
          </w:tcPr>
          <w:p>
            <w:pPr>
              <w:spacing w:after="0"/>
              <w:rPr>
                <w:sz w:val="24"/>
                <w:szCs w:val="24"/>
                <w:color w:val="auto"/>
              </w:rPr>
            </w:pPr>
          </w:p>
        </w:tc>
        <w:tc>
          <w:tcPr>
            <w:tcW w:w="1600" w:type="dxa"/>
            <w:vAlign w:val="bottom"/>
            <w:tcBorders>
              <w:top w:val="single" w:sz="8" w:color="CCEEFF"/>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140" w:type="dxa"/>
            <w:vAlign w:val="bottom"/>
            <w:tcBorders>
              <w:top w:val="single" w:sz="8" w:color="CCEEFF"/>
              <w:bottom w:val="single" w:sz="8" w:color="DCDCDC"/>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94" w:lineRule="exact"/>
        <w:rPr>
          <w:sz w:val="20"/>
          <w:szCs w:val="20"/>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 including as a result of the coronavirus, and variants thereof, including the Delta variant (“COVID-19”), pandemic;</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of significant natural disasters, including fires and earthquakes;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impact of the COVID-19 pandemic on our business and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market interest rates that affect the pricing of our loans and deposits and our net interest income;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satisfy minimum regulatory capital levels;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effects of increased competition from a wide variety of local, regional, national, and other providers of financial and investment services;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Board of Governors of the Federal Reserve System;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800" w:hanging="401"/>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that are discussed in the sections entitled “Management’s Discussion and Analysis of Financial Condition and Results of Operations” and “Risk Factors.”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factors should not be considered exhaustive and should be read together with other cautionary statements that are included in this report, including those discussed in the section entitled “Risk Factors.” Additional factors that could cause results or performance to materially differ from those expressed in our forward-looking statements are detailed in the section entitled “Risk Factors” of our Registration Statement on Form S-1, which was declared effective by the U.S. Securities and Exchange Commission (“SEC”) on May 4, 2021, and our Quarterly Report on Form 10-Q for the quarter ended March 31, 2021,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8220" w:type="dxa"/>
            <w:vAlign w:val="bottom"/>
          </w:tcPr>
          <w:p>
            <w:pPr>
              <w:jc w:val="center"/>
              <w:ind w:left="2950"/>
              <w:spacing w:after="0"/>
              <w:rPr>
                <w:sz w:val="20"/>
                <w:szCs w:val="20"/>
                <w:color w:val="auto"/>
              </w:rPr>
            </w:pPr>
            <w:r>
              <w:rPr>
                <w:rFonts w:ascii="Arial" w:cs="Arial" w:eastAsia="Arial" w:hAnsi="Arial"/>
                <w:sz w:val="18"/>
                <w:szCs w:val="18"/>
                <w:b w:val="1"/>
                <w:bCs w:val="1"/>
                <w:color w:val="auto"/>
                <w:w w:val="98"/>
              </w:rPr>
              <w:t>FIVE STAR BANCORP AND SUBSIDIARY</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89"/>
              </w:rPr>
              <w:t>As of June 30, 2021 and December 31, 2020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220" w:type="dxa"/>
            <w:vAlign w:val="bottom"/>
          </w:tcPr>
          <w:p>
            <w:pPr>
              <w:jc w:val="center"/>
              <w:ind w:left="2930"/>
              <w:spacing w:after="0"/>
              <w:rPr>
                <w:sz w:val="20"/>
                <w:szCs w:val="20"/>
                <w:color w:val="auto"/>
              </w:rPr>
            </w:pPr>
            <w:r>
              <w:rPr>
                <w:rFonts w:ascii="Arial" w:cs="Arial" w:eastAsia="Arial" w:hAnsi="Arial"/>
                <w:sz w:val="18"/>
                <w:szCs w:val="18"/>
                <w:color w:val="auto"/>
                <w:w w:val="87"/>
              </w:rPr>
              <w:t>(In thousands, except share and per share data)</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8"/>
        </w:trPr>
        <w:tc>
          <w:tcPr>
            <w:tcW w:w="8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June 30,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financial institutions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165,927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46,028</w:t>
            </w: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370,677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244,465</w:t>
            </w:r>
          </w:p>
        </w:tc>
        <w:tc>
          <w:tcPr>
            <w:tcW w:w="80" w:type="dxa"/>
            <w:vAlign w:val="bottom"/>
          </w:tcPr>
          <w:p>
            <w:pPr>
              <w:spacing w:after="0"/>
              <w:rPr>
                <w:sz w:val="19"/>
                <w:szCs w:val="19"/>
                <w:color w:val="auto"/>
              </w:rPr>
            </w:pPr>
          </w:p>
        </w:tc>
      </w:tr>
      <w:tr>
        <w:trPr>
          <w:trHeight w:val="209"/>
        </w:trPr>
        <w:tc>
          <w:tcPr>
            <w:tcW w:w="8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536,604</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in banks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23,705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Securities – available-for-sale, at fair value</w:t>
            </w:r>
          </w:p>
        </w:tc>
        <w:tc>
          <w:tcPr>
            <w:tcW w:w="1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160,074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114,949</w:t>
            </w: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Securities – held-to-maturity, at amortized cost (fair value of $6,858 and $8,755 at June 30, 2021 and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7,979</w:t>
            </w:r>
          </w:p>
        </w:tc>
        <w:tc>
          <w:tcPr>
            <w:tcW w:w="80" w:type="dxa"/>
            <w:vAlign w:val="bottom"/>
            <w:shd w:val="clear" w:color="auto" w:fill="CCEEFF"/>
          </w:tcPr>
          <w:p>
            <w:pPr>
              <w:spacing w:after="0"/>
              <w:rPr>
                <w:sz w:val="20"/>
                <w:szCs w:val="20"/>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4,820</w:t>
            </w:r>
          </w:p>
        </w:tc>
        <w:tc>
          <w:tcPr>
            <w:tcW w:w="80" w:type="dxa"/>
            <w:vAlign w:val="bottom"/>
          </w:tcPr>
          <w:p>
            <w:pPr>
              <w:spacing w:after="0"/>
              <w:rPr>
                <w:sz w:val="18"/>
                <w:szCs w:val="18"/>
                <w:color w:val="auto"/>
              </w:rPr>
            </w:pP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Loans, net of allowance for loan losses of $22,153 and $22,189 at June 30, 2021 and December 31, 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1,563,309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1,480,970</w:t>
            </w:r>
          </w:p>
        </w:tc>
        <w:tc>
          <w:tcPr>
            <w:tcW w:w="80" w:type="dxa"/>
            <w:vAlign w:val="bottom"/>
            <w:shd w:val="clear" w:color="auto" w:fill="CCEEFF"/>
          </w:tcPr>
          <w:p>
            <w:pPr>
              <w:spacing w:after="0"/>
              <w:rPr>
                <w:sz w:val="20"/>
                <w:szCs w:val="20"/>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Federal Home Loan Bank of San Francisco (“FHLB”) stock</w:t>
            </w:r>
          </w:p>
        </w:tc>
        <w:tc>
          <w:tcPr>
            <w:tcW w:w="1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6,723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6,232</w:t>
            </w:r>
          </w:p>
        </w:tc>
        <w:tc>
          <w:tcPr>
            <w:tcW w:w="80" w:type="dxa"/>
            <w:vAlign w:val="bottom"/>
          </w:tcPr>
          <w:p>
            <w:pPr>
              <w:spacing w:after="0"/>
              <w:rPr>
                <w:sz w:val="18"/>
                <w:szCs w:val="18"/>
                <w:color w:val="auto"/>
              </w:rPr>
            </w:pP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Premises and equipment, net of accumulated depreciation of $3,686 and $3,421 at June 30, 2021 and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w:t>
            </w:r>
          </w:p>
        </w:tc>
        <w:tc>
          <w:tcPr>
            <w:tcW w:w="80" w:type="dxa"/>
            <w:vAlign w:val="bottom"/>
            <w:shd w:val="clear" w:color="auto" w:fill="CCEEFF"/>
          </w:tcPr>
          <w:p>
            <w:pPr>
              <w:spacing w:after="0"/>
              <w:rPr>
                <w:sz w:val="20"/>
                <w:szCs w:val="20"/>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11,074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8,662</w:t>
            </w:r>
          </w:p>
        </w:tc>
        <w:tc>
          <w:tcPr>
            <w:tcW w:w="80" w:type="dxa"/>
            <w:vAlign w:val="bottom"/>
          </w:tcPr>
          <w:p>
            <w:pPr>
              <w:spacing w:after="0"/>
              <w:rPr>
                <w:sz w:val="18"/>
                <w:szCs w:val="18"/>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and other assets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14,292</w:t>
            </w:r>
          </w:p>
        </w:tc>
      </w:tr>
      <w:tr>
        <w:trPr>
          <w:trHeight w:val="263"/>
        </w:trPr>
        <w:tc>
          <w:tcPr>
            <w:tcW w:w="8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2,327,867</w:t>
            </w: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1,953,765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829,036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695,687</w:t>
            </w:r>
          </w:p>
        </w:tc>
        <w:tc>
          <w:tcPr>
            <w:tcW w:w="80" w:type="dxa"/>
            <w:vAlign w:val="bottom"/>
            <w:shd w:val="clear" w:color="auto" w:fill="CCEEFF"/>
          </w:tcPr>
          <w:p>
            <w:pPr>
              <w:spacing w:after="0"/>
              <w:rPr>
                <w:sz w:val="18"/>
                <w:szCs w:val="18"/>
                <w:color w:val="auto"/>
              </w:rPr>
            </w:pPr>
          </w:p>
        </w:tc>
      </w:tr>
      <w:tr>
        <w:trPr>
          <w:trHeight w:val="230"/>
        </w:trPr>
        <w:tc>
          <w:tcPr>
            <w:tcW w:w="822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1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1,237,249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1,088,314</w:t>
            </w:r>
          </w:p>
        </w:tc>
        <w:tc>
          <w:tcPr>
            <w:tcW w:w="80" w:type="dxa"/>
            <w:vAlign w:val="bottom"/>
          </w:tcPr>
          <w:p>
            <w:pPr>
              <w:spacing w:after="0"/>
              <w:rPr>
                <w:sz w:val="19"/>
                <w:szCs w:val="19"/>
                <w:color w:val="auto"/>
              </w:rPr>
            </w:pPr>
          </w:p>
        </w:tc>
      </w:tr>
      <w:tr>
        <w:trPr>
          <w:trHeight w:val="210"/>
        </w:trPr>
        <w:tc>
          <w:tcPr>
            <w:tcW w:w="8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2,066,285</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28,320</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Interest payable and other liabilities</w:t>
            </w:r>
          </w:p>
        </w:tc>
        <w:tc>
          <w:tcPr>
            <w:tcW w:w="1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14,915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7,669</w:t>
            </w:r>
          </w:p>
        </w:tc>
        <w:tc>
          <w:tcPr>
            <w:tcW w:w="80" w:type="dxa"/>
            <w:vAlign w:val="bottom"/>
          </w:tcPr>
          <w:p>
            <w:pPr>
              <w:spacing w:after="0"/>
              <w:rPr>
                <w:sz w:val="19"/>
                <w:szCs w:val="19"/>
                <w:color w:val="auto"/>
              </w:rPr>
            </w:pPr>
          </w:p>
        </w:tc>
      </w:tr>
      <w:tr>
        <w:trPr>
          <w:trHeight w:val="210"/>
        </w:trPr>
        <w:tc>
          <w:tcPr>
            <w:tcW w:w="8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2,109,553</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22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no par value; 50,000,000 shares authorized; 17,225,508 shares issued and outstanding as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20" w:type="dxa"/>
            <w:vAlign w:val="bottom"/>
          </w:tcPr>
          <w:p>
            <w:pPr>
              <w:ind w:left="320"/>
              <w:spacing w:after="0"/>
              <w:rPr>
                <w:sz w:val="20"/>
                <w:szCs w:val="20"/>
                <w:color w:val="auto"/>
              </w:rPr>
            </w:pPr>
            <w:r>
              <w:rPr>
                <w:rFonts w:ascii="Arial" w:cs="Arial" w:eastAsia="Arial" w:hAnsi="Arial"/>
                <w:sz w:val="18"/>
                <w:szCs w:val="18"/>
                <w:color w:val="auto"/>
              </w:rPr>
              <w:t>of June 30, 2021; 11,000,273 shares issued and outstanding as of December 31, 2020</w:t>
            </w:r>
          </w:p>
        </w:tc>
        <w:tc>
          <w:tcPr>
            <w:tcW w:w="1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218,026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110,082</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22,348</w:t>
            </w:r>
          </w:p>
        </w:tc>
      </w:tr>
      <w:tr>
        <w:trPr>
          <w:trHeight w:val="229"/>
        </w:trPr>
        <w:tc>
          <w:tcPr>
            <w:tcW w:w="82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net</w:t>
            </w:r>
          </w:p>
        </w:tc>
        <w:tc>
          <w:tcPr>
            <w:tcW w:w="1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r>
      <w:tr>
        <w:trPr>
          <w:trHeight w:val="210"/>
        </w:trPr>
        <w:tc>
          <w:tcPr>
            <w:tcW w:w="8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218,314</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2,327,867</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1,953,765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ind w:left="300"/>
              <w:spacing w:after="0"/>
              <w:rPr>
                <w:sz w:val="20"/>
                <w:szCs w:val="20"/>
                <w:color w:val="auto"/>
              </w:rPr>
            </w:pPr>
            <w:r>
              <w:rPr>
                <w:rFonts w:ascii="Arial" w:cs="Arial" w:eastAsia="Arial" w:hAnsi="Arial"/>
                <w:sz w:val="18"/>
                <w:szCs w:val="18"/>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ind w:left="340"/>
              <w:spacing w:after="0"/>
              <w:rPr>
                <w:sz w:val="20"/>
                <w:szCs w:val="20"/>
                <w:color w:val="auto"/>
              </w:rPr>
            </w:pPr>
            <w:r>
              <w:rPr>
                <w:rFonts w:ascii="Arial" w:cs="Arial" w:eastAsia="Arial" w:hAnsi="Arial"/>
                <w:sz w:val="18"/>
                <w:szCs w:val="18"/>
                <w:color w:val="auto"/>
              </w:rPr>
              <w:t>For the six months</w:t>
            </w:r>
          </w:p>
        </w:tc>
      </w:tr>
      <w:tr>
        <w:trPr>
          <w:trHeight w:val="229"/>
        </w:trPr>
        <w:tc>
          <w:tcPr>
            <w:tcW w:w="4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ended June 30,</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ended June 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2020</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18,626</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17,523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37,239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33,584</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securities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Nontaxable securities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30"/>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r>
      <w:tr>
        <w:trPr>
          <w:trHeight w:val="209"/>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18,285</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38,498</w:t>
            </w: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35,304</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2,259</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1,267</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4,626</w:t>
            </w:r>
          </w:p>
        </w:tc>
      </w:tr>
      <w:tr>
        <w:trPr>
          <w:trHeight w:val="230"/>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09"/>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interest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18,296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15,583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36,344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29,791</w:t>
            </w:r>
          </w:p>
        </w:tc>
      </w:tr>
      <w:tr>
        <w:trPr>
          <w:trHeight w:val="216"/>
        </w:trPr>
        <w:tc>
          <w:tcPr>
            <w:tcW w:w="4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r>
      <w:tr>
        <w:trPr>
          <w:trHeight w:val="209"/>
        </w:trPr>
        <w:tc>
          <w:tcPr>
            <w:tcW w:w="4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18,296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14,033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36,144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25,641</w:t>
            </w:r>
          </w:p>
        </w:tc>
      </w:tr>
      <w:tr>
        <w:trPr>
          <w:trHeight w:val="216"/>
        </w:trPr>
        <w:tc>
          <w:tcPr>
            <w:tcW w:w="4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Non-interest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Net gains on sales of securities available-for-sale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loans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Loan-related fees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 stock dividends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Earnings on bank-owned life insurance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30"/>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09"/>
        </w:trPr>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4,939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9,636</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6,475</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Data processing and software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deposit insurance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2,843</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promotional</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Loan-related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30"/>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2,474</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r>
      <w:tr>
        <w:trPr>
          <w:trHeight w:val="210"/>
        </w:trPr>
        <w:tc>
          <w:tcPr>
            <w:tcW w:w="47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4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CEEFF"/>
            </w:tcBorders>
          </w:tcPr>
          <w:p>
            <w:pPr>
              <w:spacing w:after="0"/>
              <w:rPr>
                <w:sz w:val="18"/>
                <w:szCs w:val="18"/>
                <w:color w:val="auto"/>
              </w:rPr>
            </w:pPr>
          </w:p>
        </w:tc>
      </w:tr>
      <w:tr>
        <w:trPr>
          <w:trHeight w:val="210"/>
        </w:trPr>
        <w:tc>
          <w:tcPr>
            <w:tcW w:w="4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10,491</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21,222</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17,756</w:t>
            </w:r>
          </w:p>
        </w:tc>
      </w:tr>
      <w:tr>
        <w:trPr>
          <w:trHeight w:val="216"/>
        </w:trPr>
        <w:tc>
          <w:tcPr>
            <w:tcW w:w="4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210"/>
        </w:trPr>
        <w:tc>
          <w:tcPr>
            <w:tcW w:w="4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9,828</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10,123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20,106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17,129</w:t>
            </w:r>
          </w:p>
        </w:tc>
      </w:tr>
      <w:tr>
        <w:trPr>
          <w:trHeight w:val="196"/>
        </w:trPr>
        <w:tc>
          <w:tcPr>
            <w:tcW w:w="4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1.57</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196"/>
        </w:trPr>
        <w:tc>
          <w:tcPr>
            <w:tcW w:w="47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8"/>
                <w:szCs w:val="18"/>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For the six months</w:t>
            </w:r>
          </w:p>
        </w:tc>
      </w:tr>
      <w:tr>
        <w:trPr>
          <w:trHeight w:val="229"/>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ended June 30,</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ended June 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2020</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unrealized holding gains (losses) on securities available-for-sale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during the period</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903</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3"/>
              </w:rPr>
              <w:t>Reclassification adjustment for net realized gains included in net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Income tax expense related to other comprehensive income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10,506</w:t>
            </w:r>
          </w:p>
        </w:tc>
        <w:tc>
          <w:tcPr>
            <w:tcW w:w="360" w:type="dxa"/>
            <w:vAlign w:val="bottom"/>
            <w:gridSpan w:val="2"/>
          </w:tcPr>
          <w:p>
            <w:pPr>
              <w:jc w:val="right"/>
              <w:ind w:right="167"/>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11,116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19,049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18,331</w:t>
            </w:r>
          </w:p>
        </w:tc>
      </w:tr>
      <w:tr>
        <w:trPr>
          <w:trHeight w:val="20"/>
        </w:trPr>
        <w:tc>
          <w:tcPr>
            <w:tcW w:w="57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200" w:type="dxa"/>
            <w:vAlign w:val="bottom"/>
            <w:gridSpan w:val="5"/>
          </w:tcPr>
          <w:p>
            <w:pPr>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 (unaudited).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4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Common Stock</w:t>
            </w:r>
          </w:p>
        </w:tc>
        <w:tc>
          <w:tcPr>
            <w:tcW w:w="6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540"/>
              <w:spacing w:after="0" w:line="195" w:lineRule="exact"/>
              <w:rPr>
                <w:sz w:val="20"/>
                <w:szCs w:val="20"/>
                <w:color w:val="auto"/>
              </w:rPr>
            </w:pPr>
            <w:r>
              <w:rPr>
                <w:rFonts w:ascii="Arial" w:cs="Arial" w:eastAsia="Arial" w:hAnsi="Arial"/>
                <w:sz w:val="18"/>
                <w:szCs w:val="18"/>
                <w:color w:val="auto"/>
                <w:w w:val="88"/>
              </w:rPr>
              <w:t>Comprehensive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(Loss)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(in thousands, except share data; unaudited)</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Net of Taxes</w:t>
            </w:r>
          </w:p>
        </w:tc>
        <w:tc>
          <w:tcPr>
            <w:tcW w:w="24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June 30, 2021</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11,007,005</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110,114</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21,623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(390)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Stock offering</w:t>
            </w: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6,054,750</w:t>
            </w:r>
          </w:p>
        </w:tc>
        <w:tc>
          <w:tcPr>
            <w:tcW w:w="1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8"/>
              </w:rPr>
              <w:t>111,243</w:t>
            </w:r>
          </w:p>
        </w:tc>
        <w:tc>
          <w:tcPr>
            <w:tcW w:w="1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6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111,243</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issued under stock award plans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123,253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issued to directors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40,500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of retained deficit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gridSpan w:val="3"/>
          </w:tcPr>
          <w:p>
            <w:pPr>
              <w:spacing w:after="0"/>
              <w:rPr>
                <w:sz w:val="20"/>
                <w:szCs w:val="20"/>
                <w:color w:val="auto"/>
              </w:rPr>
            </w:pPr>
            <w:r>
              <w:rPr>
                <w:rFonts w:ascii="Arial" w:cs="Arial" w:eastAsia="Arial" w:hAnsi="Arial"/>
                <w:sz w:val="18"/>
                <w:szCs w:val="18"/>
                <w:color w:val="auto"/>
              </w:rPr>
              <w:t>Cash dividends paid ($3.25 per share)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(35,772)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(35,772)</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17,225,508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218,026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For the three months ended June 30, 2020</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9,683,023</w:t>
            </w:r>
          </w:p>
        </w:tc>
        <w:tc>
          <w:tcPr>
            <w:tcW w:w="640" w:type="dxa"/>
            <w:vAlign w:val="bottom"/>
            <w:tcBorders>
              <w:top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96,178</w:t>
            </w:r>
          </w:p>
        </w:tc>
        <w:tc>
          <w:tcPr>
            <w:tcW w:w="460" w:type="dxa"/>
            <w:vAlign w:val="bottom"/>
            <w:tcBorders>
              <w:top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13,023</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109,384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Cash dividends paid ($0.50 per share)</w:t>
            </w: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(4,842)</w:t>
            </w:r>
          </w:p>
        </w:tc>
        <w:tc>
          <w:tcPr>
            <w:tcW w:w="1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6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Common Stock</w:t>
            </w: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540"/>
              <w:spacing w:after="0" w:line="195" w:lineRule="exact"/>
              <w:rPr>
                <w:sz w:val="20"/>
                <w:szCs w:val="20"/>
                <w:color w:val="auto"/>
              </w:rPr>
            </w:pPr>
            <w:r>
              <w:rPr>
                <w:rFonts w:ascii="Arial" w:cs="Arial" w:eastAsia="Arial" w:hAnsi="Arial"/>
                <w:sz w:val="18"/>
                <w:szCs w:val="18"/>
                <w:color w:val="auto"/>
                <w:w w:val="88"/>
              </w:rPr>
              <w:t>Comprehensive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Income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(in thousands, except share data; unaudited)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Net of Taxes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six months ended June 30, 2021</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11,000,273</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110,082</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22,348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1,345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133,775</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20,106</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Stock offering</w:t>
            </w: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6,054,750</w:t>
            </w:r>
          </w:p>
        </w:tc>
        <w:tc>
          <w:tcPr>
            <w:tcW w:w="1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111,243</w:t>
            </w:r>
          </w:p>
        </w:tc>
        <w:tc>
          <w:tcPr>
            <w:tcW w:w="1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6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111,243</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issued under stock award plans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132,707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issued to directors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40,500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forfeitures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Reclassification of retained deficit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(4,321)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Cash dividends paid ($4.25 per share)</w:t>
            </w: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(46,775)</w:t>
            </w:r>
          </w:p>
        </w:tc>
        <w:tc>
          <w:tcPr>
            <w:tcW w:w="1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60" w:type="dxa"/>
            <w:vAlign w:val="bottom"/>
            <w:gridSpan w:val="2"/>
            <w:shd w:val="clear" w:color="auto" w:fill="CCEC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(46,775)</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17,225,508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For the six months ended June 30, 2020</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9,674,875</w:t>
            </w:r>
          </w:p>
        </w:tc>
        <w:tc>
          <w:tcPr>
            <w:tcW w:w="600" w:type="dxa"/>
            <w:vAlign w:val="bottom"/>
            <w:tcBorders>
              <w:top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96,114</w:t>
            </w:r>
          </w:p>
        </w:tc>
        <w:tc>
          <w:tcPr>
            <w:tcW w:w="460" w:type="dxa"/>
            <w:vAlign w:val="bottom"/>
            <w:tcBorders>
              <w:top w:val="single" w:sz="8" w:color="CCEEFF"/>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12,789</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108,877</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17,129</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issued under stock award plans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rPr>
              <w:t>Cash dividends paid ($1.20 per share)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01"/>
              <w:spacing w:after="0"/>
              <w:rPr>
                <w:sz w:val="20"/>
                <w:szCs w:val="20"/>
                <w:color w:val="auto"/>
              </w:rPr>
            </w:pPr>
            <w:r>
              <w:rPr>
                <w:rFonts w:ascii="Arial" w:cs="Arial" w:eastAsia="Arial" w:hAnsi="Arial"/>
                <w:sz w:val="18"/>
                <w:szCs w:val="18"/>
                <w:color w:val="auto"/>
                <w:w w:val="87"/>
              </w:rPr>
              <w:t>June 30,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87"/>
              </w:rPr>
              <w:t>June 30, 2020</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20,106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17,129</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4,150</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(29,008)</w:t>
            </w: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Gain on sale of loans</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(1,441)</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of loans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27,081</w:t>
            </w: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Net gains on sales of securities available-for-sale</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on bank owned life insurance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2"/>
        </w:trPr>
        <w:tc>
          <w:tcPr>
            <w:tcW w:w="8220" w:type="dxa"/>
            <w:vAlign w:val="bottom"/>
          </w:tcPr>
          <w:p>
            <w:pPr>
              <w:ind w:left="320"/>
              <w:spacing w:after="0" w:line="201" w:lineRule="exact"/>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7"/>
                <w:szCs w:val="17"/>
                <w:color w:val="auto"/>
              </w:rPr>
            </w:pPr>
          </w:p>
        </w:tc>
        <w:tc>
          <w:tcPr>
            <w:tcW w:w="1400" w:type="dxa"/>
            <w:vAlign w:val="bottom"/>
            <w:gridSpan w:val="2"/>
          </w:tcPr>
          <w:p>
            <w:pPr>
              <w:jc w:val="right"/>
              <w:ind w:right="161"/>
              <w:spacing w:after="0" w:line="201" w:lineRule="exact"/>
              <w:rPr>
                <w:sz w:val="20"/>
                <w:szCs w:val="20"/>
                <w:color w:val="auto"/>
              </w:rPr>
            </w:pPr>
            <w:r>
              <w:rPr>
                <w:rFonts w:ascii="Arial" w:cs="Arial" w:eastAsia="Arial" w:hAnsi="Arial"/>
                <w:sz w:val="18"/>
                <w:szCs w:val="18"/>
                <w:color w:val="auto"/>
              </w:rPr>
              <w:t>212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1"/>
              <w:spacing w:after="0" w:line="201" w:lineRule="exact"/>
              <w:rPr>
                <w:sz w:val="20"/>
                <w:szCs w:val="20"/>
                <w:color w:val="auto"/>
              </w:rPr>
            </w:pPr>
            <w:r>
              <w:rPr>
                <w:rFonts w:ascii="Arial" w:cs="Arial" w:eastAsia="Arial" w:hAnsi="Arial"/>
                <w:sz w:val="18"/>
                <w:szCs w:val="18"/>
                <w:color w:val="auto"/>
              </w:rPr>
              <w:t>129</w:t>
            </w:r>
          </w:p>
        </w:tc>
      </w:tr>
      <w:tr>
        <w:trPr>
          <w:trHeight w:val="230"/>
        </w:trPr>
        <w:tc>
          <w:tcPr>
            <w:tcW w:w="8220" w:type="dxa"/>
            <w:vAlign w:val="bottom"/>
          </w:tcPr>
          <w:p>
            <w:pPr>
              <w:ind w:left="320"/>
              <w:spacing w:after="0"/>
              <w:rPr>
                <w:sz w:val="20"/>
                <w:szCs w:val="20"/>
                <w:color w:val="auto"/>
              </w:rPr>
            </w:pPr>
            <w:r>
              <w:rPr>
                <w:rFonts w:ascii="Arial" w:cs="Arial" w:eastAsia="Arial" w:hAnsi="Arial"/>
                <w:sz w:val="18"/>
                <w:szCs w:val="18"/>
                <w:color w:val="auto"/>
              </w:rPr>
              <w:t>Director stock compensation expense</w:t>
            </w:r>
          </w:p>
        </w:tc>
        <w:tc>
          <w:tcPr>
            <w:tcW w:w="100" w:type="dxa"/>
            <w:vAlign w:val="bottom"/>
          </w:tcPr>
          <w:p>
            <w:pPr>
              <w:spacing w:after="0"/>
              <w:rPr>
                <w:sz w:val="20"/>
                <w:szCs w:val="20"/>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loan fees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6,988</w:t>
            </w: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Amortization and accretion of security premiums and discounts</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488</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notes issuance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w:t>
            </w:r>
          </w:p>
        </w:tc>
      </w:tr>
      <w:tr>
        <w:trPr>
          <w:trHeight w:val="216"/>
        </w:trPr>
        <w:tc>
          <w:tcPr>
            <w:tcW w:w="82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208</w:t>
            </w: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640"/>
              <w:spacing w:after="0"/>
              <w:rPr>
                <w:sz w:val="20"/>
                <w:szCs w:val="20"/>
                <w:color w:val="auto"/>
              </w:rPr>
            </w:pPr>
            <w:r>
              <w:rPr>
                <w:rFonts w:ascii="Arial" w:cs="Arial" w:eastAsia="Arial" w:hAnsi="Arial"/>
                <w:sz w:val="18"/>
                <w:szCs w:val="18"/>
                <w:color w:val="auto"/>
              </w:rPr>
              <w:t>Interest receivable and other assets</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(5,950)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(1,582)</w:t>
            </w:r>
          </w:p>
        </w:tc>
      </w:tr>
      <w:tr>
        <w:trPr>
          <w:trHeight w:val="229"/>
        </w:trPr>
        <w:tc>
          <w:tcPr>
            <w:tcW w:w="8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payable and other liabilities</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7,246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9"/>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Proceeds on sale of available-for-sale securities</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16,182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32,234</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prepayments, and calls of securities available-for-sale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7,769</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Purchases of securities available-for-sale</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(69,070)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(32,641)</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time deposits in banks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8,363</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Loan originations, net of repayments</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(78,562)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(339,713)</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premises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Purchase of FHLB stock</w:t>
            </w:r>
          </w:p>
        </w:tc>
        <w:tc>
          <w:tcPr>
            <w:tcW w:w="10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(1,152)</w:t>
            </w:r>
          </w:p>
        </w:tc>
      </w:tr>
      <w:tr>
        <w:trPr>
          <w:trHeight w:val="230"/>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bank owned life insurance</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(122,410</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282,284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647,065</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stock</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111,243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FHLB repayment</w:t>
            </w:r>
          </w:p>
        </w:tc>
        <w:tc>
          <w:tcPr>
            <w:tcW w:w="10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2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Cash dividends paid</w:t>
            </w:r>
          </w:p>
        </w:tc>
        <w:tc>
          <w:tcPr>
            <w:tcW w:w="1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101"/>
              <w:spacing w:after="0"/>
              <w:rPr>
                <w:sz w:val="20"/>
                <w:szCs w:val="20"/>
                <w:color w:val="auto"/>
              </w:rPr>
            </w:pPr>
            <w:r>
              <w:rPr>
                <w:rFonts w:ascii="Arial" w:cs="Arial" w:eastAsia="Arial" w:hAnsi="Arial"/>
                <w:sz w:val="18"/>
                <w:szCs w:val="18"/>
                <w:color w:val="auto"/>
              </w:rPr>
              <w:t>(46,775)</w:t>
            </w:r>
          </w:p>
        </w:tc>
        <w:tc>
          <w:tcPr>
            <w:tcW w:w="1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(11,614)</w:t>
            </w:r>
          </w:p>
        </w:tc>
      </w:tr>
      <w:tr>
        <w:trPr>
          <w:trHeight w:val="210"/>
        </w:trPr>
        <w:tc>
          <w:tcPr>
            <w:tcW w:w="8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246,111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307,698</w:t>
            </w:r>
          </w:p>
        </w:tc>
        <w:tc>
          <w:tcPr>
            <w:tcW w:w="100" w:type="dxa"/>
            <w:vAlign w:val="bottom"/>
          </w:tcPr>
          <w:p>
            <w:pPr>
              <w:spacing w:after="0"/>
              <w:rPr>
                <w:sz w:val="18"/>
                <w:szCs w:val="18"/>
                <w:color w:val="auto"/>
              </w:rPr>
            </w:pPr>
          </w:p>
        </w:tc>
      </w:tr>
      <w:tr>
        <w:trPr>
          <w:trHeight w:val="22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290,493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177,366</w:t>
            </w:r>
          </w:p>
        </w:tc>
      </w:tr>
      <w:tr>
        <w:trPr>
          <w:trHeight w:val="263"/>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536,604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485,064</w:t>
            </w:r>
          </w:p>
        </w:tc>
        <w:tc>
          <w:tcPr>
            <w:tcW w:w="100" w:type="dxa"/>
            <w:vAlign w:val="bottom"/>
            <w:tcBorders>
              <w:bottom w:val="single" w:sz="8" w:color="CCEEFF"/>
            </w:tcBorders>
          </w:tcPr>
          <w:p>
            <w:pPr>
              <w:spacing w:after="0"/>
              <w:rPr>
                <w:sz w:val="22"/>
                <w:szCs w:val="22"/>
                <w:color w:val="auto"/>
              </w:rPr>
            </w:pPr>
          </w:p>
        </w:tc>
      </w:tr>
      <w:tr>
        <w:trPr>
          <w:trHeight w:val="196"/>
        </w:trPr>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2,217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5,783</w:t>
            </w: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930</w:t>
            </w: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from loans held for investment to 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4,820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6,527</w:t>
            </w:r>
          </w:p>
        </w:tc>
      </w:tr>
      <w:tr>
        <w:trPr>
          <w:trHeight w:val="230"/>
        </w:trPr>
        <w:tc>
          <w:tcPr>
            <w:tcW w:w="8220" w:type="dxa"/>
            <w:vAlign w:val="bottom"/>
          </w:tcPr>
          <w:p>
            <w:pPr>
              <w:ind w:left="160"/>
              <w:spacing w:after="0"/>
              <w:rPr>
                <w:sz w:val="20"/>
                <w:szCs w:val="20"/>
                <w:color w:val="auto"/>
              </w:rPr>
            </w:pPr>
            <w:r>
              <w:rPr>
                <w:rFonts w:ascii="Arial" w:cs="Arial" w:eastAsia="Arial" w:hAnsi="Arial"/>
                <w:sz w:val="18"/>
                <w:szCs w:val="18"/>
                <w:color w:val="auto"/>
              </w:rPr>
              <w:t>Unrealized (loss) gains on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(1,057)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1,202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residing in the northern California region. Its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two loan production offices in Santa Rosa and Sacramento.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9, 2021, the Company publicly filed a Registration Statement on Form S-1 with the U.S. Securities and Exchange Commission (“SEC”) in connection with its IPO (the “Registration Statement”), which was subsequently amended on April 26, 2021 and May 3, 2021. The Registration Statement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Stock Market LLC on May 5, 2021. On May 7, 2021, the closing date of the IPO, the Company received total net proceeds of $111.2 million. The net proceeds less other related expenses, including audit fees, legal fees, listing fees, and other expenses totaled $109.1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presentation and consolidation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and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 as filed in the Company’s Form S-1, which was declared effective by the SEC on May 4, 2021.</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six months ended June 30, 2021 are not necessarily indicative of the results of operations that may be expected for any other interim period or for the year ending December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While the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as such, may take advantage of specified reduced reporting requirements and is relieved of other significant requirements that are otherwise generally applicable to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 The allowance for loan losses is the most significant accounting estimate reflected in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EPS is net income divided by the weighted average number of common shares outstanding during the period less average unvested restricted stock awards. Diluted EPS includes the dilutive effect of additional potential common shares related to unvested restricted stock awards using the treasury stock method. The Company has two forms of outstanding common stock: common stock and unvested restricted stock awards. Holders of unvested restricted stock awards receive non-forfeitable dividends at the same rate as common shareholders and they both share equally in undistributed earnings, and therefore are considered participating securities. However, under the two-class method, the difference in EPS is not significant for these participating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6"/>
          </w:tcPr>
          <w:p>
            <w:pPr>
              <w:ind w:left="120"/>
              <w:spacing w:after="0"/>
              <w:rPr>
                <w:sz w:val="20"/>
                <w:szCs w:val="20"/>
                <w:color w:val="auto"/>
              </w:rPr>
            </w:pPr>
            <w:r>
              <w:rPr>
                <w:rFonts w:ascii="Arial" w:cs="Arial" w:eastAsia="Arial" w:hAnsi="Arial"/>
                <w:sz w:val="18"/>
                <w:szCs w:val="18"/>
                <w:color w:val="auto"/>
              </w:rPr>
              <w:t>For the three months ended</w:t>
            </w:r>
          </w:p>
        </w:tc>
        <w:tc>
          <w:tcPr>
            <w:tcW w:w="140" w:type="dxa"/>
            <w:vAlign w:val="bottom"/>
          </w:tcPr>
          <w:p>
            <w:pPr>
              <w:spacing w:after="0"/>
              <w:rPr>
                <w:sz w:val="20"/>
                <w:szCs w:val="20"/>
                <w:color w:val="auto"/>
              </w:rPr>
            </w:pPr>
          </w:p>
        </w:tc>
        <w:tc>
          <w:tcPr>
            <w:tcW w:w="2400" w:type="dxa"/>
            <w:vAlign w:val="bottom"/>
            <w:gridSpan w:val="5"/>
          </w:tcPr>
          <w:p>
            <w:pPr>
              <w:ind w:left="160"/>
              <w:spacing w:after="0"/>
              <w:rPr>
                <w:sz w:val="20"/>
                <w:szCs w:val="20"/>
                <w:color w:val="auto"/>
              </w:rPr>
            </w:pPr>
            <w:r>
              <w:rPr>
                <w:rFonts w:ascii="Arial" w:cs="Arial" w:eastAsia="Arial" w:hAnsi="Arial"/>
                <w:sz w:val="18"/>
                <w:szCs w:val="18"/>
                <w:color w:val="auto"/>
              </w:rPr>
              <w:t>For the six months ended</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June 30, 2021</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June 30, 2020</w:t>
            </w:r>
          </w:p>
        </w:tc>
        <w:tc>
          <w:tcPr>
            <w:tcW w:w="4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00" w:type="dxa"/>
            <w:vAlign w:val="bottom"/>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14,650,208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9,671,455</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12,824,125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9,670,361</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14,667,804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9,671,455</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12,832,966</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9,670,361</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42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4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2021 and 2020, there were no outstanding stock options. Anti-dilutive shares, which are excluded from the dilutive EPS calculation, were deemed to be immaterial.</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 forma EPS is calculated by applying a C Corporation effective tax rate of 29.56% to net income before provision for income taxes and using the determined pro forma net income balance to calculate EPS. The following reconciliation table provides a detailed calculation of pro forma EPS: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6"/>
          </w:tcPr>
          <w:p>
            <w:pPr>
              <w:jc w:val="right"/>
              <w:ind w:right="720"/>
              <w:spacing w:after="0"/>
              <w:rPr>
                <w:sz w:val="20"/>
                <w:szCs w:val="20"/>
                <w:color w:val="auto"/>
              </w:rPr>
            </w:pPr>
            <w:r>
              <w:rPr>
                <w:rFonts w:ascii="Arial" w:cs="Arial" w:eastAsia="Arial" w:hAnsi="Arial"/>
                <w:sz w:val="18"/>
                <w:szCs w:val="18"/>
                <w:color w:val="auto"/>
                <w:w w:val="92"/>
              </w:rPr>
              <w:t>For the three months ended</w:t>
            </w:r>
          </w:p>
        </w:tc>
        <w:tc>
          <w:tcPr>
            <w:tcW w:w="140" w:type="dxa"/>
            <w:vAlign w:val="bottom"/>
          </w:tcPr>
          <w:p>
            <w:pPr>
              <w:spacing w:after="0"/>
              <w:rPr>
                <w:sz w:val="20"/>
                <w:szCs w:val="20"/>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8"/>
                <w:szCs w:val="18"/>
                <w:color w:val="auto"/>
                <w:w w:val="96"/>
              </w:rPr>
              <w:t>For the six months ended</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3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June 30, 2021</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5"/>
              </w:rPr>
              <w:t>June 30, 2020</w:t>
            </w:r>
          </w:p>
        </w:tc>
        <w:tc>
          <w:tcPr>
            <w:tcW w:w="4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00" w:type="dxa"/>
            <w:vAlign w:val="bottom"/>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before provision for income taxes - GAAP</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 forma provision for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(6,273)</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(5,249)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7,390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14,949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14,650,208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9,671,455</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12,824,125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9,670,361</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17,586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14,667,794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9,671,455</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12,832,966</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9,670,361</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3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3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reflect recent accounting standards that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reflect effective dates for the Company as an emerging growth company with the extended transition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intend to increase transparency and comparability among organizations by recognizing an asset, which represents the right to use the asset for the lease term, and a lease liability, which is a lessee’s obligation to make lease payments measured on a discounted basis. This ASU generally applies to leasing arrangements exceeding a twelve-month term. As amended by ASU 2020-05, ASU 2016-02 is effective for annual periods, including interim periods within those annual periods beginning after December 15, 2021 and requires a modified retrospective method of adoption. In July 2018, the FASB issued two amendments to ASU 2016-02: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which provides various corrections and clarifications to ASU 2016-02; and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 new optional transition method and provides a lessor with practical expedients for separating lease and non-lease components of a lease. Entities will apply a modified retrospective approach at either the beginning of the earliest period presented or at the beginning of the period of adoption through a cumulative-effect adjustment to retained earnings. The Company is currently evaluating the effect that the ASU will have on its financial condition or results of operations.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will replace the “incurred loss” model with a “current expected credit loss” (“CECL”) model. The CECL model will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ASU 2016-13 is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to its financial condition or results of operations at this time due to the complexity and extensive changes from these amendments. The Company is working with its third-party vendor to identify data gaps and determine the appropriate methodologies and resources to utilize in preparation for transition to the new accounting standard, including but not limited to the use of certain tools to forecast future economic conditions that affect the cash flows of loans over their lifetime.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will be effective for fiscal years beginning after December 15, 2020 and interim periods within fiscal years beginning after December 15, 2021. Early adoption is permitted in any interim period. The impact of adopting this ASU is expected to be immaterial to the Company’s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amendments in these ASUs may be elected as of March 12, 2020 through December 31, 2022. An entity may choose to elect the amendments in these updates at an interim period subsequent to March 12, 2020, with adoption methods varying based on transaction type. The Company has not elected to apply these amendments; however, the Company is assessing the applicability of the ASUs and continues to monitor guidance for reference rate reform from FASB and its impact on the Company’s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 and 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Company’s assets and liabilities that were required to be recorded at fair value on a recurring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Measurement</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w w:val="91"/>
              </w:rPr>
              <w:t>Quoted Prices in</w:t>
            </w:r>
          </w:p>
        </w:tc>
        <w:tc>
          <w:tcPr>
            <w:tcW w:w="120" w:type="dxa"/>
            <w:vAlign w:val="bottom"/>
          </w:tcPr>
          <w:p>
            <w:pPr>
              <w:spacing w:after="0"/>
              <w:rPr>
                <w:sz w:val="15"/>
                <w:szCs w:val="15"/>
                <w:color w:val="auto"/>
              </w:rPr>
            </w:pPr>
          </w:p>
        </w:tc>
        <w:tc>
          <w:tcPr>
            <w:tcW w:w="114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5"/>
                <w:szCs w:val="15"/>
                <w:color w:val="auto"/>
              </w:rPr>
            </w:pPr>
          </w:p>
        </w:tc>
        <w:tc>
          <w:tcPr>
            <w:tcW w:w="11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w w:val="98"/>
              </w:rPr>
              <w:t>Significant</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4"/>
          </w:tcPr>
          <w:p>
            <w:pPr>
              <w:jc w:val="right"/>
              <w:ind w:right="300"/>
              <w:spacing w:after="0"/>
              <w:rPr>
                <w:sz w:val="20"/>
                <w:szCs w:val="20"/>
                <w:color w:val="auto"/>
              </w:rPr>
            </w:pPr>
            <w:r>
              <w:rPr>
                <w:rFonts w:ascii="Arial" w:cs="Arial" w:eastAsia="Arial" w:hAnsi="Arial"/>
                <w:sz w:val="18"/>
                <w:szCs w:val="18"/>
                <w:color w:val="auto"/>
              </w:rPr>
              <w:t>Active Markets for</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Observable</w:t>
            </w: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Unobservable</w:t>
            </w:r>
          </w:p>
        </w:tc>
        <w:tc>
          <w:tcPr>
            <w:tcW w:w="1680" w:type="dxa"/>
            <w:vAlign w:val="bottom"/>
          </w:tcPr>
          <w:p>
            <w:pPr>
              <w:jc w:val="right"/>
              <w:spacing w:after="0"/>
              <w:rPr>
                <w:sz w:val="20"/>
                <w:szCs w:val="20"/>
                <w:color w:val="auto"/>
              </w:rPr>
            </w:pPr>
            <w:r>
              <w:rPr>
                <w:rFonts w:ascii="Arial" w:cs="Arial" w:eastAsia="Arial" w:hAnsi="Arial"/>
                <w:sz w:val="18"/>
                <w:szCs w:val="18"/>
                <w:color w:val="auto"/>
                <w:w w:val="98"/>
              </w:rPr>
              <w:t>Categories: Changes</w:t>
            </w:r>
          </w:p>
        </w:tc>
        <w:tc>
          <w:tcPr>
            <w:tcW w:w="0" w:type="dxa"/>
            <w:vAlign w:val="bottom"/>
          </w:tcPr>
          <w:p>
            <w:pPr>
              <w:spacing w:after="0"/>
              <w:rPr>
                <w:sz w:val="1"/>
                <w:szCs w:val="1"/>
                <w:color w:val="auto"/>
              </w:rPr>
            </w:pPr>
          </w:p>
        </w:tc>
      </w:tr>
      <w:tr>
        <w:trPr>
          <w:trHeight w:val="219"/>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Identical Assets</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Inputs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in Fair Value Recorded</w:t>
            </w:r>
          </w:p>
        </w:tc>
        <w:tc>
          <w:tcPr>
            <w:tcW w:w="0" w:type="dxa"/>
            <w:vAlign w:val="bottom"/>
          </w:tcPr>
          <w:p>
            <w:pPr>
              <w:spacing w:after="0"/>
              <w:rPr>
                <w:sz w:val="1"/>
                <w:szCs w:val="1"/>
                <w:color w:val="auto"/>
              </w:rPr>
            </w:pPr>
          </w:p>
        </w:tc>
      </w:tr>
      <w:tr>
        <w:trPr>
          <w:trHeight w:val="267"/>
        </w:trPr>
        <w:tc>
          <w:tcPr>
            <w:tcW w:w="4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(Level 3)</w:t>
            </w:r>
          </w:p>
        </w:tc>
        <w:tc>
          <w:tcPr>
            <w:tcW w:w="1680" w:type="dxa"/>
            <w:vAlign w:val="bottom"/>
          </w:tcPr>
          <w:p>
            <w:pPr>
              <w:jc w:val="right"/>
              <w:spacing w:after="0" w:line="267" w:lineRule="exact"/>
              <w:rPr>
                <w:sz w:val="20"/>
                <w:szCs w:val="20"/>
                <w:color w:val="auto"/>
              </w:rPr>
            </w:pPr>
            <w:r>
              <w:rPr>
                <w:rFonts w:ascii="Arial" w:cs="Arial" w:eastAsia="Arial" w:hAnsi="Arial"/>
                <w:sz w:val="18"/>
                <w:szCs w:val="18"/>
                <w:color w:val="auto"/>
              </w:rPr>
              <w:t>In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U.S. government treasuries, U.S. government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w w:val="93"/>
              </w:rPr>
              <w:t>agencies, mortgage-backed securities, obligations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of states and political subdivisions,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collateralized mortgage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160,074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160,074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U.S. government agencies, mortgage-backed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securities, obligations of states and political</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subdivisions, and collateralized mortgage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114,949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114,949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hanging="391"/>
        <w:spacing w:after="0"/>
        <w:tabs>
          <w:tab w:leader="none" w:pos="520" w:val="left"/>
        </w:tabs>
        <w:numPr>
          <w:ilvl w:val="0"/>
          <w:numId w:val="3"/>
        </w:numPr>
        <w:rPr>
          <w:rFonts w:ascii="Arial" w:cs="Arial" w:eastAsia="Arial" w:hAnsi="Arial"/>
          <w:sz w:val="12"/>
          <w:szCs w:val="12"/>
          <w:color w:val="auto"/>
        </w:rPr>
      </w:pPr>
      <w:r>
        <w:rPr>
          <w:rFonts w:ascii="Arial" w:cs="Arial" w:eastAsia="Arial" w:hAnsi="Arial"/>
          <w:sz w:val="14"/>
          <w:szCs w:val="14"/>
          <w:color w:val="auto"/>
        </w:rPr>
        <w:t>Other comprehensive income (“OCI”) or net income (“NI”).</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 issued bonds, privately issued collateralized mortgage obligations, and corporate bonds. As of June 30, 2021 and December 31, 2020, there were no Level 1 or Level 3 securities.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For further discussion on the Company’s methodology in valuing its derivative financial instruments, refer to Note 11, Derivative Financial Instruments and Hedging Activities.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 As of June 30, 2021 and December 31, 2020, the Company did not carry any assets measured at fair value on a non-recurring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 below is a summary of fair value estimates for financial instruments as of June 30, 2021 and December 31, 2020. The carrying amounts in the following table are recorded in the consolidated balance sheets under the indicated captions. Further, management has not disclosed the fair value of financial instruments specifically excluded from disclosure requirements such as bank-owned life insurance policies (“BOLI”).</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8"/>
              </w:rPr>
              <w:t>June 30, 2021</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9"/>
              </w:rPr>
              <w:t>December 31, 2020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Carrying</w:t>
            </w:r>
          </w:p>
        </w:tc>
        <w:tc>
          <w:tcPr>
            <w:tcW w:w="400" w:type="dxa"/>
            <w:vAlign w:val="bottom"/>
          </w:tcPr>
          <w:p>
            <w:pPr>
              <w:spacing w:after="0"/>
              <w:rPr>
                <w:sz w:val="16"/>
                <w:szCs w:val="16"/>
                <w:color w:val="auto"/>
              </w:rPr>
            </w:pPr>
          </w:p>
        </w:tc>
        <w:tc>
          <w:tcPr>
            <w:tcW w:w="10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Fair</w:t>
            </w:r>
          </w:p>
        </w:tc>
        <w:tc>
          <w:tcPr>
            <w:tcW w:w="980" w:type="dxa"/>
            <w:vAlign w:val="bottom"/>
          </w:tcPr>
          <w:p>
            <w:pPr>
              <w:ind w:left="240"/>
              <w:spacing w:after="0" w:line="195" w:lineRule="exact"/>
              <w:rPr>
                <w:sz w:val="20"/>
                <w:szCs w:val="20"/>
                <w:color w:val="auto"/>
              </w:rPr>
            </w:pPr>
            <w:r>
              <w:rPr>
                <w:rFonts w:ascii="Arial" w:cs="Arial" w:eastAsia="Arial" w:hAnsi="Arial"/>
                <w:sz w:val="18"/>
                <w:szCs w:val="18"/>
                <w:color w:val="auto"/>
                <w:w w:val="87"/>
              </w:rPr>
              <w:t>Fair Value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Carrying</w:t>
            </w:r>
          </w:p>
        </w:tc>
        <w:tc>
          <w:tcPr>
            <w:tcW w:w="480" w:type="dxa"/>
            <w:vAlign w:val="bottom"/>
          </w:tcPr>
          <w:p>
            <w:pPr>
              <w:spacing w:after="0"/>
              <w:rPr>
                <w:sz w:val="16"/>
                <w:szCs w:val="16"/>
                <w:color w:val="auto"/>
              </w:rPr>
            </w:pPr>
          </w:p>
        </w:tc>
        <w:tc>
          <w:tcPr>
            <w:tcW w:w="112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Fair</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Amounts</w:t>
            </w:r>
          </w:p>
        </w:tc>
        <w:tc>
          <w:tcPr>
            <w:tcW w:w="4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Value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Hierarchy</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Amounts</w:t>
            </w:r>
          </w:p>
        </w:tc>
        <w:tc>
          <w:tcPr>
            <w:tcW w:w="4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Value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Hierarchy</w:t>
            </w:r>
          </w:p>
        </w:tc>
      </w:tr>
      <w:tr>
        <w:trPr>
          <w:trHeight w:val="209"/>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 (recorded at amortized cost)</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536,604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536,604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290,493</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290,493</w:t>
            </w:r>
          </w:p>
        </w:tc>
        <w:tc>
          <w:tcPr>
            <w:tcW w:w="900" w:type="dxa"/>
            <w:vAlign w:val="bottom"/>
          </w:tcPr>
          <w:p>
            <w:pPr>
              <w:jc w:val="right"/>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 in banks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19,451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19,581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20" w:type="dxa"/>
            <w:vAlign w:val="bottom"/>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Securities – available-for-sale</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160,074</w:t>
            </w:r>
          </w:p>
        </w:tc>
        <w:tc>
          <w:tcPr>
            <w:tcW w:w="40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160,074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114,949</w:t>
            </w:r>
          </w:p>
        </w:tc>
        <w:tc>
          <w:tcPr>
            <w:tcW w:w="4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114,949</w:t>
            </w:r>
          </w:p>
        </w:tc>
        <w:tc>
          <w:tcPr>
            <w:tcW w:w="90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 held-to-maturity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6,473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6,858</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Loans – held for sale</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2,340</w:t>
            </w:r>
          </w:p>
        </w:tc>
        <w:tc>
          <w:tcPr>
            <w:tcW w:w="40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2,447</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4,820</w:t>
            </w:r>
          </w:p>
        </w:tc>
        <w:tc>
          <w:tcPr>
            <w:tcW w:w="4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5,012</w:t>
            </w:r>
          </w:p>
        </w:tc>
        <w:tc>
          <w:tcPr>
            <w:tcW w:w="90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 held for investment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1,563,309</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1,525,826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1,480,970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1,464,794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5,774</w:t>
            </w:r>
          </w:p>
        </w:tc>
        <w:tc>
          <w:tcPr>
            <w:tcW w:w="40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5,774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5,422</w:t>
            </w:r>
          </w:p>
        </w:tc>
        <w:tc>
          <w:tcPr>
            <w:tcW w:w="4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5,422</w:t>
            </w:r>
          </w:p>
        </w:tc>
        <w:tc>
          <w:tcPr>
            <w:tcW w:w="900" w:type="dxa"/>
            <w:vAlign w:val="bottom"/>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(recorded at amortized cost)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2,066,285</w:t>
            </w:r>
          </w:p>
        </w:tc>
        <w:tc>
          <w:tcPr>
            <w:tcW w:w="40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9"/>
              </w:rPr>
              <w:t>2,050,244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1,784,001</w:t>
            </w:r>
          </w:p>
        </w:tc>
        <w:tc>
          <w:tcPr>
            <w:tcW w:w="4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1,785,944</w:t>
            </w:r>
          </w:p>
        </w:tc>
        <w:tc>
          <w:tcPr>
            <w:tcW w:w="900" w:type="dxa"/>
            <w:vAlign w:val="bottom"/>
          </w:tcPr>
          <w:p>
            <w:pPr>
              <w:jc w:val="right"/>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18"/>
                <w:szCs w:val="18"/>
                <w:color w:val="auto"/>
              </w:rPr>
            </w:pPr>
          </w:p>
        </w:tc>
      </w:tr>
      <w:tr>
        <w:trPr>
          <w:trHeight w:val="230"/>
        </w:trPr>
        <w:tc>
          <w:tcPr>
            <w:tcW w:w="3840" w:type="dxa"/>
            <w:vAlign w:val="bottom"/>
          </w:tcPr>
          <w:p>
            <w:pPr>
              <w:ind w:left="160"/>
              <w:spacing w:after="0"/>
              <w:rPr>
                <w:sz w:val="20"/>
                <w:szCs w:val="20"/>
                <w:color w:val="auto"/>
              </w:rPr>
            </w:pPr>
            <w:r>
              <w:rPr>
                <w:rFonts w:ascii="Arial" w:cs="Arial" w:eastAsia="Arial" w:hAnsi="Arial"/>
                <w:sz w:val="18"/>
                <w:szCs w:val="18"/>
                <w:color w:val="auto"/>
              </w:rPr>
              <w:t>Subordinated notes</w:t>
            </w:r>
          </w:p>
        </w:tc>
        <w:tc>
          <w:tcPr>
            <w:tcW w:w="20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28,353</w:t>
            </w:r>
          </w:p>
        </w:tc>
        <w:tc>
          <w:tcPr>
            <w:tcW w:w="4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28,355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28,320</w:t>
            </w:r>
          </w:p>
        </w:tc>
        <w:tc>
          <w:tcPr>
            <w:tcW w:w="4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28,320</w:t>
            </w:r>
          </w:p>
        </w:tc>
        <w:tc>
          <w:tcPr>
            <w:tcW w:w="900" w:type="dxa"/>
            <w:vAlign w:val="bottom"/>
          </w:tcPr>
          <w:p>
            <w:pPr>
              <w:jc w:val="right"/>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by the Company to estimate the fair value of its financial instruments at June 30, 2021 and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securities</w:t>
      </w:r>
      <w:r>
        <w:rPr>
          <w:rFonts w:ascii="Arial" w:cs="Arial" w:eastAsia="Arial" w:hAnsi="Arial"/>
          <w:sz w:val="16"/>
          <w:szCs w:val="16"/>
          <w:color w:val="auto"/>
        </w:rPr>
        <w:t>: See discussion above for the methods and assumptions used by the Company to estimate the fair value of investment securities.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Loans held for investment:</w:t>
      </w:r>
      <w:r>
        <w:rPr>
          <w:rFonts w:ascii="Arial" w:cs="Arial" w:eastAsia="Arial" w:hAnsi="Arial"/>
          <w:sz w:val="16"/>
          <w:szCs w:val="16"/>
          <w:color w:val="auto"/>
        </w:rPr>
        <w:t xml:space="preserve"> For variable-rate loans that reprice frequently with no significant change in credit risk, fair values are based on carrying values. Fair values for other loans are estimated using discounted cash flow analyses, using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receivable and payable</w:t>
      </w:r>
      <w:r>
        <w:rPr>
          <w:rFonts w:ascii="Arial" w:cs="Arial" w:eastAsia="Arial" w:hAnsi="Arial"/>
          <w:sz w:val="18"/>
          <w:szCs w:val="18"/>
          <w:color w:val="auto"/>
        </w:rPr>
        <w:t>: For interest receivable and payable, the carrying amount is estimated to be fair value.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Derivatives - interest rate swap</w:t>
      </w:r>
      <w:r>
        <w:rPr>
          <w:rFonts w:ascii="Arial" w:cs="Arial" w:eastAsia="Arial" w:hAnsi="Arial"/>
          <w:sz w:val="18"/>
          <w:szCs w:val="18"/>
          <w:color w:val="auto"/>
        </w:rPr>
        <w:t>: See discussion above for a discussion of the methods and assumptions used by the Company to estimate the fair value of derivatives.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u w:val="single" w:color="auto"/>
          <w:color w:val="auto"/>
        </w:rPr>
        <w:t>Deposits</w:t>
      </w:r>
      <w:r>
        <w:rPr>
          <w:rFonts w:ascii="Arial" w:cs="Arial" w:eastAsia="Arial" w:hAnsi="Arial"/>
          <w:sz w:val="16"/>
          <w:szCs w:val="16"/>
          <w:color w:val="auto"/>
        </w:rPr>
        <w:t>: The fair values for demand deposits are, by definition, equal to the amount payable on demand at the reporting date represented by their carrying amount. Fair values for fixed-rate certificates of deposit are estimated using a discounted cash flow analysis using interest rates being offered at each reporting date by the Company for certificates with similar remaining maturities. For variable rate time deposits, cost approximates fair value.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The fair value is estimated by discounting the future cash flow using the current 3-month LIBOR rate. Both notes are not registered securities and issued through private placement, resulting in a Level 3 classification. Both notes are recorded at carrying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investment securities portfolio consists of obligations of state and political subdivisions, U.S. federal government agencies such as Government National Mortgage Association (“GNMA”) and Small Business Administration (“SBA”), U.S. government treasuries, and U.S. government-sponsored enterprises (“GSEs”), such as Federal National Mortgage Association (“FNMA”), Federal Home Loan Mortgage Corporation (“FHLMC”), and Federal Home Loan Bank of San Francisco (“FHLB”). The Company also invests in residential and commercial mortgage-backed securities (“MBS”/ “CMBS”) and collateralized mortgage obligations (“CMOs”) issued or guaranteed by the GSEs, as reflected in the following tables.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related to securities held-to-maturity as of June 30, 2021 and December 31, 2020 is presented below.</w:t>
      </w:r>
    </w:p>
    <w:p>
      <w:pPr>
        <w:sectPr>
          <w:pgSz w:w="11900" w:h="16838" w:orient="portrait"/>
          <w:cols w:equalWidth="0" w:num="1">
            <w:col w:w="11240"/>
          </w:cols>
          <w:pgMar w:left="320" w:top="692"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Held-to-maturity: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0"/>
          <w:szCs w:val="20"/>
          <w:color w:val="auto"/>
        </w:rPr>
      </w:pPr>
    </w:p>
    <w:p>
      <w:pPr>
        <w:ind w:left="160" w:hanging="155"/>
        <w:spacing w:after="0" w:line="250" w:lineRule="auto"/>
        <w:rPr>
          <w:sz w:val="20"/>
          <w:szCs w:val="20"/>
          <w:color w:val="auto"/>
        </w:rPr>
      </w:pPr>
      <w:r>
        <w:rPr>
          <w:rFonts w:ascii="Arial" w:cs="Arial" w:eastAsia="Arial" w:hAnsi="Arial"/>
          <w:sz w:val="18"/>
          <w:szCs w:val="18"/>
          <w:color w:val="auto"/>
        </w:rPr>
        <w:t>Obligations of state and political subdivisions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held-to-maturity</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December 31, 2020 </w:t>
      </w:r>
      <w:r>
        <w:rPr>
          <w:rFonts w:ascii="Arial" w:cs="Arial" w:eastAsia="Arial" w:hAnsi="Arial"/>
          <w:sz w:val="16"/>
          <w:szCs w:val="16"/>
          <w:color w:val="auto"/>
        </w:rPr>
        <w:t>Obligations of state and political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subdivisions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held-to-maturity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color w:val="auto"/>
              </w:rPr>
              <w:t>Amortized</w:t>
            </w: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8"/>
                <w:szCs w:val="18"/>
                <w:color w:val="auto"/>
              </w:rPr>
              <w:t>Gross Unrealized</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Gains</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(Losses)</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655"/>
        </w:trPr>
        <w:tc>
          <w:tcPr>
            <w:tcW w:w="16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6,473</w:t>
            </w:r>
          </w:p>
        </w:tc>
        <w:tc>
          <w:tcPr>
            <w:tcW w:w="2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100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6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7,979</w:t>
            </w:r>
          </w:p>
        </w:tc>
        <w:tc>
          <w:tcPr>
            <w:tcW w:w="2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100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-779145</wp:posOffset>
            </wp:positionV>
            <wp:extent cx="570039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-462280</wp:posOffset>
            </wp:positionV>
            <wp:extent cx="570039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28257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-1207770</wp:posOffset>
            </wp:positionV>
            <wp:extent cx="570039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560"/>
            <w:col w:w="8320"/>
          </w:cols>
          <w:pgMar w:left="320" w:top="692" w:right="3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A summary of the amortized cost and fair value related to securities available-for-sale as of June 30, 2021 and December 31, 2020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2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6"/>
          </w:tcPr>
          <w:p>
            <w:pPr>
              <w:jc w:val="right"/>
              <w:ind w:right="781"/>
              <w:spacing w:after="0"/>
              <w:rPr>
                <w:sz w:val="20"/>
                <w:szCs w:val="20"/>
                <w:color w:val="auto"/>
              </w:rPr>
            </w:pPr>
            <w:r>
              <w:rPr>
                <w:rFonts w:ascii="Arial" w:cs="Arial" w:eastAsia="Arial" w:hAnsi="Arial"/>
                <w:sz w:val="18"/>
                <w:szCs w:val="18"/>
                <w:color w:val="auto"/>
              </w:rPr>
              <w:t>Gross Unrealized</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8"/>
                <w:szCs w:val="18"/>
                <w:color w:val="auto"/>
                <w:w w:val="92"/>
              </w:rPr>
              <w:t>(Losses)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70,257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(438)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69,998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U.S. government treasuries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50,123</w:t>
            </w:r>
          </w:p>
        </w:tc>
        <w:tc>
          <w:tcPr>
            <w:tcW w:w="0" w:type="dxa"/>
            <w:vAlign w:val="bottom"/>
          </w:tcPr>
          <w:p>
            <w:pPr>
              <w:spacing w:after="0"/>
              <w:rPr>
                <w:sz w:val="1"/>
                <w:szCs w:val="1"/>
                <w:color w:val="auto"/>
              </w:rPr>
            </w:pPr>
          </w:p>
        </w:tc>
      </w:tr>
      <w:tr>
        <w:trPr>
          <w:trHeight w:val="230"/>
        </w:trPr>
        <w:tc>
          <w:tcPr>
            <w:tcW w:w="432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23,601</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30"/>
        </w:trPr>
        <w:tc>
          <w:tcPr>
            <w:tcW w:w="432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investment debt securities by contractual maturity at June 30, 2021 and December 31, 2020 are shown below. Expected maturities may differ from contractual maturities if the issuers of the securities have the right to call or prepay obligations with or without call or prepayment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w w:val="85"/>
              </w:rPr>
              <w:t>June 30, 2021</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color w:val="auto"/>
                <w:w w:val="94"/>
              </w:rPr>
              <w:t>December 31, 2020</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Held-to-Maturity</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ind w:right="250"/>
              <w:spacing w:after="0"/>
              <w:rPr>
                <w:sz w:val="20"/>
                <w:szCs w:val="20"/>
                <w:color w:val="auto"/>
              </w:rPr>
            </w:pPr>
            <w:r>
              <w:rPr>
                <w:rFonts w:ascii="Arial" w:cs="Arial" w:eastAsia="Arial" w:hAnsi="Arial"/>
                <w:sz w:val="18"/>
                <w:szCs w:val="18"/>
                <w:color w:val="auto"/>
              </w:rPr>
              <w:t>Available-for-Sale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ind w:left="200"/>
              <w:spacing w:after="0"/>
              <w:rPr>
                <w:sz w:val="20"/>
                <w:szCs w:val="20"/>
                <w:color w:val="auto"/>
              </w:rPr>
            </w:pPr>
            <w:r>
              <w:rPr>
                <w:rFonts w:ascii="Arial" w:cs="Arial" w:eastAsia="Arial" w:hAnsi="Arial"/>
                <w:sz w:val="18"/>
                <w:szCs w:val="18"/>
                <w:color w:val="auto"/>
              </w:rPr>
              <w:t>Held-to-Maturity</w:t>
            </w:r>
          </w:p>
        </w:tc>
        <w:tc>
          <w:tcPr>
            <w:tcW w:w="180" w:type="dxa"/>
            <w:vAlign w:val="bottom"/>
          </w:tcPr>
          <w:p>
            <w:pPr>
              <w:spacing w:after="0"/>
              <w:rPr>
                <w:sz w:val="19"/>
                <w:szCs w:val="19"/>
                <w:color w:val="auto"/>
              </w:rPr>
            </w:pPr>
          </w:p>
        </w:tc>
        <w:tc>
          <w:tcPr>
            <w:tcW w:w="1820" w:type="dxa"/>
            <w:vAlign w:val="bottom"/>
            <w:gridSpan w:val="4"/>
          </w:tcPr>
          <w:p>
            <w:pPr>
              <w:jc w:val="right"/>
              <w:ind w:right="250"/>
              <w:spacing w:after="0"/>
              <w:rPr>
                <w:sz w:val="20"/>
                <w:szCs w:val="20"/>
                <w:color w:val="auto"/>
              </w:rPr>
            </w:pPr>
            <w:r>
              <w:rPr>
                <w:rFonts w:ascii="Arial" w:cs="Arial" w:eastAsia="Arial" w:hAnsi="Arial"/>
                <w:sz w:val="18"/>
                <w:szCs w:val="18"/>
                <w:color w:val="auto"/>
              </w:rPr>
              <w:t>Available-for-Sale</w:t>
            </w:r>
          </w:p>
        </w:tc>
        <w:tc>
          <w:tcPr>
            <w:tcW w:w="100" w:type="dxa"/>
            <w:vAlign w:val="bottom"/>
          </w:tcPr>
          <w:p>
            <w:pPr>
              <w:spacing w:after="0"/>
              <w:rPr>
                <w:sz w:val="19"/>
                <w:szCs w:val="19"/>
                <w:color w:val="auto"/>
              </w:rPr>
            </w:pPr>
          </w:p>
        </w:tc>
      </w:tr>
      <w:tr>
        <w:trPr>
          <w:trHeight w:val="195"/>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320"/>
              <w:spacing w:after="0" w:line="195" w:lineRule="exact"/>
              <w:rPr>
                <w:sz w:val="20"/>
                <w:szCs w:val="20"/>
                <w:color w:val="auto"/>
              </w:rPr>
            </w:pPr>
            <w:r>
              <w:rPr>
                <w:rFonts w:ascii="Arial" w:cs="Arial" w:eastAsia="Arial" w:hAnsi="Arial"/>
                <w:sz w:val="18"/>
                <w:szCs w:val="18"/>
                <w:color w:val="auto"/>
              </w:rPr>
              <w:t>Amortized</w:t>
            </w:r>
          </w:p>
        </w:tc>
        <w:tc>
          <w:tcPr>
            <w:tcW w:w="5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5" w:lineRule="exact"/>
              <w:rPr>
                <w:sz w:val="20"/>
                <w:szCs w:val="20"/>
                <w:color w:val="auto"/>
              </w:rPr>
            </w:pPr>
            <w:r>
              <w:rPr>
                <w:rFonts w:ascii="Arial" w:cs="Arial" w:eastAsia="Arial" w:hAnsi="Arial"/>
                <w:sz w:val="18"/>
                <w:szCs w:val="18"/>
                <w:color w:val="auto"/>
                <w:w w:val="96"/>
              </w:rPr>
              <w:t>Amortized</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3"/>
          </w:tcPr>
          <w:p>
            <w:pPr>
              <w:jc w:val="center"/>
              <w:ind w:right="200"/>
              <w:spacing w:after="0" w:line="195" w:lineRule="exact"/>
              <w:rPr>
                <w:sz w:val="20"/>
                <w:szCs w:val="20"/>
                <w:color w:val="auto"/>
              </w:rPr>
            </w:pPr>
            <w:r>
              <w:rPr>
                <w:rFonts w:ascii="Arial" w:cs="Arial" w:eastAsia="Arial" w:hAnsi="Arial"/>
                <w:sz w:val="18"/>
                <w:szCs w:val="18"/>
                <w:color w:val="auto"/>
                <w:w w:val="96"/>
              </w:rPr>
              <w:t>Amortized</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3"/>
          </w:tcPr>
          <w:p>
            <w:pPr>
              <w:jc w:val="right"/>
              <w:ind w:right="280"/>
              <w:spacing w:after="0" w:line="195" w:lineRule="exact"/>
              <w:rPr>
                <w:sz w:val="20"/>
                <w:szCs w:val="20"/>
                <w:color w:val="auto"/>
              </w:rPr>
            </w:pPr>
            <w:r>
              <w:rPr>
                <w:rFonts w:ascii="Arial" w:cs="Arial" w:eastAsia="Arial" w:hAnsi="Arial"/>
                <w:sz w:val="18"/>
                <w:szCs w:val="18"/>
                <w:color w:val="auto"/>
                <w:w w:val="98"/>
              </w:rPr>
              <w:t>Amortized</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Fair Value</w:t>
            </w:r>
          </w:p>
        </w:tc>
        <w:tc>
          <w:tcPr>
            <w:tcW w:w="2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Cost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Fair Value</w:t>
            </w:r>
          </w:p>
        </w:tc>
        <w:tc>
          <w:tcPr>
            <w:tcW w:w="18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Cost</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Fair Value</w:t>
            </w: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w w:val="99"/>
              </w:rPr>
              <w:t>After one but within five years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1,950</w:t>
            </w:r>
          </w:p>
        </w:tc>
        <w:tc>
          <w:tcPr>
            <w:tcW w:w="5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2,066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After five years through ten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2,755</w:t>
            </w:r>
          </w:p>
        </w:tc>
        <w:tc>
          <w:tcPr>
            <w:tcW w:w="5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2,919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1,348</w:t>
            </w:r>
          </w:p>
        </w:tc>
        <w:tc>
          <w:tcPr>
            <w:tcW w:w="5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1,428</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42,217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42,756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2,587</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2,838</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47,656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48,615</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Investment securities not due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gridSpan w:val="2"/>
          </w:tcPr>
          <w:p>
            <w:pPr>
              <w:ind w:left="160"/>
              <w:spacing w:after="0"/>
              <w:rPr>
                <w:sz w:val="20"/>
                <w:szCs w:val="20"/>
                <w:color w:val="auto"/>
              </w:rPr>
            </w:pPr>
            <w:r>
              <w:rPr>
                <w:rFonts w:ascii="Arial" w:cs="Arial" w:eastAsia="Arial" w:hAnsi="Arial"/>
                <w:sz w:val="18"/>
                <w:szCs w:val="18"/>
                <w:color w:val="auto"/>
              </w:rPr>
              <w:t>at a single maturity date: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70,257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Collateralized mortgage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29,284</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29,244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32,069</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31,828</w:t>
            </w:r>
          </w:p>
        </w:tc>
      </w:tr>
      <w:tr>
        <w:trPr>
          <w:trHeight w:val="223"/>
        </w:trPr>
        <w:tc>
          <w:tcPr>
            <w:tcW w:w="2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2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gridSpan w:val="2"/>
          </w:tcPr>
          <w:p>
            <w:pPr>
              <w:jc w:val="right"/>
              <w:ind w:right="10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Sales of investment securities and gross gains and losses are shown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7"/>
          </w:tcPr>
          <w:p>
            <w:pPr>
              <w:ind w:left="100"/>
              <w:spacing w:after="0"/>
              <w:rPr>
                <w:sz w:val="20"/>
                <w:szCs w:val="20"/>
                <w:color w:val="auto"/>
              </w:rPr>
            </w:pPr>
            <w:r>
              <w:rPr>
                <w:rFonts w:ascii="Arial" w:cs="Arial" w:eastAsia="Arial" w:hAnsi="Arial"/>
                <w:sz w:val="18"/>
                <w:szCs w:val="18"/>
                <w:color w:val="auto"/>
              </w:rPr>
              <w:t>For the three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7"/>
          </w:tcPr>
          <w:p>
            <w:pPr>
              <w:ind w:left="200"/>
              <w:spacing w:after="0"/>
              <w:rPr>
                <w:sz w:val="20"/>
                <w:szCs w:val="20"/>
                <w:color w:val="auto"/>
              </w:rPr>
            </w:pPr>
            <w:r>
              <w:rPr>
                <w:rFonts w:ascii="Arial" w:cs="Arial" w:eastAsia="Arial" w:hAnsi="Arial"/>
                <w:sz w:val="18"/>
                <w:szCs w:val="18"/>
                <w:color w:val="auto"/>
              </w:rPr>
              <w:t>For the six months ended</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9"/>
                <w:szCs w:val="19"/>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June 30, 2021</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7"/>
              </w:rPr>
              <w:t>June 30, 2020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7"/>
              </w:rPr>
              <w:t>June 30, 2021</w:t>
            </w: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00" w:type="dxa"/>
            <w:vAlign w:val="bottom"/>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Sales proceeds</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4,726</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13,538</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16,182</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32,234</w:t>
            </w: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realized gains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426"/>
        </w:trPr>
        <w:tc>
          <w:tcPr>
            <w:tcW w:w="5400" w:type="dxa"/>
            <w:vAlign w:val="bottom"/>
          </w:tcPr>
          <w:p>
            <w:pPr>
              <w:spacing w:after="0"/>
              <w:rPr>
                <w:sz w:val="20"/>
                <w:szCs w:val="20"/>
                <w:color w:val="auto"/>
              </w:rPr>
            </w:pPr>
            <w:r>
              <w:rPr>
                <w:rFonts w:ascii="Arial" w:cs="Arial" w:eastAsia="Arial" w:hAnsi="Arial"/>
                <w:sz w:val="18"/>
                <w:szCs w:val="18"/>
                <w:color w:val="auto"/>
              </w:rPr>
              <w:t>Pledged investment securities are shown in the following table:</w:t>
            </w: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40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8"/>
                <w:szCs w:val="18"/>
                <w:color w:val="auto"/>
                <w:w w:val="85"/>
              </w:rPr>
              <w:t>June 30, 2021</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2020</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Pledged to the State of California:</w:t>
            </w: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ind w:left="160"/>
              <w:spacing w:after="0"/>
              <w:rPr>
                <w:sz w:val="20"/>
                <w:szCs w:val="20"/>
                <w:color w:val="auto"/>
              </w:rPr>
            </w:pPr>
            <w:r>
              <w:rPr>
                <w:rFonts w:ascii="Arial" w:cs="Arial" w:eastAsia="Arial" w:hAnsi="Arial"/>
                <w:sz w:val="18"/>
                <w:szCs w:val="18"/>
                <w:color w:val="auto"/>
              </w:rPr>
              <w:t>Secure deposits of public funds and borrowings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48,663</w:t>
            </w:r>
          </w:p>
        </w:tc>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52,897</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pledged investment securities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48,663</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June 30, 2021 and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Total securities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320" w:type="dxa"/>
            <w:vAlign w:val="bottom"/>
            <w:gridSpan w:val="6"/>
          </w:tcPr>
          <w:p>
            <w:pPr>
              <w:jc w:val="right"/>
              <w:ind w:right="341"/>
              <w:spacing w:after="0"/>
              <w:rPr>
                <w:sz w:val="20"/>
                <w:szCs w:val="20"/>
                <w:color w:val="auto"/>
              </w:rPr>
            </w:pPr>
            <w:r>
              <w:rPr>
                <w:rFonts w:ascii="Arial" w:cs="Arial" w:eastAsia="Arial" w:hAnsi="Arial"/>
                <w:sz w:val="18"/>
                <w:szCs w:val="18"/>
                <w:color w:val="auto"/>
                <w:w w:val="98"/>
              </w:rPr>
              <w:t>&lt; 12 continuous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right"/>
              <w:ind w:right="421"/>
              <w:spacing w:after="0"/>
              <w:rPr>
                <w:sz w:val="20"/>
                <w:szCs w:val="20"/>
                <w:color w:val="auto"/>
              </w:rPr>
            </w:pPr>
            <w:r>
              <w:rPr>
                <w:rFonts w:ascii="Arial" w:cs="Arial" w:eastAsia="Arial" w:hAnsi="Arial"/>
                <w:sz w:val="18"/>
                <w:szCs w:val="18"/>
                <w:color w:val="auto"/>
                <w:w w:val="98"/>
              </w:rPr>
              <w:t>≥ 12 continuous months</w:t>
            </w:r>
          </w:p>
        </w:tc>
        <w:tc>
          <w:tcPr>
            <w:tcW w:w="120" w:type="dxa"/>
            <w:vAlign w:val="bottom"/>
          </w:tcPr>
          <w:p>
            <w:pPr>
              <w:spacing w:after="0"/>
              <w:rPr>
                <w:sz w:val="20"/>
                <w:szCs w:val="20"/>
                <w:color w:val="auto"/>
              </w:rPr>
            </w:pPr>
          </w:p>
        </w:tc>
        <w:tc>
          <w:tcPr>
            <w:tcW w:w="178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in a loss position</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Fair value</w:t>
            </w:r>
          </w:p>
        </w:tc>
        <w:tc>
          <w:tcPr>
            <w:tcW w:w="1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87"/>
              </w:rPr>
              <w:t>Unrealized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Fair value</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Unrealized loss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3"/>
              </w:rPr>
              <w:t>Fair value</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Unrealized loss</w:t>
            </w:r>
          </w:p>
        </w:tc>
        <w:tc>
          <w:tcPr>
            <w:tcW w:w="100" w:type="dxa"/>
            <w:vAlign w:val="bottom"/>
            <w:gridSpan w:val="2"/>
          </w:tcPr>
          <w:p>
            <w:pPr>
              <w:spacing w:after="0"/>
              <w:rPr>
                <w:sz w:val="19"/>
                <w:szCs w:val="19"/>
                <w:color w:val="auto"/>
              </w:rPr>
            </w:pPr>
          </w:p>
        </w:tc>
      </w:tr>
      <w:tr>
        <w:trPr>
          <w:trHeight w:val="209"/>
        </w:trPr>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53,204</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(438)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53,204</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11,516</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15,537</w:t>
            </w:r>
          </w:p>
        </w:tc>
        <w:tc>
          <w:tcPr>
            <w:tcW w:w="6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15,759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15,759</w:t>
            </w:r>
          </w:p>
        </w:tc>
        <w:tc>
          <w:tcPr>
            <w:tcW w:w="6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229"/>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treasuries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w:t>
            </w:r>
          </w:p>
        </w:tc>
        <w:tc>
          <w:tcPr>
            <w:tcW w:w="6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 temporarily impaired securities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86,690</w:t>
            </w: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14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42" w:lineRule="exact"/>
        <w:rPr>
          <w:sz w:val="20"/>
          <w:szCs w:val="20"/>
          <w:color w:val="auto"/>
        </w:rPr>
      </w:pPr>
    </w:p>
    <w:p>
      <w:pPr>
        <w:ind w:left="160" w:right="1300" w:hanging="155"/>
        <w:spacing w:after="0" w:line="289" w:lineRule="auto"/>
        <w:rPr>
          <w:sz w:val="20"/>
          <w:szCs w:val="20"/>
          <w:color w:val="auto"/>
        </w:rPr>
      </w:pPr>
      <w:r>
        <w:rPr>
          <w:rFonts w:ascii="Arial" w:cs="Arial" w:eastAsia="Arial" w:hAnsi="Arial"/>
          <w:sz w:val="16"/>
          <w:szCs w:val="16"/>
          <w:b w:val="1"/>
          <w:bCs w:val="1"/>
          <w:color w:val="auto"/>
        </w:rPr>
        <w:t xml:space="preserve">December 31, 2020 </w:t>
      </w:r>
      <w:r>
        <w:rPr>
          <w:rFonts w:ascii="Arial" w:cs="Arial" w:eastAsia="Arial" w:hAnsi="Arial"/>
          <w:sz w:val="16"/>
          <w:szCs w:val="16"/>
          <w:color w:val="auto"/>
        </w:rPr>
        <w:t>Mortgage-backed securities U.S. government agencies</w:t>
      </w:r>
    </w:p>
    <w:p>
      <w:pPr>
        <w:spacing w:after="0" w:line="2" w:lineRule="exact"/>
        <w:rPr>
          <w:sz w:val="20"/>
          <w:szCs w:val="20"/>
          <w:color w:val="auto"/>
        </w:rPr>
      </w:pPr>
    </w:p>
    <w:p>
      <w:pPr>
        <w:ind w:firstLine="156"/>
        <w:spacing w:after="0" w:line="341" w:lineRule="auto"/>
        <w:rPr>
          <w:sz w:val="20"/>
          <w:szCs w:val="20"/>
          <w:color w:val="auto"/>
        </w:rPr>
      </w:pPr>
      <w:r>
        <w:rPr>
          <w:rFonts w:ascii="Arial" w:cs="Arial" w:eastAsia="Arial" w:hAnsi="Arial"/>
          <w:sz w:val="16"/>
          <w:szCs w:val="16"/>
          <w:color w:val="auto"/>
        </w:rPr>
        <w:t>Obligations of state and political subdivisions Total temporarily impaired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Total securities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920" w:type="dxa"/>
            <w:vAlign w:val="bottom"/>
            <w:gridSpan w:val="4"/>
          </w:tcPr>
          <w:p>
            <w:pPr>
              <w:ind w:left="160"/>
              <w:spacing w:after="0"/>
              <w:rPr>
                <w:sz w:val="20"/>
                <w:szCs w:val="20"/>
                <w:color w:val="auto"/>
              </w:rPr>
            </w:pPr>
            <w:r>
              <w:rPr>
                <w:rFonts w:ascii="Arial" w:cs="Arial" w:eastAsia="Arial" w:hAnsi="Arial"/>
                <w:sz w:val="18"/>
                <w:szCs w:val="18"/>
                <w:color w:val="auto"/>
                <w:w w:val="90"/>
              </w:rPr>
              <w:t>&lt; 12 continuous months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right"/>
              <w:ind w:right="421"/>
              <w:spacing w:after="0"/>
              <w:rPr>
                <w:sz w:val="20"/>
                <w:szCs w:val="20"/>
                <w:color w:val="auto"/>
              </w:rPr>
            </w:pPr>
            <w:r>
              <w:rPr>
                <w:rFonts w:ascii="Arial" w:cs="Arial" w:eastAsia="Arial" w:hAnsi="Arial"/>
                <w:sz w:val="18"/>
                <w:szCs w:val="18"/>
                <w:color w:val="auto"/>
                <w:w w:val="98"/>
              </w:rPr>
              <w:t>≥ 12 continuous months</w:t>
            </w:r>
          </w:p>
        </w:tc>
        <w:tc>
          <w:tcPr>
            <w:tcW w:w="120" w:type="dxa"/>
            <w:vAlign w:val="bottom"/>
          </w:tcPr>
          <w:p>
            <w:pPr>
              <w:spacing w:after="0"/>
              <w:rPr>
                <w:sz w:val="20"/>
                <w:szCs w:val="20"/>
                <w:color w:val="auto"/>
              </w:rPr>
            </w:pPr>
          </w:p>
        </w:tc>
        <w:tc>
          <w:tcPr>
            <w:tcW w:w="178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in a loss position</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Fair value</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7"/>
              </w:rPr>
              <w:t>Unrealized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Fair 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Unrealized loss</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Fair value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Unrealized loss</w:t>
            </w:r>
          </w:p>
        </w:tc>
        <w:tc>
          <w:tcPr>
            <w:tcW w:w="4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r>
      <w:tr>
        <w:trPr>
          <w:trHeight w:val="41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1,786</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18"/>
                <w:szCs w:val="18"/>
                <w:color w:val="auto"/>
                <w:w w:val="93"/>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15,195</w:t>
            </w:r>
          </w:p>
        </w:tc>
        <w:tc>
          <w:tcPr>
            <w:tcW w:w="4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25,995</w:t>
            </w:r>
          </w:p>
        </w:tc>
        <w:tc>
          <w:tcPr>
            <w:tcW w:w="6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(352)</w:t>
            </w:r>
          </w:p>
        </w:tc>
      </w:tr>
      <w:tr>
        <w:trPr>
          <w:trHeight w:val="244"/>
        </w:trPr>
        <w:tc>
          <w:tcPr>
            <w:tcW w:w="1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3,922</w:t>
            </w:r>
          </w:p>
        </w:tc>
        <w:tc>
          <w:tcPr>
            <w:tcW w:w="68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15,195</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-745490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-462280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-179705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460" w:space="300"/>
            <w:col w:w="7480"/>
          </w:cols>
          <w:pgMar w:left="320" w:top="692"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There were 81 and 31 securities in unrealized loss positions at June 30, 2021 and December 31, 2020, respectively, which were all classified as available-for-sale. As of June 30, 2021, the investment portfolio included 11 investment securities that had been in a continuous loss position for twelve months or more and 70 investment securities that had been in a loss position for less than twelve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and the Company does not intend to sell the securities and it is more likely than not that the Company will not be required to sell the securities before the earlier of the forecasted recovery or the maturity of the underlying debt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held-to-maturity securities in a continuous loss position at June 30, 2021 or December 31,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GNMA and SBA or GSEs under conservatorship such as FNMA and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investment in obligations of state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FHLB Capital Stock</w:t>
      </w:r>
      <w:r>
        <w:rPr>
          <w:rFonts w:ascii="Arial" w:cs="Arial" w:eastAsia="Arial" w:hAnsi="Arial"/>
          <w:sz w:val="16"/>
          <w:szCs w:val="16"/>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$6.7 million and $6.2 million of FHLB stock at June 30, 2021 and December 31, 2020, respectively. The carrying amounts of these investments are reasonable estimates of fair value because the securities are restricted to member banks, and they do not have a readily determinable market value. Based on management’s analysis of FHLB’s financial condition and certain qualitative factors, management determined that the FHLB stock was not impaired at June 30, 2021 and December 31, 2020. On April 29, 2021, FHLB announced a cash dividend for the first quarter of 2021 at an annualized dividend rate of 6.00%, which was paid on May 11, 2021. For the three and six months ended June 30, 2021, cash dividends received on FHLB capital stock in the amount of $0.1 million and $0.2 million, respectively, were recorded as non-interest income on the consolidated statements of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and Allowance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with strong underwriting. As of June 30, 2021 and December 31, 2020, the carrying value of total loans held for investment amounted to $1.6 billion and $1.5 billion, respectively. The following table presents the balance of each major product type within the Company’s portfolio as of the dates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520" w:type="dxa"/>
            <w:vAlign w:val="bottom"/>
            <w:gridSpan w:val="3"/>
          </w:tcPr>
          <w:p>
            <w:pPr>
              <w:spacing w:after="0"/>
              <w:rPr>
                <w:sz w:val="20"/>
                <w:szCs w:val="20"/>
                <w:color w:val="auto"/>
              </w:rPr>
            </w:pPr>
            <w:r>
              <w:rPr>
                <w:rFonts w:ascii="Arial" w:cs="Arial" w:eastAsia="Arial" w:hAnsi="Arial"/>
                <w:sz w:val="18"/>
                <w:szCs w:val="18"/>
                <w:color w:val="auto"/>
                <w:w w:val="94"/>
              </w:rPr>
              <w:t>December 31, 2020</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1,153,600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1,002,497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10,472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67,984</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6,362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26,447</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48,888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127,237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138,676</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20,772</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Paycheck Protection Program (“PPP”)</w:t>
            </w:r>
          </w:p>
        </w:tc>
        <w:tc>
          <w:tcPr>
            <w:tcW w:w="3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120,936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Consumer and other</w:t>
            </w:r>
          </w:p>
        </w:tc>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6,902</w:t>
            </w: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3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1,589,600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Less: Net deferred loan fees</w:t>
            </w: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4,138</w:t>
            </w: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3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22,153</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loans, net</w:t>
            </w:r>
          </w:p>
        </w:tc>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1,563,309</w:t>
            </w: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00" w:type="dxa"/>
            <w:vAlign w:val="bottom"/>
            <w:vMerge w:val="restart"/>
          </w:tcPr>
          <w:p>
            <w:pPr>
              <w:jc w:val="right"/>
              <w:ind w:right="193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240" w:type="dxa"/>
            <w:vAlign w:val="bottom"/>
            <w:tcBorders>
              <w:bottom w:val="single" w:sz="8" w:color="DCDCDC"/>
            </w:tcBorders>
          </w:tcPr>
          <w:p>
            <w:pPr>
              <w:spacing w:after="0"/>
              <w:rPr>
                <w:sz w:val="24"/>
                <w:szCs w:val="24"/>
                <w:color w:val="auto"/>
              </w:rPr>
            </w:pPr>
          </w:p>
        </w:tc>
        <w:tc>
          <w:tcPr>
            <w:tcW w:w="3500" w:type="dxa"/>
            <w:vAlign w:val="bottom"/>
            <w:tcBorders>
              <w:bottom w:val="single" w:sz="8" w:color="DCDCDC"/>
            </w:tcBorders>
            <w:vMerge w:val="continue"/>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Real estate loans</w:t>
      </w:r>
      <w:r>
        <w:rPr>
          <w:rFonts w:ascii="Arial" w:cs="Arial" w:eastAsia="Arial" w:hAnsi="Arial"/>
          <w:sz w:val="17"/>
          <w:szCs w:val="17"/>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the Company’s commercial real estate portfolio are diverse in terms of type and geographic location. This diversity helps reduce the Company’s exposure to adverse economic events that affect any single market or industry. Management monitors and evaluates commercial real estate loans based on collateral, geography, and risk grade criteria.</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by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(a) a history of losses or events that threaten the borrower’s viability, (b) a property with significant depreciation and/or marketability concerns, or (c) poor or deteriorating credit, occasional late payments, and/or limited reserves but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June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Pass</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Substandard</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1,102,858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15,223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35,519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1,153,600</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10,472</w:t>
            </w: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62,084</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5,900</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67,984</w:t>
            </w: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26,266</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26,447</w:t>
            </w: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48,888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48,888</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126,211</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127,237</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20,772</w:t>
            </w: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120,936</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120,936</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6,902</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9"/>
                <w:szCs w:val="19"/>
                <w:color w:val="auto"/>
              </w:rPr>
            </w:pPr>
          </w:p>
        </w:tc>
      </w:tr>
      <w:tr>
        <w:trPr>
          <w:trHeight w:val="209"/>
        </w:trPr>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1,531,751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21,123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36,726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1,589,600</w:t>
            </w:r>
          </w:p>
        </w:tc>
        <w:tc>
          <w:tcPr>
            <w:tcW w:w="10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Pass</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Substandard</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950,118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16,836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1,002,497</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85,860</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5,900</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30,248</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50,164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136,992</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1,552</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147,965</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4,921</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1,446,308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24,288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Management reviews other consumer loans based on delinquency. Management also reviews loans graded “Watch” or worse, regardless of loan type, no less than quarterly.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age analysis of past due loans by class as of June 30, 2021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80" w:type="dxa"/>
            <w:vAlign w:val="bottom"/>
            <w:gridSpan w:val="5"/>
          </w:tcPr>
          <w:p>
            <w:pPr>
              <w:ind w:left="160"/>
              <w:spacing w:after="0"/>
              <w:rPr>
                <w:sz w:val="20"/>
                <w:szCs w:val="20"/>
                <w:color w:val="auto"/>
              </w:rPr>
            </w:pPr>
            <w:r>
              <w:rPr>
                <w:rFonts w:ascii="Arial" w:cs="Arial" w:eastAsia="Arial" w:hAnsi="Arial"/>
                <w:sz w:val="18"/>
                <w:szCs w:val="18"/>
                <w:color w:val="auto"/>
              </w:rPr>
              <w:t>Past Due</w:t>
            </w:r>
          </w:p>
        </w:tc>
        <w:tc>
          <w:tcPr>
            <w:tcW w:w="120" w:type="dxa"/>
            <w:vAlign w:val="bottom"/>
          </w:tcPr>
          <w:p>
            <w:pPr>
              <w:spacing w:after="0"/>
              <w:rPr>
                <w:sz w:val="20"/>
                <w:szCs w:val="2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Past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30-89</w:t>
            </w: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80" w:type="dxa"/>
            <w:vAlign w:val="bottom"/>
          </w:tcPr>
          <w:p>
            <w:pPr>
              <w:jc w:val="right"/>
              <w:spacing w:after="0"/>
              <w:rPr>
                <w:sz w:val="20"/>
                <w:szCs w:val="20"/>
                <w:color w:val="auto"/>
              </w:rPr>
            </w:pPr>
            <w:r>
              <w:rPr>
                <w:rFonts w:ascii="Arial" w:cs="Arial" w:eastAsia="Arial" w:hAnsi="Arial"/>
                <w:sz w:val="18"/>
                <w:szCs w:val="18"/>
                <w:color w:val="auto"/>
              </w:rPr>
              <w:t>Days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90 Days</w:t>
            </w:r>
          </w:p>
        </w:tc>
        <w:tc>
          <w:tcPr>
            <w:tcW w:w="12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Due</w:t>
            </w:r>
          </w:p>
        </w:tc>
        <w:tc>
          <w:tcPr>
            <w:tcW w:w="16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1,153,600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7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67,984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67,984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6,362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7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26,447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48,888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7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127,237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20,772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20,772</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7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120,936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780" w:type="dxa"/>
            <w:vAlign w:val="bottom"/>
          </w:tcPr>
          <w:p>
            <w:pPr>
              <w:spacing w:after="0"/>
              <w:rPr>
                <w:sz w:val="19"/>
                <w:szCs w:val="19"/>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6,902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1,589,600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1,589,600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30-89 days past due nor any loans greater than 90 days past due and still accruing as of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2020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89"/>
              </w:rPr>
              <w:t>Past Due</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30-89</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87"/>
              </w:rPr>
              <w:t>Greater Than</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thousands</w:t>
            </w: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Days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90 Days</w:t>
            </w:r>
          </w:p>
        </w:tc>
        <w:tc>
          <w:tcPr>
            <w:tcW w:w="136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6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loans:</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740" w:type="dxa"/>
            <w:vAlign w:val="bottom"/>
          </w:tcPr>
          <w:p>
            <w:pPr>
              <w:jc w:val="right"/>
              <w:ind w:right="578"/>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1,002,497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7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91,760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7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30,431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7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138,676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7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147,965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740" w:type="dxa"/>
            <w:vAlign w:val="bottom"/>
          </w:tcPr>
          <w:p>
            <w:pPr>
              <w:spacing w:after="0"/>
              <w:rPr>
                <w:sz w:val="19"/>
                <w:szCs w:val="19"/>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137</w:t>
            </w:r>
          </w:p>
        </w:tc>
        <w:tc>
          <w:tcPr>
            <w:tcW w:w="18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4,784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740" w:type="dxa"/>
            <w:vAlign w:val="bottom"/>
          </w:tcPr>
          <w:p>
            <w:pPr>
              <w:jc w:val="right"/>
              <w:ind w:right="578"/>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1,506,317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1,506,454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Impaired Loans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00" w:type="dxa"/>
            <w:vAlign w:val="bottom"/>
            <w:gridSpan w:val="11"/>
          </w:tcPr>
          <w:p>
            <w:pPr>
              <w:spacing w:after="0"/>
              <w:rPr>
                <w:sz w:val="20"/>
                <w:szCs w:val="20"/>
                <w:color w:val="auto"/>
              </w:rPr>
            </w:pPr>
            <w:r>
              <w:rPr>
                <w:rFonts w:ascii="Arial" w:cs="Arial" w:eastAsia="Arial" w:hAnsi="Arial"/>
                <w:sz w:val="18"/>
                <w:szCs w:val="18"/>
                <w:color w:val="auto"/>
              </w:rPr>
              <w:t>Information related to impaired loans as of June 30, 2021 and December 31, 2020 consisted of the following:</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Unpaid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Interest</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Recorded</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Principal</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Related</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Income</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Investment</w:t>
            </w:r>
          </w:p>
        </w:tc>
        <w:tc>
          <w:tcPr>
            <w:tcW w:w="2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Allowance</w:t>
            </w: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Investment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Recognized</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secured</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impaired loans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4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Commercial secured</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collateral dependent loans were in process of foreclosure at June 30, 2021 or December 31, 2020. In addition, the weighted average loan-to-value of impaired, collateral dependent loans was approximately 44.76% at June 30, 2021 and 50.51% at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Nonaccrual loans, segregated by class, are as follows as of June 30, 2021 and December 31, 2020:</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rPr>
              <w:t>June 30, 2021</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2020</w:t>
            </w:r>
          </w:p>
        </w:tc>
      </w:tr>
      <w:tr>
        <w:trPr>
          <w:trHeight w:val="210"/>
        </w:trPr>
        <w:tc>
          <w:tcPr>
            <w:tcW w:w="81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Real estate loans:</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84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Commercial Secured</w:t>
            </w:r>
          </w:p>
        </w:tc>
        <w:tc>
          <w:tcPr>
            <w:tcW w:w="4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r>
      <w:tr>
        <w:trPr>
          <w:trHeight w:val="230"/>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Total nonaccrual loans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foregone interest income related to nonaccrual loans was $6,776 for the three months ended June 30, 2021 and $13,583 for the six months ended June 30, 2021, compared to $6,108 and $17,864 for the three and six months ended June 30,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loan portfolio includes certain loans that have been modified in a troubled debt restructuring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 restructure and may only be returned to accruing status after considering the borrower’s sustained repayment performance for a reasonable period, generally six months.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loan is modified, it is measured based upon the present value of future cash flows discounted at the contractual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There were no loans outstanding with a TDR designation at June 30, 2021, December 31, 2020, and June 30, 2020.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4013 of the Coronavirus Aid, Relief, and Economic Security Act (“CARES Act”), as subsequently amended by the Consolidated Appropriations Act, 2021, provided TDR relief for borrowers affected by the COVID-19 pandemic. Specifically, the CARES Act, as amended, specified that to be eligible not to be considered a TDR, a loan modification must be (1) related to the COVID-19 pandemic; (2) executed on a loan that was not more than 30 days past due as of December 31, 2019; and (3) executed between March 1, 2020, and the earlier of (a) 60 days after the date of termination of the federal national emergency, or (b) January 1, 2022. In accordance with section 4013 of the CARES Act, the Company elected to apply the temporary accounting relief provisions for loan modifications that met certain criteria, which would otherwise be designated TDRs under existing GAAP. As of June 30, 2021, eight borrowing relationships with ten loans totaling $12.9 million were continuing to benefit from payment relief.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loan losses for the periods presented.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Allowance for Loan Losses Rollforward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Real Estate</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4"/>
          </w:tcPr>
          <w:p>
            <w:pPr>
              <w:jc w:val="right"/>
              <w:ind w:right="140"/>
              <w:spacing w:after="0" w:line="155" w:lineRule="exact"/>
              <w:rPr>
                <w:sz w:val="20"/>
                <w:szCs w:val="20"/>
                <w:color w:val="auto"/>
              </w:rPr>
            </w:pPr>
            <w:r>
              <w:rPr>
                <w:rFonts w:ascii="Arial" w:cs="Arial" w:eastAsia="Arial" w:hAnsi="Arial"/>
                <w:sz w:val="14"/>
                <w:szCs w:val="14"/>
                <w:color w:val="auto"/>
                <w:w w:val="96"/>
              </w:rPr>
              <w:t>Commercial</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r>
        <w:trPr>
          <w:trHeight w:val="123"/>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Comml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Land and</w:t>
            </w:r>
          </w:p>
        </w:tc>
        <w:tc>
          <w:tcPr>
            <w:tcW w:w="80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Comml</w:t>
            </w: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Resid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Farm-</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Comml</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Devel</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Const</w:t>
            </w: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87"/>
              </w:rPr>
              <w:t>Const</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Resid</w:t>
            </w:r>
          </w:p>
        </w:tc>
        <w:tc>
          <w:tcPr>
            <w:tcW w:w="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land</w:t>
            </w: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Secured</w:t>
            </w:r>
          </w:p>
        </w:tc>
        <w:tc>
          <w:tcPr>
            <w:tcW w:w="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Unsec</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PPP</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Consu</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Unal</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Total</w:t>
            </w:r>
          </w:p>
        </w:tc>
      </w:tr>
      <w:tr>
        <w:trPr>
          <w:trHeight w:val="142"/>
        </w:trPr>
        <w:tc>
          <w:tcPr>
            <w:tcW w:w="21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2"/>
              </w:rPr>
              <w:t>Three months ended June 30, 2021</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10,219</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504</w:t>
            </w: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8,918</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22,271</w:t>
            </w:r>
          </w:p>
        </w:tc>
        <w:tc>
          <w:tcPr>
            <w:tcW w:w="40" w:type="dxa"/>
            <w:vAlign w:val="bottom"/>
          </w:tcPr>
          <w:p>
            <w:pPr>
              <w:spacing w:after="0"/>
              <w:rPr>
                <w:sz w:val="12"/>
                <w:szCs w:val="12"/>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w:t>
            </w:r>
          </w:p>
        </w:tc>
        <w:tc>
          <w:tcPr>
            <w:tcW w:w="2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40" w:type="dxa"/>
            <w:vAlign w:val="bottom"/>
          </w:tcPr>
          <w:p>
            <w:pPr>
              <w:spacing w:after="0"/>
              <w:rPr>
                <w:sz w:val="12"/>
                <w:szCs w:val="12"/>
                <w:color w:val="auto"/>
              </w:rPr>
            </w:pPr>
          </w:p>
        </w:tc>
      </w:tr>
      <w:tr>
        <w:trPr>
          <w:trHeight w:val="16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Provision (recapture)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w:t>
            </w:r>
          </w:p>
        </w:tc>
        <w:tc>
          <w:tcPr>
            <w:tcW w:w="3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(11)</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(134)</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95"/>
        </w:trPr>
        <w:tc>
          <w:tcPr>
            <w:tcW w:w="20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Ending balance</w:t>
            </w: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10,108</w:t>
            </w:r>
          </w:p>
        </w:tc>
        <w:tc>
          <w:tcPr>
            <w:tcW w:w="2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22,153</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102"/>
        </w:trPr>
        <w:tc>
          <w:tcPr>
            <w:tcW w:w="2180" w:type="dxa"/>
            <w:vAlign w:val="bottom"/>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Three months ended June 30, 2020</w:t>
            </w:r>
          </w:p>
        </w:tc>
        <w:tc>
          <w:tcPr>
            <w:tcW w:w="4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7,752</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128</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919</w:t>
            </w: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156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4,720</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16,491</w:t>
            </w:r>
          </w:p>
        </w:tc>
        <w:tc>
          <w:tcPr>
            <w:tcW w:w="40" w:type="dxa"/>
            <w:vAlign w:val="bottom"/>
          </w:tcPr>
          <w:p>
            <w:pPr>
              <w:spacing w:after="0"/>
              <w:rPr>
                <w:sz w:val="12"/>
                <w:szCs w:val="12"/>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40" w:type="dxa"/>
            <w:vAlign w:val="bottom"/>
          </w:tcPr>
          <w:p>
            <w:pPr>
              <w:spacing w:after="0"/>
              <w:rPr>
                <w:sz w:val="12"/>
                <w:szCs w:val="12"/>
                <w:color w:val="auto"/>
              </w:rPr>
            </w:pPr>
          </w:p>
        </w:tc>
      </w:tr>
      <w:tr>
        <w:trPr>
          <w:trHeight w:val="16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Provision (recapture)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(251)</w:t>
            </w:r>
          </w:p>
        </w:tc>
        <w:tc>
          <w:tcPr>
            <w:tcW w:w="3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(41)</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(652)</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2,361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1,550</w:t>
            </w:r>
          </w:p>
        </w:tc>
        <w:tc>
          <w:tcPr>
            <w:tcW w:w="40" w:type="dxa"/>
            <w:vAlign w:val="bottom"/>
            <w:shd w:val="clear" w:color="auto" w:fill="CCEEFF"/>
          </w:tcPr>
          <w:p>
            <w:pPr>
              <w:spacing w:after="0"/>
              <w:rPr>
                <w:sz w:val="14"/>
                <w:szCs w:val="14"/>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7,501</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115</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17,905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Six months ended June 30, 2021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9,358</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821</w:t>
            </w: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9,476</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632</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22,189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28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Provision (recapture)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w:t>
            </w:r>
          </w:p>
        </w:tc>
        <w:tc>
          <w:tcPr>
            <w:tcW w:w="3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(41)</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(218)</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20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Ending balance</w:t>
            </w: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10,108</w:t>
            </w:r>
          </w:p>
        </w:tc>
        <w:tc>
          <w:tcPr>
            <w:tcW w:w="2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22,153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29"/>
        </w:trPr>
        <w:tc>
          <w:tcPr>
            <w:tcW w:w="20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Six months ended June 30, 2020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00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6,331</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109</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w:t>
            </w: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116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4,976</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601</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427</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14,915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(487)</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Recoveries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2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Provision (recapture)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1,170</w:t>
            </w:r>
          </w:p>
        </w:tc>
        <w:tc>
          <w:tcPr>
            <w:tcW w:w="3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704</w:t>
            </w:r>
          </w:p>
        </w:tc>
        <w:tc>
          <w:tcPr>
            <w:tcW w:w="2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(389)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0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7,501</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115</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w:t>
            </w: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17,905</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by impairment methodology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w w:val="88"/>
              </w:rPr>
              <w:t>Real Estate</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Commercial</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ind w:left="100"/>
              <w:spacing w:after="0" w:line="123" w:lineRule="exact"/>
              <w:rPr>
                <w:sz w:val="20"/>
                <w:szCs w:val="20"/>
                <w:color w:val="auto"/>
              </w:rPr>
            </w:pPr>
            <w:r>
              <w:rPr>
                <w:rFonts w:ascii="Arial" w:cs="Arial" w:eastAsia="Arial" w:hAnsi="Arial"/>
                <w:sz w:val="14"/>
                <w:szCs w:val="14"/>
                <w:color w:val="auto"/>
              </w:rPr>
              <w:t>Comml</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Land and</w:t>
            </w: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rPr>
              <w:t>Comml</w:t>
            </w:r>
          </w:p>
        </w:tc>
        <w:tc>
          <w:tcPr>
            <w:tcW w:w="8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Resid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Farm-</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Comml</w:t>
            </w: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Devel</w:t>
            </w: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Const</w:t>
            </w:r>
          </w:p>
        </w:tc>
        <w:tc>
          <w:tcPr>
            <w:tcW w:w="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Const</w:t>
            </w: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Resid</w:t>
            </w:r>
          </w:p>
        </w:tc>
        <w:tc>
          <w:tcPr>
            <w:tcW w:w="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land</w:t>
            </w: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Secured</w:t>
            </w:r>
          </w:p>
        </w:tc>
        <w:tc>
          <w:tcPr>
            <w:tcW w:w="9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Unsec</w:t>
            </w: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PPP</w:t>
            </w: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Consu</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Unal</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of June 30, 2021: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Ending allowance balance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allocated to:</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Loans individually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9"/>
              </w:rPr>
              <w:t>Loans collectively evaluated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160"/>
              <w:spacing w:after="0"/>
              <w:rPr>
                <w:sz w:val="20"/>
                <w:szCs w:val="20"/>
                <w:color w:val="auto"/>
              </w:rPr>
            </w:pPr>
            <w:r>
              <w:rPr>
                <w:rFonts w:ascii="Arial" w:cs="Arial" w:eastAsia="Arial" w:hAnsi="Arial"/>
                <w:sz w:val="14"/>
                <w:szCs w:val="14"/>
                <w:color w:val="auto"/>
              </w:rPr>
              <w:t>for impairment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10,108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9,194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22,153</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10,108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9,194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w w:val="76"/>
              </w:rPr>
              <w:t>764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Ending balance individually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Ending balance collectively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1,153,470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10,472</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67,984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6,362</w:t>
            </w: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26,266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48,888</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127,117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20,772</w:t>
            </w: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120,936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6,902</w:t>
            </w:r>
          </w:p>
        </w:tc>
        <w:tc>
          <w:tcPr>
            <w:tcW w:w="30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1,589,169</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1,153,600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10,472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67,984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6,362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26,447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48,888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127,237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20,772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86"/>
              </w:rPr>
              <w:t>120,936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6,902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1,589,600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December 31, 2020: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Ending allowance balance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allocated to:</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Loans individually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9"/>
              </w:rPr>
              <w:t>Loans collectively evaluated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160"/>
              <w:spacing w:after="0"/>
              <w:rPr>
                <w:sz w:val="20"/>
                <w:szCs w:val="20"/>
                <w:color w:val="auto"/>
              </w:rPr>
            </w:pPr>
            <w:r>
              <w:rPr>
                <w:rFonts w:ascii="Arial" w:cs="Arial" w:eastAsia="Arial" w:hAnsi="Arial"/>
                <w:sz w:val="14"/>
                <w:szCs w:val="14"/>
                <w:color w:val="auto"/>
              </w:rPr>
              <w:t>for impairment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9,358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9,476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632</w:t>
            </w:r>
          </w:p>
        </w:tc>
        <w:tc>
          <w:tcPr>
            <w:tcW w:w="3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22,189</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w w:val="76"/>
              </w:rPr>
              <w:t>724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22,189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Ending balance individually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Ending balance collectively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1,002,360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10,600</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91,760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11,914</w:t>
            </w: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30,248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50,164</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138,544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17,526</w:t>
            </w: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147,965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4,921</w:t>
            </w:r>
          </w:p>
        </w:tc>
        <w:tc>
          <w:tcPr>
            <w:tcW w:w="30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1,506,002</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1,002,497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10,600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91,760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11,914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30,431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50,164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138,676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17,526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86"/>
              </w:rPr>
              <w:t>147,965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1,506,454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Ending allowance balance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60"/>
              <w:spacing w:after="0"/>
              <w:rPr>
                <w:sz w:val="20"/>
                <w:szCs w:val="20"/>
                <w:color w:val="auto"/>
              </w:rPr>
            </w:pPr>
            <w:r>
              <w:rPr>
                <w:rFonts w:ascii="Arial" w:cs="Arial" w:eastAsia="Arial" w:hAnsi="Arial"/>
                <w:sz w:val="14"/>
                <w:szCs w:val="14"/>
                <w:color w:val="auto"/>
              </w:rPr>
              <w:t>allocated to:</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Loans individually</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w w:val="99"/>
              </w:rPr>
              <w:t>Loans collectively evaluated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160"/>
              <w:spacing w:after="0"/>
              <w:rPr>
                <w:sz w:val="20"/>
                <w:szCs w:val="20"/>
                <w:color w:val="auto"/>
              </w:rPr>
            </w:pPr>
            <w:r>
              <w:rPr>
                <w:rFonts w:ascii="Arial" w:cs="Arial" w:eastAsia="Arial" w:hAnsi="Arial"/>
                <w:sz w:val="14"/>
                <w:szCs w:val="14"/>
                <w:color w:val="auto"/>
              </w:rPr>
              <w:t>for impairment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7,501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7,086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827</w:t>
            </w:r>
          </w:p>
        </w:tc>
        <w:tc>
          <w:tcPr>
            <w:tcW w:w="30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17,856</w:t>
            </w:r>
          </w:p>
        </w:tc>
        <w:tc>
          <w:tcPr>
            <w:tcW w:w="0" w:type="dxa"/>
            <w:vAlign w:val="bottom"/>
          </w:tcPr>
          <w:p>
            <w:pPr>
              <w:spacing w:after="0"/>
              <w:rPr>
                <w:sz w:val="1"/>
                <w:szCs w:val="1"/>
                <w:color w:val="auto"/>
              </w:rPr>
            </w:pPr>
          </w:p>
        </w:tc>
      </w:tr>
      <w:tr>
        <w:trPr>
          <w:trHeight w:val="156"/>
        </w:trPr>
        <w:tc>
          <w:tcPr>
            <w:tcW w:w="17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881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7,086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color w:val="auto"/>
                <w:w w:val="76"/>
              </w:rPr>
              <w:t>37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17,905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Ending balance:</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individually evaluated for</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color w:val="auto"/>
              </w:rPr>
              <w:t>Ending balance: collectively</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881,876</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15,573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131,284</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16,194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30,515</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51,451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127,386</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11,878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253,286</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6,501</w:t>
            </w:r>
          </w:p>
        </w:tc>
        <w:tc>
          <w:tcPr>
            <w:tcW w:w="24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1,525,944</w:t>
            </w:r>
          </w:p>
        </w:tc>
      </w:tr>
      <w:tr>
        <w:trPr>
          <w:trHeight w:val="181"/>
        </w:trPr>
        <w:tc>
          <w:tcPr>
            <w:tcW w:w="1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evaluated for impairment</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56"/>
        </w:trPr>
        <w:tc>
          <w:tcPr>
            <w:tcW w:w="17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Ending balance</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882,021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$ 15,573</w:t>
            </w:r>
          </w:p>
        </w:tc>
        <w:tc>
          <w:tcPr>
            <w:tcW w:w="2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$ 131,284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$ 16,194</w:t>
            </w: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$ 30,701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$ 51,451</w:t>
            </w:r>
          </w:p>
        </w:tc>
        <w:tc>
          <w:tcPr>
            <w:tcW w:w="2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$ 127,386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$ 11,878</w:t>
            </w: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9"/>
              </w:rPr>
              <w:t>$ 253,286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6,550</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$ 1,526,324</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20"/>
        </w:trPr>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FHLB line of credit is secured under terms of a collateral agreement by a pledge of certain qualifying loans with unpaid principal balances of $702.2 million and $1.1 billion at June 30, 2021 and December 31, 2020, respectively. In addition, the Company pledges eligible Tenants in Common loans, which totaled $42.4 million and $61.6 million at June 30, 2021 and December 31, 2020, respectively, to secure its borrowing capacity with the Federal Reserve Bank of San Francisco. See Note 7, Long Term Debt and Other Borrowings, for further discussion of these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and expects to have in the future,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us. Likewise, these transactions do not involve more than the normal risk of collectability or present other unfavorable features. Loan commitment to insiders and affiliates, net of cash collateral, totaled $5.5 million at June 30, 2021 and $1.6 million at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Note 6: Interest-Bearing Deposits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Interest-bearing deposits consisted of the following as of June 30, 2021 and December 31, 2020: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8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20" w:type="dxa"/>
            <w:vAlign w:val="bottom"/>
            <w:gridSpan w:val="3"/>
          </w:tcPr>
          <w:p>
            <w:pPr>
              <w:spacing w:after="0"/>
              <w:rPr>
                <w:sz w:val="20"/>
                <w:szCs w:val="20"/>
                <w:color w:val="auto"/>
              </w:rPr>
            </w:pPr>
            <w:r>
              <w:rPr>
                <w:rFonts w:ascii="Arial" w:cs="Arial" w:eastAsia="Arial" w:hAnsi="Arial"/>
                <w:sz w:val="18"/>
                <w:szCs w:val="18"/>
                <w:color w:val="auto"/>
              </w:rPr>
              <w:t>June 30, 2021</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2020</w:t>
            </w:r>
          </w:p>
        </w:tc>
      </w:tr>
      <w:tr>
        <w:trPr>
          <w:trHeight w:val="209"/>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Savings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73,481</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972,758</w:t>
            </w: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844,445</w:t>
            </w:r>
          </w:p>
        </w:tc>
        <w:tc>
          <w:tcPr>
            <w:tcW w:w="80" w:type="dxa"/>
            <w:vAlign w:val="bottom"/>
          </w:tcPr>
          <w:p>
            <w:pPr>
              <w:spacing w:after="0"/>
              <w:rPr>
                <w:sz w:val="18"/>
                <w:szCs w:val="18"/>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136,336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146,553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Time, $250 or more</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28,168</w:t>
            </w:r>
          </w:p>
        </w:tc>
        <w:tc>
          <w:tcPr>
            <w:tcW w:w="4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7,568</w:t>
            </w:r>
          </w:p>
        </w:tc>
        <w:tc>
          <w:tcPr>
            <w:tcW w:w="80" w:type="dxa"/>
            <w:vAlign w:val="bottom"/>
          </w:tcPr>
          <w:p>
            <w:pPr>
              <w:spacing w:after="0"/>
              <w:rPr>
                <w:sz w:val="18"/>
                <w:szCs w:val="18"/>
                <w:color w:val="auto"/>
              </w:rPr>
            </w:pPr>
          </w:p>
        </w:tc>
      </w:tr>
      <w:tr>
        <w:trPr>
          <w:trHeight w:val="229"/>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time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26,506</w:t>
            </w:r>
          </w:p>
        </w:tc>
        <w:tc>
          <w:tcPr>
            <w:tcW w:w="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40,034</w:t>
            </w: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1,237,249</w:t>
            </w: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totaled $54.7 million and $47.6 million as of June 30, 2021 and December 31, 2020, respectively. As of June 30, 2021, scheduled maturities of time deposits for the next five years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June 30, 2021</w:t>
            </w:r>
          </w:p>
        </w:tc>
      </w:tr>
      <w:tr>
        <w:trPr>
          <w:trHeight w:val="223"/>
        </w:trPr>
        <w:tc>
          <w:tcPr>
            <w:tcW w:w="8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3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22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53,320</w:t>
            </w:r>
          </w:p>
        </w:tc>
      </w:tr>
      <w:tr>
        <w:trPr>
          <w:trHeight w:val="216"/>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r>
      <w:tr>
        <w:trPr>
          <w:trHeight w:val="216"/>
        </w:trPr>
        <w:tc>
          <w:tcPr>
            <w:tcW w:w="822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8220" w:type="dxa"/>
            <w:vAlign w:val="bottom"/>
          </w:tcPr>
          <w:p>
            <w:pPr>
              <w:ind w:left="4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time deposits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Federal Deposit Insurance Corporation (“FDIC”) 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 following table shows the composition of network deposits for June 30, 2021 and December 31, 2020. There were no one-way deposits at June 30, 2021 and December 30, 2020. The composition of network deposits as of June 30, 2021 and December 31, 2020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20" w:type="dxa"/>
            <w:vAlign w:val="bottom"/>
            <w:gridSpan w:val="3"/>
          </w:tcPr>
          <w:p>
            <w:pPr>
              <w:spacing w:after="0"/>
              <w:rPr>
                <w:sz w:val="20"/>
                <w:szCs w:val="20"/>
                <w:color w:val="auto"/>
              </w:rPr>
            </w:pPr>
            <w:r>
              <w:rPr>
                <w:rFonts w:ascii="Arial" w:cs="Arial" w:eastAsia="Arial" w:hAnsi="Arial"/>
                <w:sz w:val="18"/>
                <w:szCs w:val="18"/>
                <w:color w:val="auto"/>
              </w:rPr>
              <w:t>June 30, 2021</w:t>
            </w:r>
          </w:p>
        </w:tc>
        <w:tc>
          <w:tcPr>
            <w:tcW w:w="1520" w:type="dxa"/>
            <w:vAlign w:val="bottom"/>
            <w:gridSpan w:val="3"/>
          </w:tcPr>
          <w:p>
            <w:pPr>
              <w:spacing w:after="0"/>
              <w:rPr>
                <w:sz w:val="20"/>
                <w:szCs w:val="20"/>
                <w:color w:val="auto"/>
              </w:rPr>
            </w:pPr>
            <w:r>
              <w:rPr>
                <w:rFonts w:ascii="Arial" w:cs="Arial" w:eastAsia="Arial" w:hAnsi="Arial"/>
                <w:sz w:val="18"/>
                <w:szCs w:val="18"/>
                <w:color w:val="auto"/>
                <w:w w:val="94"/>
              </w:rPr>
              <w:t>December 31, 2020</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CDARS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22,397</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ICS</w:t>
            </w:r>
          </w:p>
        </w:tc>
        <w:tc>
          <w:tcPr>
            <w:tcW w:w="2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344,796</w:t>
            </w:r>
          </w:p>
        </w:tc>
        <w:tc>
          <w:tcPr>
            <w:tcW w:w="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266,519</w:t>
            </w:r>
          </w:p>
        </w:tc>
      </w:tr>
      <w:tr>
        <w:trPr>
          <w:trHeight w:val="223"/>
        </w:trPr>
        <w:tc>
          <w:tcPr>
            <w:tcW w:w="83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network deposits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367,193</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deposits from related parties (directors, shareholders, and officers) totaled $57.8 million and $42.5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periods ended June 30, 2021, and 2020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100"/>
              <w:spacing w:after="0"/>
              <w:rPr>
                <w:sz w:val="20"/>
                <w:szCs w:val="20"/>
                <w:color w:val="auto"/>
              </w:rPr>
            </w:pPr>
            <w:r>
              <w:rPr>
                <w:rFonts w:ascii="Arial" w:cs="Arial" w:eastAsia="Arial" w:hAnsi="Arial"/>
                <w:sz w:val="18"/>
                <w:szCs w:val="18"/>
                <w:color w:val="auto"/>
              </w:rPr>
              <w:t>For the three months ended</w:t>
            </w:r>
          </w:p>
        </w:tc>
        <w:tc>
          <w:tcPr>
            <w:tcW w:w="200" w:type="dxa"/>
            <w:vAlign w:val="bottom"/>
          </w:tcPr>
          <w:p>
            <w:pPr>
              <w:spacing w:after="0"/>
              <w:rPr>
                <w:sz w:val="20"/>
                <w:szCs w:val="20"/>
                <w:color w:val="auto"/>
              </w:rPr>
            </w:pPr>
          </w:p>
        </w:tc>
        <w:tc>
          <w:tcPr>
            <w:tcW w:w="2340" w:type="dxa"/>
            <w:vAlign w:val="bottom"/>
            <w:gridSpan w:val="5"/>
          </w:tcPr>
          <w:p>
            <w:pPr>
              <w:ind w:left="10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9"/>
                <w:szCs w:val="19"/>
                <w:color w:val="auto"/>
              </w:rPr>
            </w:pPr>
          </w:p>
        </w:tc>
        <w:tc>
          <w:tcPr>
            <w:tcW w:w="1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June 30, 2021</w:t>
            </w: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June 30, 2020</w:t>
            </w:r>
          </w:p>
        </w:tc>
        <w:tc>
          <w:tcPr>
            <w:tcW w:w="4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Savings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Money market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Time, $250 or more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time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interest expense on interest-bearing deposits</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4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vMerge w:val="continue"/>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7: Long Term Debt and Other Borrowings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Subordinated Notes</w:t>
      </w:r>
      <w:r>
        <w:rPr>
          <w:rFonts w:ascii="Arial" w:cs="Arial" w:eastAsia="Arial" w:hAnsi="Arial"/>
          <w:sz w:val="16"/>
          <w:szCs w:val="16"/>
          <w:color w:val="auto"/>
        </w:rPr>
        <w:t>: On November 8, 2019, the Company completed a private placement of $3.75 million of fixed-to-floating rate subordinated notes to certain qualified investors. All of the debt was purchased by four existing members of the board of directors or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rate plus 354.4 basis points (3.67% as of June 30,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$25.0 million in principal of fixed-to-floating rate subordinated notes to certain qualified investors, of which $8.0 million is owned by an entity that is controlled by a member of the board of directors and three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rate plus 404.4 basis points (4.17% as of June 30,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subordinated notes have been structured to qualify as Tier 2 capital for regulatory capital purposes. Debt issuance costs incurred in conjunction with the notes were $0.6 million, of which $0.2 million has been amortized through June 30, 2021. The Company reflects debt issuance costs as a direct deduction from the face of the note. The debt issuance costs are amortized into interest expense through the maturity period. At June 30, 2021 and December 31, 2020, the Company’s subordinated debt outstanding was $28.4 million and $28.3 million, respectively.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Other Borrowings:</w:t>
      </w:r>
      <w:r>
        <w:rPr>
          <w:rFonts w:ascii="Arial" w:cs="Arial" w:eastAsia="Arial" w:hAnsi="Arial"/>
          <w:sz w:val="17"/>
          <w:szCs w:val="17"/>
          <w:color w:val="auto"/>
        </w:rPr>
        <w:t xml:space="preserve"> 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$516.7 million at June 30, 2021 and $519.3 million at December 31, 2020. At June 30, 2021 and December 31, 2020, the Company had no outstanding borrowings. As of June 30, 2021 and December 31, 2020, the Company had letters of credit (“LC”) issued on its behalf totaling $319.5 million and $293.5 million, respectively, as discussed below.</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LCs totaling $29.5 million were pledged to secure State of California deposits and $290.0 million were pledged to secure local agency deposits. As of December 31, 2020, LCs totaling $13.5 million were pledged to secure State of California deposits and $280.0 million were pledged to secure local agency deposits. The outstanding borrowings and the LCs issued reduced the Company’s available borrowing capacity to $197.2 million and $284.8 million as of June 30, 2021 and December 31,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At June 30, 2021 and December 31, 2020, the Company also had three unsecured federal funds lines of credit totaling $75.0 million with three of its correspondent banks, respectively. There were no amounts outstanding at June 30, 2021 and December 31, 2020.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2021 and December 31, 2020, the Company had the ability to borrow from the Federal Reserve Discount Window. At June 30, 2021 and December 31, 2020, the borrowing capacity under this arrangement was $26.5 million and $25.9 million, respectively. There were no amounts outstanding at June 30, 2021 and December 31, 2020. The borrowing line is secured by liens on the Company’s construction and agricultural loan portfolios.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IPO and became a taxable C Corporation. Prior to that date, as an S Corporation, the Company had no U.S. federal income tax expense. As such, any periods prior to May 5, 2021 will only reflect an effective state income tax rate and corresponding tax expense. Pro forma net income is calculated by adding back S Corporation tax to net income and using a combined C Corporation effective tax rate for federal and state income taxes of 29.56%. The following reconciliation table provides a detailed calculation of pro forma provision for income taxes: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5"/>
          </w:tcPr>
          <w:p>
            <w:pPr>
              <w:jc w:val="right"/>
              <w:ind w:right="740"/>
              <w:spacing w:after="0"/>
              <w:rPr>
                <w:sz w:val="20"/>
                <w:szCs w:val="20"/>
                <w:color w:val="auto"/>
              </w:rPr>
            </w:pPr>
            <w:r>
              <w:rPr>
                <w:rFonts w:ascii="Arial" w:cs="Arial" w:eastAsia="Arial" w:hAnsi="Arial"/>
                <w:sz w:val="18"/>
                <w:szCs w:val="18"/>
                <w:color w:val="auto"/>
                <w:w w:val="91"/>
              </w:rPr>
              <w:t>For the three months ended</w:t>
            </w:r>
          </w:p>
        </w:tc>
        <w:tc>
          <w:tcPr>
            <w:tcW w:w="200" w:type="dxa"/>
            <w:vAlign w:val="bottom"/>
          </w:tcPr>
          <w:p>
            <w:pPr>
              <w:spacing w:after="0"/>
              <w:rPr>
                <w:sz w:val="20"/>
                <w:szCs w:val="20"/>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8"/>
                <w:szCs w:val="18"/>
                <w:color w:val="auto"/>
                <w:w w:val="94"/>
              </w:rPr>
              <w:t>For the six months ended</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500" w:type="dxa"/>
            <w:vAlign w:val="bottom"/>
          </w:tcPr>
          <w:p>
            <w:pPr>
              <w:spacing w:after="0"/>
              <w:rPr>
                <w:sz w:val="19"/>
                <w:szCs w:val="19"/>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60" w:type="dxa"/>
            <w:vAlign w:val="bottom"/>
          </w:tcPr>
          <w:p>
            <w:pPr>
              <w:spacing w:after="0"/>
              <w:rPr>
                <w:sz w:val="19"/>
                <w:szCs w:val="19"/>
                <w:color w:val="auto"/>
              </w:rPr>
            </w:pP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before provision for income taxes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Pro forma tax rate</w:t>
            </w: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29.56%</w:t>
            </w: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29.56%</w:t>
            </w:r>
          </w:p>
        </w:tc>
        <w:tc>
          <w:tcPr>
            <w:tcW w:w="2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29.56%</w:t>
            </w: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29.56%</w:t>
            </w: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provision for income taxes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termination of the Subchapter S corporation status,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net deferred tax asset of $5.4 million and a reduction to the provision for income taxes of $4.6 million during the three and six months ended June 30,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 for the three and six months ended June 30, 2021 and 2020 differs from the statutory federal rate of 21% due to the following items, which relate primarily to the Company’s conversion from an S Corporation to a C Corporation: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8"/>
                <w:szCs w:val="18"/>
                <w:color w:val="auto"/>
                <w:w w:val="91"/>
              </w:rPr>
              <w:t>For the three months ended</w:t>
            </w:r>
          </w:p>
        </w:tc>
        <w:tc>
          <w:tcPr>
            <w:tcW w:w="200" w:type="dxa"/>
            <w:vAlign w:val="bottom"/>
          </w:tcPr>
          <w:p>
            <w:pPr>
              <w:spacing w:after="0"/>
              <w:rPr>
                <w:sz w:val="20"/>
                <w:szCs w:val="20"/>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8"/>
                <w:szCs w:val="18"/>
                <w:color w:val="auto"/>
                <w:w w:val="93"/>
              </w:rPr>
              <w:t>For the six months ended</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9"/>
                <w:szCs w:val="19"/>
                <w:color w:val="auto"/>
              </w:rPr>
            </w:pPr>
          </w:p>
        </w:tc>
        <w:tc>
          <w:tcPr>
            <w:tcW w:w="15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June 30, 2021</w:t>
            </w: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June 30, 2020</w:t>
            </w:r>
          </w:p>
        </w:tc>
        <w:tc>
          <w:tcPr>
            <w:tcW w:w="44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2021</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June 30, 2020</w:t>
            </w:r>
          </w:p>
        </w:tc>
        <w:tc>
          <w:tcPr>
            <w:tcW w:w="100" w:type="dxa"/>
            <w:vAlign w:val="bottom"/>
            <w:gridSpan w:val="2"/>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Statutory U.S. federal income tax</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of S Corporation status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(3,279)</w:t>
            </w: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1,444</w:t>
            </w: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1,825</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Corp conversion federal rate change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Deferred tax asset adjustment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(4,638)</w:t>
            </w: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(4,638)</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992</w:t>
            </w:r>
          </w:p>
        </w:tc>
        <w:tc>
          <w:tcPr>
            <w:tcW w:w="3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2021, the Company’s effective tax rate differed from the statutory California tax rate of 3.50% used prior to May 5, 2021 and the statutory federal and state tax rate, net of federal benefit, of 29.56%, used May 5, 2021 and after, as the effective tax rate primarily represents the weighted average rate between the S Corporation tax rate of 3.50% and the C Corporation tax rate of 29.56% based on the number of days the Company was each type of corporation during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Retained Deficit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2021, the board of directors declared a $0.80 per share dividend, totaling $8.8 million. On May 20, 2021, as a result of the Company’s conversion to a C Corporation, the board of directors declared an aggregate distribution of $27.0 million for the accumulated adjustments account payout, which is described in further detail in the Company’s Registration Statement for the IPO, and the Company reclassified the resulting retained deficit related to S Corporation activities to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Stock-Based Incentive Arrangement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stock-based compensation consists of restricted stock awards (“RSAs”) issued under its historical stock-based incentive arrangement (the “Historical Incentive Plan”) and RSAs issued under the Five Star Bancorp 2021 Equity Incentive Plan (the “Equity Incentive Plan”). The Historical Incentive Plan consisted of RSAs for certain executive officers of the Company including the Chief Executive Officer, Chief Operating Officer, Chief Credit Officer, Chief Regulatory Officer, and Chief Banking Officer. The arrangement, which may be renewed annually at the sole discretion of the board of directors, provides that these executive officers will receive shares of restricted common stock of the Company, with the number of shares granted based upon achieving certain performance objectives, that vest over three years. These objectives include, but are not limited to, net income adjusted for the provision for loan losses, deposit growth, efficiency ratio, net interest margin, and asset quality. Compensation expense is recognized over the service period, which is equal to the vesting period of the shares based on the fair value of the shares at issue date.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granted 163,755 and no restricted shares during the three months ended June 30, 2021 and 2020, and 173,207 and 8,148 restricted shares during the six months ended June 30, 2021 and 2020, respectively. In addition, 2,722 restricted shares were forfeited as of February 28, 2021 upon the resignation of the Company’s then-Executive Vice President and Chief Operating Officer. Non-cash stock compensation expense recognized for the three months ended June 30, 2021 and 2020 was $1.0 million and $0.1 million, respectively. Non-cash stock compensation expense recognized for the six months ended June 30, 2021 and 2020 was $1.0 million and $0.1 million, respectively.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2021 and 2020, respectively, there were 129,551 and 11,568 unvested restricted shares. As of June 30, 2021, there was approximately $2.6 million of unrecognized compensation expense related to the 129,551 unvested restricted shares. The holders of unvested restricted stock awards are entitled to dividends on the same per-share ratio as holders of common stock. Tax benefits for dividends paid on unvested restricted stock awards are recorded as tax benefits in the consolidated statements of comprehensive income with a corresponding decrease to current taxes payable. The impact of tax benefits for dividends paid on unvested restricted stock on the Company’s statements of comprehensive income for the three and six months ended June 30, 2021 and 2020 was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restricted shares: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9"/>
          </w:tcPr>
          <w:p>
            <w:pPr>
              <w:ind w:left="480"/>
              <w:spacing w:after="0"/>
              <w:rPr>
                <w:sz w:val="20"/>
                <w:szCs w:val="20"/>
                <w:color w:val="auto"/>
              </w:rPr>
            </w:pPr>
            <w:r>
              <w:rPr>
                <w:rFonts w:ascii="Arial" w:cs="Arial" w:eastAsia="Arial" w:hAnsi="Arial"/>
                <w:sz w:val="18"/>
                <w:szCs w:val="18"/>
                <w:color w:val="auto"/>
                <w:w w:val="89"/>
              </w:rPr>
              <w:t>For the three months ended June</w:t>
            </w:r>
          </w:p>
        </w:tc>
        <w:tc>
          <w:tcPr>
            <w:tcW w:w="8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w w:val="95"/>
              </w:rPr>
              <w:t>30,</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8"/>
              </w:rPr>
              <w:t>For the six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4"/>
              </w:rPr>
              <w:t>Weighted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Average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Average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Grant Date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Grant Date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9"/>
              </w:rPr>
              <w:t>Grant Date</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Nonvested Shares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0"/>
              </w:rPr>
              <w:t>Shares</w:t>
            </w:r>
          </w:p>
        </w:tc>
        <w:tc>
          <w:tcPr>
            <w:tcW w:w="1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200" w:type="dxa"/>
            <w:vAlign w:val="bottom"/>
            <w:gridSpan w:val="4"/>
          </w:tcPr>
          <w:p>
            <w:pPr>
              <w:jc w:val="center"/>
              <w:ind w:right="420"/>
              <w:spacing w:after="0"/>
              <w:rPr>
                <w:sz w:val="20"/>
                <w:szCs w:val="20"/>
                <w:color w:val="auto"/>
              </w:rPr>
            </w:pPr>
            <w:r>
              <w:rPr>
                <w:rFonts w:ascii="Arial" w:cs="Arial" w:eastAsia="Arial" w:hAnsi="Arial"/>
                <w:sz w:val="18"/>
                <w:szCs w:val="18"/>
                <w:color w:val="auto"/>
                <w:w w:val="90"/>
              </w:rPr>
              <w:t>Fair Value</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w w:val="80"/>
              </w:rPr>
              <w:t>Shares</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Shares</w:t>
            </w: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the period balance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Shares granted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163,755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w w:val="89"/>
              </w:rPr>
              <w:t>173,207</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19.89</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vested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(40,500)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5"/>
              </w:rPr>
              <w:t>(52,502)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(12,374)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r>
      <w:tr>
        <w:trPr>
          <w:trHeight w:val="229"/>
        </w:trPr>
        <w:tc>
          <w:tcPr>
            <w:tcW w:w="3200" w:type="dxa"/>
            <w:vAlign w:val="bottom"/>
            <w:gridSpan w:val="2"/>
          </w:tcPr>
          <w:p>
            <w:pPr>
              <w:spacing w:after="0"/>
              <w:rPr>
                <w:sz w:val="20"/>
                <w:szCs w:val="20"/>
                <w:color w:val="auto"/>
              </w:rPr>
            </w:pPr>
            <w:r>
              <w:rPr>
                <w:rFonts w:ascii="Arial" w:cs="Arial" w:eastAsia="Arial" w:hAnsi="Arial"/>
                <w:sz w:val="18"/>
                <w:szCs w:val="18"/>
                <w:color w:val="auto"/>
              </w:rPr>
              <w:t>Shares forfeited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 of the period balance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129,551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129,551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95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11,568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gridSpan w:val="2"/>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 of unfunded loan commitments and standby letters of credit not reflected in the consolidated balance sheets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320" w:type="dxa"/>
            <w:vAlign w:val="bottom"/>
            <w:gridSpan w:val="3"/>
          </w:tcPr>
          <w:p>
            <w:pPr>
              <w:spacing w:after="0"/>
              <w:rPr>
                <w:sz w:val="20"/>
                <w:szCs w:val="20"/>
                <w:color w:val="auto"/>
              </w:rPr>
            </w:pPr>
            <w:r>
              <w:rPr>
                <w:rFonts w:ascii="Arial" w:cs="Arial" w:eastAsia="Arial" w:hAnsi="Arial"/>
                <w:sz w:val="18"/>
                <w:szCs w:val="18"/>
                <w:color w:val="auto"/>
              </w:rPr>
              <w:t>June 30, 2021</w:t>
            </w:r>
          </w:p>
        </w:tc>
        <w:tc>
          <w:tcPr>
            <w:tcW w:w="1520" w:type="dxa"/>
            <w:vAlign w:val="bottom"/>
            <w:gridSpan w:val="3"/>
          </w:tcPr>
          <w:p>
            <w:pPr>
              <w:spacing w:after="0"/>
              <w:rPr>
                <w:sz w:val="20"/>
                <w:szCs w:val="20"/>
                <w:color w:val="auto"/>
              </w:rPr>
            </w:pPr>
            <w:r>
              <w:rPr>
                <w:rFonts w:ascii="Arial" w:cs="Arial" w:eastAsia="Arial" w:hAnsi="Arial"/>
                <w:sz w:val="18"/>
                <w:szCs w:val="18"/>
                <w:color w:val="auto"/>
                <w:w w:val="94"/>
              </w:rPr>
              <w:t>December 31, 2020</w:t>
            </w:r>
          </w:p>
        </w:tc>
      </w:tr>
      <w:tr>
        <w:trPr>
          <w:trHeight w:val="209"/>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Lines of Credit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Undisbursed Construction Loans</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26,078</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50,442</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Undisbursed Commercial Real Estate Loans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43,376</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39,946</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Agricultural Lines of Credit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13,174</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11,553</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Undisbursed Agricultural Real Estate Loans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3,474</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w:t>
            </w: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6,544</w:t>
            </w:r>
          </w:p>
        </w:tc>
        <w:tc>
          <w:tcPr>
            <w:tcW w:w="4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23"/>
        </w:trPr>
        <w:tc>
          <w:tcPr>
            <w:tcW w:w="8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commitments and standby letters of credit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June 30, 2021 and December 31, 2020, which is recorded in interest payable and other liabilities in the consolidated balance sheets.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82.53% of the Company’s loan portfolio at June 30, 2021 and 79.23% of the Company’s loan portfolio at December 31, 2020.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 Concentrations</w:t>
      </w:r>
      <w:r>
        <w:rPr>
          <w:rFonts w:ascii="Arial" w:cs="Arial" w:eastAsia="Arial" w:hAnsi="Arial"/>
          <w:sz w:val="18"/>
          <w:szCs w:val="18"/>
          <w:color w:val="auto"/>
        </w:rPr>
        <w:t>: At June 30, 2021, the Company had 62 deposit relationships that exceeded $5.0 million each, totaling $1,059.5 million, or approximately 51.28% of total deposits. The Company’s largest single deposit relationship at June 30, 2021 totaled $175.7 million, or approximately 8.50% of total deposits. Management maintains the Company’s liquidity position and lines of credit with correspondent banks to mitigate the risk of large withdrawals by this group of large depositors.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Correspondent Banking Agreements</w:t>
      </w:r>
      <w:r>
        <w:rPr>
          <w:rFonts w:ascii="Arial" w:cs="Arial" w:eastAsia="Arial" w:hAnsi="Arial"/>
          <w:sz w:val="16"/>
          <w:szCs w:val="16"/>
          <w:color w:val="auto"/>
        </w:rPr>
        <w:t>: The Company maintains funds on deposit with other FDIC-insured financial institutions under correspondent banking agreements. Uninsured deposits through these agreements totaled $297.0 million and $118.0 million at June 30, 2021 and December 31, 2020,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for its banking operations under non-cancelable operating leases of various terms. The leases expire at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sublease agreement for space adjacent to the Redding location. The sublease has renewal terms extended to December 31, 2021.</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its Natomas branch and Sacramento loan production office from a partnership comprised of some of the Company’s shareholders and certain members of the board of directors. The Natomas branch lease extends through February 2025, and the Sacramento loan production office lease extends through April 2023. Rent expense was $0.1 million for the three months ended June 30, 2021 and 2020 and $0.1 million for the six months ended June 30, 2021 and 2020 under these leases.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future minimum lease payments and weighted average remaining lease terms under the Company’s operating lease arrangements as of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June 30, 2021</w:t>
            </w:r>
          </w:p>
        </w:tc>
        <w:tc>
          <w:tcPr>
            <w:tcW w:w="0" w:type="dxa"/>
            <w:vAlign w:val="bottom"/>
          </w:tcPr>
          <w:p>
            <w:pPr>
              <w:spacing w:after="0"/>
              <w:rPr>
                <w:sz w:val="1"/>
                <w:szCs w:val="1"/>
                <w:color w:val="auto"/>
              </w:rPr>
            </w:pPr>
          </w:p>
        </w:tc>
      </w:tr>
      <w:tr>
        <w:trPr>
          <w:trHeight w:val="209"/>
        </w:trPr>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rPr>
              <w:t>Weighted average remaining term (in years)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 and Hedging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lending arrangement with one of its borrowers that contains a structured prepayment provision and interest rate swap, which for accounting purposes is considered a derivative. The transaction between the Company and the borrower in effect is a floating rate loan combined with a pay floating/receive fixed interest rate swap. To offset the interest rate risk of this lending arrangement, management entered into a separate interest rate swap with a separate counterparty that mirrors the interest rate swap with the borrower. The net economic effect of the arrangement for the borrower is a fixed rate loan of 7.81%, and for the Company is a floating rate loan of LIBOR plus 2.35%, adjusting monthly. The loan balance as of June 30, 2021 and December 31, 2020 was $0.8 million, with monthly amortization through its maturity in April 2027. The notional amounts of the two interest rate swaps are the same as the loan balance, and they amortize and mature similarly. The notional amounts of the interest rate swap transactions do not represent amounts exchanged by the parties. The amounts exchanged are determined by reference to the notional amounts and the other terms of the individual interest rate swap agreements. The two derivatives are carried at fair value and $0.1 million and $0.01 million were reported in other assets at June 30, 2021 and December 31, 2020, respectively. The related liabilities of $0.1 million and $0.1 million were reported in other liabilities at June 30, 2021 and December 31,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6, 2021, the board of directors declared a $0.15 per common share dividend, totaling $2.6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Management’s discussion of the financial condition and results of operations, which is unaudited, should be read in conjunction with the related unaudited consolidated financial statements in this Quarterly Report on Form 10-Q and with the audited consolidated financial statements and accompanying notes included in the Company’s Registration Statement on Form S-1, which was declared effective by the U.S. Securities and Exchange Commission (“SEC”) on May 4, 2021. Average balances, including balances used in calculating certain financial ratios, are generally comprised of average daily balances.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“Risk Factors.” We assume no obligation to update any of these forward-looking statements, except to the extent required by law. The following discussion presents management’s perspective on our results of operations and financial condition on a consolidated basis. However, because we conduct all of our material business operations through our bank subsidiary, Five Star Bank, the discussion and analysis relates to activities primarily conducted by the Bank.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Headquartered in the greater Sacramento metropolitan area of California, Five Star Bancorp is a bank holding company that operates through its wholly owned subsidiary, Five Star Bank, a California state-chartered bank. We provide a broad range of banking products and services to small and medium-sized businesses, professionals, and individuals primarily in Northern California through seven branch offices and two loan production offices. Our mission is to strive to become the top business bank in all markets we serve through exceptional service, deep connectivity, and customer empathy. We are dedicated to serving real estate, agricultural, faith based, and small to medium-sized enterprises. We aim to consistently deliver value that meets or exceeds expectations of our shareholders, customers, employees, business partners, and community. In summary, we refer to our mission as “purpose-driven and integrity-centered banking.” At June 30, 2021, we had total assets of $2.3 billion, total loans, net of allowance for loan losses, of $1.6 billion, and total deposits of $2.1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Corporation Status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(“IRS”), resulting in the commencement of our taxation as a C Corporation for U.S. federal and California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income tax on our taxable earnings for each year (including the short year beginning on the date our status as an S Corporation terminated), and our consolidated financial statements reflect a provision for U.S. federal income tax and a higher California income tax from that date forward. As a result of this change, the net income and earnings per share data presented in our historical 2020 financial statements and the other related financial information set forth in this filing, which (unless otherwise specified) do not include any provision for U.S. federal income tax or the higher California income tax rate, will not be comparable with our future net income and earnings per share (“EPS”) in periods after we commence to be taxed as a C Corporation. As a C Corporation, our net income is calculated by including a provision for U.S. federal income tax and a higher California income tax rate at a combined statutory rate of 29.56%.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67" w:lineRule="auto"/>
        <w:rPr>
          <w:sz w:val="20"/>
          <w:szCs w:val="20"/>
          <w:color w:val="auto"/>
        </w:rPr>
      </w:pPr>
      <w:r>
        <w:rPr>
          <w:rFonts w:ascii="Arial" w:cs="Arial" w:eastAsia="Arial" w:hAnsi="Arial"/>
          <w:sz w:val="17"/>
          <w:szCs w:val="17"/>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income tax liabilities resulting from our taxable income that was “passed through” to them. However, these distributions were not consistent, as sometimes the distributions were less than or in excess of the shareholders’ estimated U.S. federal and California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income tax. However, in the event of an adjustment to our reported taxable income for periods prior to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$27.0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were recognized in net income in the three months ended June 30, 2021.</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highlights of the financial results table within the section entitled “—Executive Summary” below for the impact of being taxed as a C Corporation on our net income, EPS, and various other financial measures for the three and six months ended June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Company Costs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the completion of our IPO, we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Sarbanes-Oxley Act, as well as rules adopted by the SEC, the Federal Deposit Insurance Corporation (“FDIC”), the California Department of Financial Protection and Innovation (“DFPI”),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most significant accounting policies are described in Note 1, Summary of Significant Accounting Policies, in our audited financial statements included in our IPO Registration Statement.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such extended transition period, which means that when a standard is issued or revised and it has different application dates for public or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Allowance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allowance for loan losses represents the estimated probable incurred loan losses in our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specifically impacting each loan type by purpose and by geography. This evaluation is inherently subjective, as it requires estimates that are susceptible to significant revision as more information becomes available.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consider an originated loan to be impaired when it is probable that the collection of all amounts due, according to the contractual terms, is unlikely. Loans that experience insignificant payment delays and payment shortfalls generally are not classified as impaired. Management determines the significance of payment delays and payment shortfalls on a case-by-case basis, taking into consideration all the facts and circumstances surrounding the loan and the borrower, including the length of the delay, the reasons for the delay, the borrower’s prior payment record, and the amount of the shortfall in relation to the principal and interest owed. Interest income is recognized on impaired loans in the same manner as nonaccrual loans.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a loan to be a troubled debt restructuring (“TDR”) when we have granted a concession and the borrower is experiencing financial difficulty.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Coronavirus Aid, Relief, and Economic Security Act (“CARES Act”), as amended by the Consolidated Appropriations Act, 2021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 issued bonds, privately issued collateralized mortgage obligations, and corporate bonds.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cost is recognized for stock options and restricted stock awards issued to executives and directors based on the fair value of these awards at the date of grant. The fair value of restricted stock awards is determined by considering projections of discounted cash flows available to shareholders (paid in the form of dividends) as well as comparable values for publicly traded banks of similar size and complexity. A Black-Scholes model is utilized to estimate the grant date fair value of stock options, while the estimated fair value of our common stock at the date of grant is used for restricted stock awards. Compensation cost is recognized over the requisite service period, generally defined as the vesting period. For awards with graded vesting, compensation cost is recognized on a straight-line basis over the requisite service period for the entire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each consolidated financial statement date, management assesses each investment to determine if impaired investments are temporarily impaired or if the impairment is other than temporary. Various factors are considered in the assessment, including the nature of the investment, the cause of the impairment, the severity and duration of the impairment, credit ratings and other credit related factors such as third party guarantees, and volatility of the security’s fair value. This assessment also includes a determination as to whether we intend to sell the security, or if it is more likely than not that we will be required to sell the security before recovery of its amortized cost basis less any current-period credit losses. If we intend to sell a security or if it is more likely than not that we will be required to sell the security before recovery, an other-than-temporary impairment (“OTTI”) write-down is recognized in earnings equal to the entire difference between the security’s amortized cost basis and its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and six months ended June 30, 2021 totaled $9.8 million and $20.1 million, respectively, compared to net income of $10.1 million and $17.1 million for the three and six months ended June 30, 2020, respectively. Diluted EPS was $0.67 and $1.57 for the three and six months ended June 30, 2021, compared to $1.05 and $1.77 for the corresponding periods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our operating and financial performance for the periods presented:</w:t>
      </w:r>
    </w:p>
    <w:p>
      <w:pPr>
        <w:spacing w:after="0" w:line="225" w:lineRule="exact"/>
        <w:rPr>
          <w:sz w:val="20"/>
          <w:szCs w:val="20"/>
          <w:color w:val="auto"/>
        </w:rPr>
      </w:pPr>
    </w:p>
    <w:p>
      <w:pPr>
        <w:ind w:left="380" w:hanging="31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$2.3 billion as of June 30, 2021, representing a $374.1 million, or 19.15%, increase compared to $2.0 billion as of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The primary drivers of this increase are discussed below.</w:t>
      </w:r>
    </w:p>
    <w:p>
      <w:pPr>
        <w:spacing w:after="0" w:line="170" w:lineRule="exact"/>
        <w:rPr>
          <w:rFonts w:ascii="Arial" w:cs="Arial" w:eastAsia="Arial" w:hAnsi="Arial"/>
          <w:sz w:val="18"/>
          <w:szCs w:val="18"/>
          <w:color w:val="auto"/>
        </w:rPr>
      </w:pPr>
    </w:p>
    <w:p>
      <w:pPr>
        <w:jc w:val="both"/>
        <w:ind w:left="380" w:hanging="318"/>
        <w:spacing w:after="0" w:line="31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Loans. </w:t>
      </w:r>
      <w:r>
        <w:rPr>
          <w:rFonts w:ascii="Arial" w:cs="Arial" w:eastAsia="Arial" w:hAnsi="Arial"/>
          <w:sz w:val="16"/>
          <w:szCs w:val="16"/>
          <w:color w:val="auto"/>
        </w:rPr>
        <w:t>Total gross loans were $1.6 billion at June 30, 2021, compared to $1.5 billion at December 31, 2020, an increase of $79.8 million, or 5.29%.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was attributed to a $127.2 million net increase in commercial real estate loans, partially offset by a $27.0 million net decrease in Paycheck Protection Program (“PPP”) loans and a $17.0 million net decrease in all other non-PPP, non-commercial real estate loans.</w:t>
      </w:r>
    </w:p>
    <w:p>
      <w:pPr>
        <w:spacing w:after="0" w:line="148" w:lineRule="exact"/>
        <w:rPr>
          <w:rFonts w:ascii="Arial" w:cs="Arial" w:eastAsia="Arial" w:hAnsi="Arial"/>
          <w:sz w:val="16"/>
          <w:szCs w:val="16"/>
          <w:color w:val="auto"/>
        </w:rPr>
      </w:pPr>
    </w:p>
    <w:p>
      <w:pPr>
        <w:jc w:val="both"/>
        <w:ind w:left="380" w:hanging="318"/>
        <w:spacing w:after="0" w:line="271"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PPP Loans. </w:t>
      </w:r>
      <w:r>
        <w:rPr>
          <w:rFonts w:ascii="Arial" w:cs="Arial" w:eastAsia="Arial" w:hAnsi="Arial"/>
          <w:sz w:val="17"/>
          <w:szCs w:val="17"/>
          <w:color w:val="auto"/>
        </w:rPr>
        <w:t>As of June 30, 2021, there were 416 PPP loans outstanding totaling $120.9 million, which included 393 loans totaling $102.5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funded during the first six months of 2021 under the second round of the PPP stimulus plan. Approximately 211 of these PPP loans, or 50.72% of total PPP loans as of June 30, 2021, totaling $13.3 million were less than or equal to $0.15 million and had access to streamlined forgiveness processing. As of June 30, 2021, 1,028 PPP loan forgiveness applications had been submitted to the Small Business Administration (“SBA”) and forgiveness payments had been received on 1,012 of these PPP loans, totaling $232.9 million in principal and interest. As of July 14, 2021, an additional 55 PPP loan forgiveness applications had been submitted to the SBA and forgiveness payments had been received on an additional 44 PPP loans, totaling $6.1 million in principal and interest. We expect full forgiveness of the first round of PPP loans to be completed in the near future, with five PPP first round loan forgiveness applications remaining to be submitted as of July 14, 2021.</w:t>
      </w:r>
    </w:p>
    <w:p>
      <w:pPr>
        <w:spacing w:after="0" w:line="178" w:lineRule="exact"/>
        <w:rPr>
          <w:rFonts w:ascii="Arial" w:cs="Arial" w:eastAsia="Arial" w:hAnsi="Arial"/>
          <w:sz w:val="17"/>
          <w:szCs w:val="17"/>
          <w:color w:val="auto"/>
        </w:rPr>
      </w:pPr>
    </w:p>
    <w:p>
      <w:pPr>
        <w:jc w:val="both"/>
        <w:ind w:left="380" w:hanging="318"/>
        <w:spacing w:after="0" w:line="279"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COVID-19 Deferments. </w:t>
      </w:r>
      <w:r>
        <w:rPr>
          <w:rFonts w:ascii="Arial" w:cs="Arial" w:eastAsia="Arial" w:hAnsi="Arial"/>
          <w:sz w:val="17"/>
          <w:szCs w:val="17"/>
          <w:color w:val="auto"/>
        </w:rPr>
        <w:t>As of June 30, 2021, eight borrowing relationships with ten loans totaling $12.9 million were on COVID-19 deferment.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that ended COVID-19 deferments in the quarter ended June 30, 2021 returned to their contractual payment structures prior to the COVID-19 pandemic with no risk rating downgrades to classified nor any TDR, and we anticipate that the remaining loans on COVID-19 deferment will return to their pre-COVID-19 contractual payment status after their COVID-19 deferments end.</w:t>
      </w:r>
    </w:p>
    <w:p>
      <w:pPr>
        <w:spacing w:after="0" w:line="171" w:lineRule="exact"/>
        <w:rPr>
          <w:rFonts w:ascii="Arial" w:cs="Arial" w:eastAsia="Arial" w:hAnsi="Arial"/>
          <w:sz w:val="17"/>
          <w:szCs w:val="17"/>
          <w:color w:val="auto"/>
        </w:rPr>
      </w:pPr>
    </w:p>
    <w:p>
      <w:pPr>
        <w:jc w:val="both"/>
        <w:ind w:left="380" w:hanging="31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Nonaccrual Loans. </w:t>
      </w:r>
      <w:r>
        <w:rPr>
          <w:rFonts w:ascii="Arial" w:cs="Arial" w:eastAsia="Arial" w:hAnsi="Arial"/>
          <w:sz w:val="18"/>
          <w:szCs w:val="18"/>
          <w:color w:val="auto"/>
        </w:rPr>
        <w:t>Credit quality remains strong, with non-accrual loans representing $0.4 million, or 0.03% of total loans, at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$0.5 million, or 0.03% of total loans, at December 31, 2020. The ratio of allowance for loan losses to total loans was 1.39% at June 30, 2021 and 1.47% at December 31, 2020.</w:t>
      </w:r>
    </w:p>
    <w:p>
      <w:pPr>
        <w:spacing w:after="0" w:line="183" w:lineRule="exact"/>
        <w:rPr>
          <w:rFonts w:ascii="Arial" w:cs="Arial" w:eastAsia="Arial" w:hAnsi="Arial"/>
          <w:sz w:val="18"/>
          <w:szCs w:val="18"/>
          <w:color w:val="auto"/>
        </w:rPr>
      </w:pPr>
    </w:p>
    <w:p>
      <w:pPr>
        <w:jc w:val="both"/>
        <w:ind w:left="380" w:hanging="318"/>
        <w:spacing w:after="0" w:line="25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Average Assets (“ROAA”) and Return on Average Equity (“ROAE”). </w:t>
      </w:r>
      <w:r>
        <w:rPr>
          <w:rFonts w:ascii="Arial" w:cs="Arial" w:eastAsia="Arial" w:hAnsi="Arial"/>
          <w:sz w:val="18"/>
          <w:szCs w:val="18"/>
          <w:color w:val="auto"/>
        </w:rPr>
        <w:t>ROAA and ROAE were 1.75% and 24.25%, respectively,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June 30, 2021, which decreased from ROAA of 2.17% and ROAE of 36.92% for the quarter ended June 30, 2020. Pro forma ROAA and ROAE were 1.33% and 18.36%, respectively, for the quarter ended June 30, 2021, which decreased from pro forma ROAA of 1.58% and ROAE of 26.95% for the quarter ended June 30, 2020. ROAA and ROAE were 1.89% and 27.78%, respectively, for the six months ended June 30, 2021, which decreased from ROAA of 2.07% and ROAE of 31.63% for the six months ended June 30, 2020. Pro forma ROAA and ROAE were 1.41% and 20.66%, respectively, for the six months ended June 30, 2021, which decreased from pro forma ROAA of 1.51% and ROAE of 23.10% for the six months ended June 30, 2020.</w:t>
      </w:r>
    </w:p>
    <w:p>
      <w:pPr>
        <w:spacing w:after="0" w:line="194" w:lineRule="exact"/>
        <w:rPr>
          <w:rFonts w:ascii="Arial" w:cs="Arial" w:eastAsia="Arial" w:hAnsi="Arial"/>
          <w:sz w:val="18"/>
          <w:szCs w:val="18"/>
          <w:color w:val="auto"/>
        </w:rPr>
      </w:pPr>
    </w:p>
    <w:p>
      <w:pPr>
        <w:jc w:val="both"/>
        <w:ind w:left="380" w:hanging="318"/>
        <w:spacing w:after="0" w:line="31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Interest Margin. </w:t>
      </w:r>
      <w:r>
        <w:rPr>
          <w:rFonts w:ascii="Arial" w:cs="Arial" w:eastAsia="Arial" w:hAnsi="Arial"/>
          <w:sz w:val="16"/>
          <w:szCs w:val="16"/>
          <w:color w:val="auto"/>
        </w:rPr>
        <w:t>Net interest margin was 3.48% and 3.42% in the three months ended June 30, 2021 and 2020, respectively. Additionally,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margin was 3.65% and 3.69% for the six months ended June 30, 2021 and the six months ended June 30, 2020, respectively. The fluctuations period-over-period were primarily attributed to fluctuations in cost of funds and PPP forgiveness fee income recognized during each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left="380" w:hanging="31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Ratio. </w:t>
      </w:r>
      <w:r>
        <w:rPr>
          <w:rFonts w:ascii="Arial" w:cs="Arial" w:eastAsia="Arial" w:hAnsi="Arial"/>
          <w:sz w:val="18"/>
          <w:szCs w:val="18"/>
          <w:color w:val="auto"/>
        </w:rPr>
        <w:t>Efficiency ratio was 47.56% and 46.18% for the three months and six ended June 30, 2021, respectively, up from 33.32%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35.60% for the corresponding periods in 2020. The increase was primarily attributed to expenses incurred to support organizational matters leading up to the IPO as well as an increase in the number of full-time equivalent employees.</w:t>
      </w:r>
    </w:p>
    <w:p>
      <w:pPr>
        <w:spacing w:after="0" w:line="183" w:lineRule="exact"/>
        <w:rPr>
          <w:rFonts w:ascii="Arial" w:cs="Arial" w:eastAsia="Arial" w:hAnsi="Arial"/>
          <w:sz w:val="18"/>
          <w:szCs w:val="18"/>
          <w:color w:val="auto"/>
        </w:rPr>
      </w:pPr>
    </w:p>
    <w:p>
      <w:pPr>
        <w:jc w:val="both"/>
        <w:ind w:left="380" w:hanging="318"/>
        <w:spacing w:after="0" w:line="30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Deposits. </w:t>
      </w:r>
      <w:r>
        <w:rPr>
          <w:rFonts w:ascii="Arial" w:cs="Arial" w:eastAsia="Arial" w:hAnsi="Arial"/>
          <w:sz w:val="16"/>
          <w:szCs w:val="16"/>
          <w:color w:val="auto"/>
        </w:rPr>
        <w:t>Total deposits increased $282.3 million from $1.8 billion at December 31, 2020 to $2.1 billion at June 30, 2021. Deposit increases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attributed to increases in PPP borrower-related balances and normal fluctuations in some of our large existing accounts. Non-interest-bearing deposits increased by $133.3 million in the first six months of 2021 to $829.0 million, and represented 40.12% of total deposits at June 30, 2021, compared to 39.00% at December 31, 2020. Our loan to deposit ratio was 76.84% at June 30, 2021, compared to 84.50% at December 31, 2020.</w:t>
      </w:r>
    </w:p>
    <w:p>
      <w:pPr>
        <w:spacing w:after="0" w:line="157" w:lineRule="exact"/>
        <w:rPr>
          <w:rFonts w:ascii="Arial" w:cs="Arial" w:eastAsia="Arial" w:hAnsi="Arial"/>
          <w:sz w:val="16"/>
          <w:szCs w:val="16"/>
          <w:color w:val="auto"/>
        </w:rPr>
      </w:pPr>
    </w:p>
    <w:p>
      <w:pPr>
        <w:jc w:val="both"/>
        <w:ind w:left="380" w:hanging="318"/>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Capital Ratios</w:t>
      </w:r>
      <w:r>
        <w:rPr>
          <w:rFonts w:ascii="Arial" w:cs="Arial" w:eastAsia="Arial" w:hAnsi="Arial"/>
          <w:sz w:val="18"/>
          <w:szCs w:val="18"/>
          <w:color w:val="auto"/>
        </w:rPr>
        <w:t>. All capital ratios were above well-capitalized regulatory thresholds as of June 30, 2021. The total risk-based capital ratio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was 16.41% at June 30, 2021, compared to 12.18% at December 31, 2020. Tier 1 capital to average assets was 9.59% at June 30, 2021, compared to 6.58% at December 31, 2020. For additional information about the regulatory capital requirements applicable to the Company and the Bank, see the section entitled “—Financial Condition Summary—Capital Adequacy” below.</w:t>
      </w:r>
    </w:p>
    <w:p>
      <w:pPr>
        <w:spacing w:after="0" w:line="186"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board of directors declared a cash dividend of $0.80 per share on April 6, 2021. On May 20, 2021, as a result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to a C Corporation, the board of directors declared an aggregate distribution of $27.0 million for the accumulated adjustments account payout to shareholders of record as of May 3,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Highlights of the financial results are presented in the following tables: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Arial" w:cs="Arial" w:eastAsia="Arial" w:hAnsi="Arial"/>
                <w:sz w:val="18"/>
                <w:szCs w:val="18"/>
                <w:b w:val="1"/>
                <w:bCs w:val="1"/>
                <w:color w:val="auto"/>
              </w:rPr>
              <w:t>As of</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1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2"/>
              </w:rPr>
              <w:t>June 30, 2021</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2020</w:t>
            </w:r>
          </w:p>
        </w:tc>
        <w:tc>
          <w:tcPr>
            <w:tcW w:w="160" w:type="dxa"/>
            <w:vAlign w:val="bottom"/>
          </w:tcPr>
          <w:p>
            <w:pPr>
              <w:spacing w:after="0"/>
              <w:rPr>
                <w:sz w:val="19"/>
                <w:szCs w:val="19"/>
                <w:color w:val="auto"/>
              </w:rPr>
            </w:pPr>
          </w:p>
        </w:tc>
      </w:tr>
      <w:tr>
        <w:trPr>
          <w:trHeight w:val="210"/>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financial condition data: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2,327,867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1,953,765</w:t>
            </w:r>
          </w:p>
        </w:tc>
      </w:tr>
      <w:tr>
        <w:trPr>
          <w:trHeight w:val="216"/>
        </w:trPr>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1,565,649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1,485,790</w:t>
            </w: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2,066,285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1,784,001</w:t>
            </w:r>
          </w:p>
        </w:tc>
      </w:tr>
      <w:tr>
        <w:trPr>
          <w:trHeight w:val="216"/>
        </w:trPr>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subordinated notes,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28,320</w:t>
            </w: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218,314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133,775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quality ratios:</w:t>
            </w:r>
          </w:p>
        </w:tc>
        <w:tc>
          <w:tcPr>
            <w:tcW w:w="4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Allowance for loan losses to total loans</w:t>
            </w:r>
          </w:p>
        </w:tc>
        <w:tc>
          <w:tcPr>
            <w:tcW w:w="4760" w:type="dxa"/>
            <w:vAlign w:val="bottom"/>
          </w:tcPr>
          <w:p>
            <w:pPr>
              <w:jc w:val="right"/>
              <w:ind w:right="550"/>
              <w:spacing w:after="0"/>
              <w:rPr>
                <w:sz w:val="20"/>
                <w:szCs w:val="20"/>
                <w:color w:val="auto"/>
              </w:rPr>
            </w:pPr>
            <w:r>
              <w:rPr>
                <w:rFonts w:ascii="Arial" w:cs="Arial" w:eastAsia="Arial" w:hAnsi="Arial"/>
                <w:sz w:val="18"/>
                <w:szCs w:val="18"/>
                <w:color w:val="auto"/>
              </w:rPr>
              <w:t>1.39%</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6"/>
        </w:trPr>
        <w:tc>
          <w:tcPr>
            <w:tcW w:w="52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4"/>
              </w:rPr>
              <w:t>Allowance for loan losses to total loans, excluding SBA PPP loans</w:t>
            </w:r>
            <w:r>
              <w:rPr>
                <w:rFonts w:ascii="Arial" w:cs="Arial" w:eastAsia="Arial" w:hAnsi="Arial"/>
                <w:sz w:val="29"/>
                <w:szCs w:val="29"/>
                <w:color w:val="auto"/>
                <w:w w:val="94"/>
                <w:vertAlign w:val="superscript"/>
              </w:rPr>
              <w:t>1</w:t>
            </w:r>
          </w:p>
        </w:tc>
        <w:tc>
          <w:tcPr>
            <w:tcW w:w="4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Allowance for loan losses to non-accrual loans</w:t>
            </w:r>
          </w:p>
        </w:tc>
        <w:tc>
          <w:tcPr>
            <w:tcW w:w="4760" w:type="dxa"/>
            <w:vAlign w:val="bottom"/>
          </w:tcPr>
          <w:p>
            <w:pPr>
              <w:jc w:val="right"/>
              <w:ind w:right="610"/>
              <w:spacing w:after="0"/>
              <w:rPr>
                <w:sz w:val="20"/>
                <w:szCs w:val="20"/>
                <w:color w:val="auto"/>
              </w:rPr>
            </w:pPr>
            <w:r>
              <w:rPr>
                <w:rFonts w:ascii="Arial" w:cs="Arial" w:eastAsia="Arial" w:hAnsi="Arial"/>
                <w:sz w:val="18"/>
                <w:szCs w:val="18"/>
                <w:color w:val="auto"/>
              </w:rPr>
              <w:t>51.40x</w:t>
            </w:r>
          </w:p>
        </w:tc>
        <w:tc>
          <w:tcPr>
            <w:tcW w:w="1200" w:type="dxa"/>
            <w:vAlign w:val="bottom"/>
          </w:tcPr>
          <w:p>
            <w:pPr>
              <w:jc w:val="right"/>
              <w:spacing w:after="0"/>
              <w:rPr>
                <w:sz w:val="20"/>
                <w:szCs w:val="20"/>
                <w:color w:val="auto"/>
              </w:rPr>
            </w:pPr>
            <w:r>
              <w:rPr>
                <w:rFonts w:ascii="Arial" w:cs="Arial" w:eastAsia="Arial" w:hAnsi="Arial"/>
                <w:sz w:val="18"/>
                <w:szCs w:val="18"/>
                <w:color w:val="auto"/>
              </w:rPr>
              <w:t>49.09x</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loans to total loans</w:t>
            </w:r>
          </w:p>
        </w:tc>
        <w:tc>
          <w:tcPr>
            <w:tcW w:w="4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4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4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16.41%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Tier 1 capital (to risk-weighted assets)</w:t>
            </w:r>
          </w:p>
        </w:tc>
        <w:tc>
          <w:tcPr>
            <w:tcW w:w="4760" w:type="dxa"/>
            <w:vAlign w:val="bottom"/>
          </w:tcPr>
          <w:p>
            <w:pPr>
              <w:jc w:val="right"/>
              <w:ind w:right="550"/>
              <w:spacing w:after="0"/>
              <w:rPr>
                <w:sz w:val="20"/>
                <w:szCs w:val="20"/>
                <w:color w:val="auto"/>
              </w:rPr>
            </w:pPr>
            <w:r>
              <w:rPr>
                <w:rFonts w:ascii="Arial" w:cs="Arial" w:eastAsia="Arial" w:hAnsi="Arial"/>
                <w:sz w:val="18"/>
                <w:szCs w:val="18"/>
                <w:color w:val="auto"/>
              </w:rPr>
              <w:t>13.39%</w:t>
            </w:r>
          </w:p>
        </w:tc>
        <w:tc>
          <w:tcPr>
            <w:tcW w:w="120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equity Tier 1 capital (to risk-weighted assets)</w:t>
            </w:r>
          </w:p>
        </w:tc>
        <w:tc>
          <w:tcPr>
            <w:tcW w:w="4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Tier 1 capital (to average assets)</w:t>
            </w:r>
          </w:p>
        </w:tc>
        <w:tc>
          <w:tcPr>
            <w:tcW w:w="4760" w:type="dxa"/>
            <w:vAlign w:val="bottom"/>
          </w:tcPr>
          <w:p>
            <w:pPr>
              <w:jc w:val="right"/>
              <w:ind w:right="550"/>
              <w:spacing w:after="0"/>
              <w:rPr>
                <w:sz w:val="20"/>
                <w:szCs w:val="20"/>
                <w:color w:val="auto"/>
              </w:rPr>
            </w:pPr>
            <w:r>
              <w:rPr>
                <w:rFonts w:ascii="Arial" w:cs="Arial" w:eastAsia="Arial" w:hAnsi="Arial"/>
                <w:sz w:val="18"/>
                <w:szCs w:val="18"/>
                <w:color w:val="auto"/>
              </w:rPr>
              <w:t>9.59%</w:t>
            </w:r>
          </w:p>
        </w:tc>
        <w:tc>
          <w:tcPr>
            <w:tcW w:w="12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to total assets ratio</w:t>
            </w:r>
          </w:p>
        </w:tc>
        <w:tc>
          <w:tcPr>
            <w:tcW w:w="4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390"/>
        </w:trPr>
        <w:tc>
          <w:tcPr>
            <w:tcW w:w="5280" w:type="dxa"/>
            <w:vAlign w:val="bottom"/>
          </w:tcPr>
          <w:p>
            <w:pPr>
              <w:ind w:left="160"/>
              <w:spacing w:after="0"/>
              <w:rPr>
                <w:sz w:val="20"/>
                <w:szCs w:val="20"/>
                <w:color w:val="auto"/>
              </w:rPr>
            </w:pPr>
            <w:r>
              <w:rPr>
                <w:rFonts w:ascii="Arial" w:cs="Arial" w:eastAsia="Arial" w:hAnsi="Arial"/>
                <w:sz w:val="18"/>
                <w:szCs w:val="18"/>
                <w:color w:val="auto"/>
              </w:rPr>
              <w:t>Tangible common equity to tangible assets</w:t>
            </w:r>
            <w:r>
              <w:rPr>
                <w:rFonts w:ascii="Arial" w:cs="Arial" w:eastAsia="Arial" w:hAnsi="Arial"/>
                <w:sz w:val="29"/>
                <w:szCs w:val="29"/>
                <w:color w:val="auto"/>
                <w:vertAlign w:val="superscript"/>
              </w:rPr>
              <w:t>2</w:t>
            </w:r>
          </w:p>
        </w:tc>
        <w:tc>
          <w:tcPr>
            <w:tcW w:w="4760" w:type="dxa"/>
            <w:vAlign w:val="bottom"/>
          </w:tcPr>
          <w:p>
            <w:pPr>
              <w:jc w:val="right"/>
              <w:ind w:right="550"/>
              <w:spacing w:after="0"/>
              <w:rPr>
                <w:sz w:val="20"/>
                <w:szCs w:val="20"/>
                <w:color w:val="auto"/>
              </w:rPr>
            </w:pPr>
            <w:r>
              <w:rPr>
                <w:rFonts w:ascii="Arial" w:cs="Arial" w:eastAsia="Arial" w:hAnsi="Arial"/>
                <w:sz w:val="18"/>
                <w:szCs w:val="18"/>
                <w:color w:val="auto"/>
              </w:rPr>
              <w:t>9.38%</w:t>
            </w: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319"/>
        </w:trPr>
        <w:tc>
          <w:tcPr>
            <w:tcW w:w="5280" w:type="dxa"/>
            <w:vAlign w:val="bottom"/>
            <w:tcBorders>
              <w:bottom w:val="single" w:sz="8" w:color="DCDCDC"/>
            </w:tcBorders>
          </w:tcPr>
          <w:p>
            <w:pPr>
              <w:spacing w:after="0"/>
              <w:rPr>
                <w:sz w:val="24"/>
                <w:szCs w:val="24"/>
                <w:color w:val="auto"/>
              </w:rPr>
            </w:pPr>
          </w:p>
        </w:tc>
        <w:tc>
          <w:tcPr>
            <w:tcW w:w="4760" w:type="dxa"/>
            <w:vAlign w:val="bottom"/>
            <w:tcBorders>
              <w:bottom w:val="single" w:sz="8" w:color="DCDCDC"/>
            </w:tcBorders>
          </w:tcPr>
          <w:p>
            <w:pPr>
              <w:jc w:val="right"/>
              <w:ind w:right="4230"/>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0"/>
              </w:rPr>
              <w:t>For the three months ended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(dollars in thousands, except per share data)</w:t>
            </w:r>
          </w:p>
        </w:tc>
        <w:tc>
          <w:tcPr>
            <w:tcW w:w="300" w:type="dxa"/>
            <w:vAlign w:val="bottom"/>
          </w:tcPr>
          <w:p>
            <w:pPr>
              <w:spacing w:after="0"/>
              <w:rPr>
                <w:sz w:val="19"/>
                <w:szCs w:val="19"/>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87"/>
              </w:rPr>
              <w:t>June 30, 2020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87"/>
              </w:rPr>
              <w:t>June 30, 2020</w:t>
            </w:r>
          </w:p>
        </w:tc>
        <w:tc>
          <w:tcPr>
            <w:tcW w:w="160" w:type="dxa"/>
            <w:vAlign w:val="bottom"/>
          </w:tcPr>
          <w:p>
            <w:pPr>
              <w:spacing w:after="0"/>
              <w:rPr>
                <w:sz w:val="19"/>
                <w:szCs w:val="19"/>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18,296</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15,583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36,344</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29,791</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4,150</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Non-interest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3,462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4,227</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18,384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12,112</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20,106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17,129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0.67</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Selected pro forma operating data: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net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12,507</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Pro forma provision for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6,273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5,249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common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0.51</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0.76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0.51</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Performance and other financial ratios: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Return on average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27.78%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margin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Cost of deposits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r>
      <w:tr>
        <w:trPr>
          <w:trHeight w:val="256"/>
        </w:trPr>
        <w:tc>
          <w:tcPr>
            <w:tcW w:w="5200" w:type="dxa"/>
            <w:vAlign w:val="bottom"/>
          </w:tcPr>
          <w:p>
            <w:pPr>
              <w:ind w:left="160"/>
              <w:spacing w:after="0" w:line="256"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9"/>
                <w:szCs w:val="29"/>
                <w:color w:val="auto"/>
                <w:vertAlign w:val="superscript"/>
              </w:rPr>
              <w:t>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484.46%</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47.77%</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271.08%</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pro forma ratios: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5200" w:type="dxa"/>
            <w:vAlign w:val="bottom"/>
          </w:tcPr>
          <w:p>
            <w:pPr>
              <w:ind w:left="160"/>
              <w:spacing w:after="0" w:line="256" w:lineRule="exact"/>
              <w:rPr>
                <w:sz w:val="20"/>
                <w:szCs w:val="20"/>
                <w:color w:val="auto"/>
              </w:rPr>
            </w:pPr>
            <w:r>
              <w:rPr>
                <w:rFonts w:ascii="Arial" w:cs="Arial" w:eastAsia="Arial" w:hAnsi="Arial"/>
                <w:sz w:val="18"/>
                <w:szCs w:val="18"/>
                <w:color w:val="auto"/>
              </w:rPr>
              <w:t>Pro forma return on average assets</w:t>
            </w:r>
            <w:r>
              <w:rPr>
                <w:rFonts w:ascii="Arial" w:cs="Arial" w:eastAsia="Arial" w:hAnsi="Arial"/>
                <w:sz w:val="29"/>
                <w:szCs w:val="29"/>
                <w:color w:val="auto"/>
                <w:vertAlign w:val="superscript"/>
              </w:rPr>
              <w:t>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57"/>
        </w:trPr>
        <w:tc>
          <w:tcPr>
            <w:tcW w:w="52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Pro forma return on average equity</w:t>
            </w:r>
            <w:r>
              <w:rPr>
                <w:rFonts w:ascii="Arial" w:cs="Arial" w:eastAsia="Arial" w:hAnsi="Arial"/>
                <w:sz w:val="29"/>
                <w:szCs w:val="29"/>
                <w:color w:val="auto"/>
                <w:vertAlign w:val="superscript"/>
              </w:rPr>
              <w:t>4</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26.95%</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w:t>
            </w:r>
          </w:p>
        </w:tc>
      </w:tr>
    </w:tbl>
    <w:p>
      <w:pPr>
        <w:spacing w:after="0" w:line="197" w:lineRule="exact"/>
        <w:rPr>
          <w:sz w:val="20"/>
          <w:szCs w:val="20"/>
          <w:color w:val="auto"/>
        </w:rPr>
      </w:pPr>
    </w:p>
    <w:p>
      <w:pPr>
        <w:jc w:val="both"/>
        <w:ind w:left="380" w:hanging="332"/>
        <w:spacing w:after="0" w:line="233" w:lineRule="auto"/>
        <w:tabs>
          <w:tab w:leader="none" w:pos="38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 allowance for loan losses to total loans, excluding SBA-guaranteed PPP loans, is considered a non-GAAP financial measure. See the section entitled “Non-GAAP Financial Measures” for a reconciliation of our non-GAAP measures to the most directly comparable GAAP financial measure. Allowance for loan losses to total loans, excluding SBA-guaranteed PPP Loans, is defined as allowance for loan losses, divided by total loans less SBA-guaranteed PPP loans. The most directly comparable GAAP financial measure is allowance for loan losses to total loans.</w:t>
      </w:r>
    </w:p>
    <w:p>
      <w:pPr>
        <w:spacing w:after="0" w:line="117" w:lineRule="exact"/>
        <w:rPr>
          <w:sz w:val="20"/>
          <w:szCs w:val="20"/>
          <w:color w:val="auto"/>
        </w:rPr>
      </w:pPr>
    </w:p>
    <w:p>
      <w:pPr>
        <w:jc w:val="both"/>
        <w:ind w:left="380" w:hanging="332"/>
        <w:spacing w:after="0" w:line="233"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4"/>
          <w:szCs w:val="14"/>
          <w:color w:val="auto"/>
        </w:rPr>
        <w:t>Tangible common equity to tangible assets is considered to be a non-GAAP financial measure. See the section entitled “Non-GAAP Financial Measures.” Tangible common equity to tangible assets is defined as total equity less goodwill and other intangible assets, divided by total assets less goodwill and other intangible assets. The most directly comparable GAAP financial measure is total equity to total assets. We had no goodwill or other intangible assets as of any of the dates indicated. As a result, tangible common equity to tangible assets is the same as total equity to total assets as of each of the dates indicated.</w:t>
      </w:r>
    </w:p>
    <w:p>
      <w:pPr>
        <w:spacing w:after="0" w:line="117" w:lineRule="exact"/>
        <w:rPr>
          <w:sz w:val="20"/>
          <w:szCs w:val="20"/>
          <w:color w:val="auto"/>
        </w:rPr>
      </w:pPr>
    </w:p>
    <w:p>
      <w:pPr>
        <w:ind w:left="420" w:hanging="331"/>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4"/>
          <w:szCs w:val="14"/>
          <w:color w:val="auto"/>
        </w:rPr>
        <w:t>Calculated as dividends on common shares divided by basic net income per common share.</w:t>
      </w:r>
    </w:p>
    <w:p>
      <w:pPr>
        <w:spacing w:after="0" w:line="150" w:lineRule="exact"/>
        <w:rPr>
          <w:sz w:val="20"/>
          <w:szCs w:val="20"/>
          <w:color w:val="auto"/>
        </w:rPr>
      </w:pPr>
    </w:p>
    <w:p>
      <w:pPr>
        <w:ind w:left="380" w:hanging="372"/>
        <w:spacing w:after="0" w:line="253"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Pro forma return on average assets (ROAA) and return on average equity (ROAE) are calculated using pro forma net income balances, with no adjustments to average assets and average equity balances.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of our results of operations compares the three months ended June 30, 2021 to the three months ended June 30, 2020 and the six months ended June 30, 2021 to the six months ended June 30, 2020. The results of operations for the three and six months ended June 30, 2021 are not necessarily indicative of the results of operations that may be expected for the year ending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2021 Compared to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interest income increased by $2.7 million, or 17.43%, to $18.3 million for the quarter ended June 30, 2021 from $15.6 million for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2020. Our net interest margin of 3.48% for the quarter ended June 30, 2021 increased from our net interest margin of 3.42%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2020, primarily due to lower cost of deposits during the quarter ended June 30,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tables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9"/>
                <w:szCs w:val="19"/>
                <w:color w:val="auto"/>
              </w:rPr>
            </w:pPr>
          </w:p>
        </w:tc>
        <w:tc>
          <w:tcPr>
            <w:tcW w:w="30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left="41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82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82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Average</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w:t>
            </w:r>
          </w:p>
        </w:tc>
        <w:tc>
          <w:tcPr>
            <w:tcW w:w="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5"/>
              </w:rPr>
              <w:t>Yield/</w:t>
            </w: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Average</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w:t>
            </w:r>
          </w:p>
        </w:tc>
        <w:tc>
          <w:tcPr>
            <w:tcW w:w="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Balance</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Balance</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16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378,000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294,687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371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149,814</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75,256</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0"/>
        </w:trPr>
        <w:tc>
          <w:tcPr>
            <w:tcW w:w="4740" w:type="dxa"/>
            <w:vAlign w:val="bottom"/>
          </w:tcPr>
          <w:p>
            <w:pPr>
              <w:ind w:left="160"/>
              <w:spacing w:after="0" w:line="27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1,578,438</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18,626</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1,461,437</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17,522</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ind w:left="160"/>
              <w:spacing w:after="0" w:line="25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9"/>
                <w:szCs w:val="29"/>
                <w:color w:val="auto"/>
                <w:vertAlign w:val="superscript"/>
              </w:rPr>
              <w:t>1</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2,106,252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19,308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1,831,380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18,285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4740" w:type="dxa"/>
            <w:vAlign w:val="bottom"/>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140,757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43,854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2,247,009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1,875,234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75,424</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34,738</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949,448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850,548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Time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36,773</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144,604</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Borrowings and other obligations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0"/>
        </w:trPr>
        <w:tc>
          <w:tcPr>
            <w:tcW w:w="4740" w:type="dxa"/>
            <w:vAlign w:val="bottom"/>
          </w:tcPr>
          <w:p>
            <w:pPr>
              <w:ind w:left="160"/>
              <w:spacing w:after="0" w:line="270" w:lineRule="exact"/>
              <w:rPr>
                <w:sz w:val="20"/>
                <w:szCs w:val="20"/>
                <w:color w:val="auto"/>
              </w:rPr>
            </w:pPr>
            <w:r>
              <w:rPr>
                <w:rFonts w:ascii="Arial" w:cs="Arial" w:eastAsia="Arial" w:hAnsi="Arial"/>
                <w:sz w:val="18"/>
                <w:szCs w:val="18"/>
                <w:color w:val="auto"/>
              </w:rPr>
              <w:t>Subordinated debt</w:t>
            </w:r>
            <w:r>
              <w:rPr>
                <w:rFonts w:ascii="Arial" w:cs="Arial" w:eastAsia="Arial" w:hAnsi="Arial"/>
                <w:sz w:val="29"/>
                <w:szCs w:val="29"/>
                <w:color w:val="auto"/>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28,339</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444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28,275</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443</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1,240,836</w:t>
            </w: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1,202,504</w:t>
            </w: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Demand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827,992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562,932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162,560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110,282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2,247,009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1,875,234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line="25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8"/>
                <w:szCs w:val="28"/>
                <w:color w:val="auto"/>
                <w:vertAlign w:val="superscript"/>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line="284"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9"/>
                <w:szCs w:val="29"/>
                <w:color w:val="auto"/>
                <w:vertAlign w:val="superscript"/>
              </w:rPr>
              <w:t>5</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18,296</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15,583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3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Interest income/expense is divided by actual number of days in the period times actual number of days in the year to correspond to stated interest rate terms, where applicable.</w:t>
      </w:r>
    </w:p>
    <w:p>
      <w:pPr>
        <w:spacing w:after="0" w:line="150" w:lineRule="exact"/>
        <w:rPr>
          <w:sz w:val="20"/>
          <w:szCs w:val="20"/>
          <w:color w:val="auto"/>
        </w:rPr>
      </w:pPr>
    </w:p>
    <w:p>
      <w:pPr>
        <w:ind w:left="380" w:right="20" w:hanging="33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106" w:lineRule="exact"/>
        <w:rPr>
          <w:sz w:val="20"/>
          <w:szCs w:val="20"/>
          <w:color w:val="auto"/>
        </w:rPr>
      </w:pPr>
    </w:p>
    <w:p>
      <w:pPr>
        <w:ind w:left="380" w:hanging="33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6" w:lineRule="exact"/>
        <w:rPr>
          <w:sz w:val="20"/>
          <w:szCs w:val="20"/>
          <w:color w:val="auto"/>
        </w:rPr>
      </w:pPr>
    </w:p>
    <w:p>
      <w:pPr>
        <w:ind w:left="380" w:hanging="318"/>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Net interest spread represents the average yield earned on interest-earning assets minus the average rate paid on interest-bearing liabilities.</w:t>
      </w:r>
    </w:p>
    <w:p>
      <w:pPr>
        <w:spacing w:after="0" w:line="150" w:lineRule="exact"/>
        <w:rPr>
          <w:sz w:val="20"/>
          <w:szCs w:val="20"/>
          <w:color w:val="auto"/>
        </w:rPr>
      </w:pPr>
    </w:p>
    <w:p>
      <w:pPr>
        <w:ind w:left="380" w:right="20" w:hanging="332"/>
        <w:spacing w:after="0" w:line="253"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Changes not solely attributable to volume or rates have been allocated in proportion to the respective volume and rate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gridSpan w:val="7"/>
          </w:tcPr>
          <w:p>
            <w:pPr>
              <w:jc w:val="right"/>
              <w:ind w:right="587"/>
              <w:spacing w:after="0"/>
              <w:rPr>
                <w:sz w:val="20"/>
                <w:szCs w:val="20"/>
                <w:color w:val="auto"/>
              </w:rPr>
            </w:pPr>
            <w:r>
              <w:rPr>
                <w:rFonts w:ascii="Arial" w:cs="Arial" w:eastAsia="Arial" w:hAnsi="Arial"/>
                <w:sz w:val="18"/>
                <w:szCs w:val="18"/>
                <w:b w:val="1"/>
                <w:bCs w:val="1"/>
                <w:color w:val="auto"/>
              </w:rPr>
              <w:t>For the three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gridSpan w:val="7"/>
          </w:tcPr>
          <w:p>
            <w:pPr>
              <w:jc w:val="right"/>
              <w:ind w:right="607"/>
              <w:spacing w:after="0"/>
              <w:rPr>
                <w:sz w:val="20"/>
                <w:szCs w:val="20"/>
                <w:color w:val="auto"/>
              </w:rPr>
            </w:pPr>
            <w:r>
              <w:rPr>
                <w:rFonts w:ascii="Arial" w:cs="Arial" w:eastAsia="Arial" w:hAnsi="Arial"/>
                <w:sz w:val="18"/>
                <w:szCs w:val="18"/>
                <w:b w:val="1"/>
                <w:bCs w:val="1"/>
                <w:color w:val="auto"/>
              </w:rPr>
              <w:t>June 30, 2021 compared to</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b w:val="1"/>
                <w:bCs w:val="1"/>
                <w:color w:val="auto"/>
              </w:rPr>
              <w:t>the three months ended June 30, 2020</w:t>
            </w: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Volume</w:t>
            </w:r>
          </w:p>
        </w:tc>
        <w:tc>
          <w:tcPr>
            <w:tcW w:w="34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Yield/Rate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r>
      <w:tr>
        <w:trPr>
          <w:trHeight w:val="229"/>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1,440</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9"/>
                <w:szCs w:val="19"/>
                <w:color w:val="auto"/>
              </w:rPr>
            </w:pPr>
          </w:p>
        </w:tc>
      </w:tr>
      <w:tr>
        <w:trPr>
          <w:trHeight w:val="209"/>
        </w:trPr>
        <w:tc>
          <w:tcPr>
            <w:tcW w:w="52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interest-earning assets</w:t>
            </w: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8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Savings accounts</w:t>
            </w:r>
          </w:p>
        </w:tc>
        <w:tc>
          <w:tcPr>
            <w:tcW w:w="4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Time accounts</w:t>
            </w:r>
          </w:p>
        </w:tc>
        <w:tc>
          <w:tcPr>
            <w:tcW w:w="4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and other obligations</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4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280" w:type="dxa"/>
            <w:vAlign w:val="bottom"/>
            <w:gridSpan w:val="2"/>
          </w:tcPr>
          <w:p>
            <w:pPr>
              <w:ind w:left="320"/>
              <w:spacing w:after="0"/>
              <w:rPr>
                <w:sz w:val="20"/>
                <w:szCs w:val="20"/>
                <w:color w:val="auto"/>
              </w:rPr>
            </w:pPr>
            <w:r>
              <w:rPr>
                <w:rFonts w:ascii="Arial" w:cs="Arial" w:eastAsia="Arial" w:hAnsi="Arial"/>
                <w:sz w:val="18"/>
                <w:szCs w:val="18"/>
                <w:color w:val="auto"/>
              </w:rPr>
              <w:t>Changes in net interest income/margin</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interest income increased by $1.0 million, or 5.60%, to $19.3 million for the three months ended June 30, 2021 as compared to $18.3 million for the corresponding period for 2020. For the three months ended June 30, 2021, interest income from loans increased by $1.1 million to $18.6 million as the average daily balance of loans increased by $117.0 million, or 8.01%, compared to the same period of 2020. This interest income increase from greater average loan balances was partially offset by a 9 basis points decrease in loan yield for the three months ended June 30, 2021 as compared to the same period of 2020. Additionally, $1.4 million of fee income from forgiven PPP loans was recognized in the three months ended June 30, 2021, compared to $0.8 million during the same period of 2020. Excluding PPP loans, the average loan balances increased by $164.8 million to $1.4 billion, and the yield declined by 43 basis points for the three months ended June 30, 2021 compared to the same period of 2020. Average loan balance, excluding PPP loans, is considered to be a non-GAAP financial measure. See the section entitled “Non-GAAP Financial Measures.”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expense decreased $1.7 million to $1.0 million for the three months ended June 30, 2021 from $2.7 million for the same period of 2020. Interest expense on customer deposits decreased $1.7 million to $0.6 million for the three months ended June 30, 2021 from $2.3 million for the same period of 2020. This decrease is due to the cost of interest-bearing liabilities declining to 0.33% for the three months ended June 30, 2021 from 0.90% for the same period of 2020, reflecting the decline in overall interest rates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2021 Compared to Six Months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income increased by $6.6 million, or 22.00%, to $36.3 million for the six months ended June 30, 2021 from $29.8 million for the six months ended June 30, 2020. Our net interest margin of 3.65% for the six months ended June 30, 2021 declined from our net interest margin of 3.69% for the six months ended June 30, 2020, primarily due to lower yields on interest-earning assets during the six months ended June 30,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tables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For the six months ended</w:t>
            </w:r>
          </w:p>
        </w:tc>
        <w:tc>
          <w:tcPr>
            <w:tcW w:w="140" w:type="dxa"/>
            <w:vAlign w:val="bottom"/>
          </w:tcPr>
          <w:p>
            <w:pPr>
              <w:spacing w:after="0"/>
              <w:rPr>
                <w:sz w:val="19"/>
                <w:szCs w:val="19"/>
                <w:color w:val="auto"/>
              </w:rPr>
            </w:pPr>
          </w:p>
        </w:tc>
        <w:tc>
          <w:tcPr>
            <w:tcW w:w="30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88"/>
              </w:rPr>
              <w:t>For the six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left="41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left="450"/>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82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82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Average</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w:t>
            </w:r>
          </w:p>
        </w:tc>
        <w:tc>
          <w:tcPr>
            <w:tcW w:w="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5"/>
              </w:rPr>
              <w:t>Yield/</w:t>
            </w: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Average</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w:t>
            </w:r>
          </w:p>
        </w:tc>
        <w:tc>
          <w:tcPr>
            <w:tcW w:w="8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Balance</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Balance</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16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320,734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229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211,152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874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136,041</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77,588</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4740" w:type="dxa"/>
            <w:vAlign w:val="bottom"/>
          </w:tcPr>
          <w:p>
            <w:pPr>
              <w:ind w:left="160"/>
              <w:spacing w:after="0" w:line="27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1,552,364</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37,239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1,335,640</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33,584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ind w:left="160"/>
              <w:spacing w:after="0" w:line="25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9"/>
                <w:szCs w:val="29"/>
                <w:color w:val="auto"/>
                <w:vertAlign w:val="superscript"/>
              </w:rPr>
              <w:t>1</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2,009,139</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38,498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1,624,380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35,304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4740" w:type="dxa"/>
            <w:vAlign w:val="bottom"/>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133,394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39,390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2,142,533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1,663,770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135,927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68,223</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34,747</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908,621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763,174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3,406</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Time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41,430</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126,674</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939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Borrowings and other obligations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0"/>
        </w:trPr>
        <w:tc>
          <w:tcPr>
            <w:tcW w:w="4740" w:type="dxa"/>
            <w:vAlign w:val="bottom"/>
          </w:tcPr>
          <w:p>
            <w:pPr>
              <w:ind w:left="160"/>
              <w:spacing w:after="0" w:line="270" w:lineRule="exact"/>
              <w:rPr>
                <w:sz w:val="20"/>
                <w:szCs w:val="20"/>
                <w:color w:val="auto"/>
              </w:rPr>
            </w:pPr>
            <w:r>
              <w:rPr>
                <w:rFonts w:ascii="Arial" w:cs="Arial" w:eastAsia="Arial" w:hAnsi="Arial"/>
                <w:sz w:val="18"/>
                <w:szCs w:val="18"/>
                <w:color w:val="auto"/>
              </w:rPr>
              <w:t>Subordinated debt</w:t>
            </w:r>
            <w:r>
              <w:rPr>
                <w:rFonts w:ascii="Arial" w:cs="Arial" w:eastAsia="Arial" w:hAnsi="Arial"/>
                <w:sz w:val="29"/>
                <w:szCs w:val="29"/>
                <w:color w:val="auto"/>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28,332</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887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887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1,199,300</w:t>
            </w: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1,090,647</w:t>
            </w: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740" w:type="dxa"/>
            <w:vAlign w:val="bottom"/>
          </w:tcPr>
          <w:p>
            <w:pPr>
              <w:ind w:left="160"/>
              <w:spacing w:after="0"/>
              <w:rPr>
                <w:sz w:val="20"/>
                <w:szCs w:val="20"/>
                <w:color w:val="auto"/>
              </w:rPr>
            </w:pPr>
            <w:r>
              <w:rPr>
                <w:rFonts w:ascii="Arial" w:cs="Arial" w:eastAsia="Arial" w:hAnsi="Arial"/>
                <w:sz w:val="18"/>
                <w:szCs w:val="18"/>
                <w:color w:val="auto"/>
              </w:rPr>
              <w:t>Demand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786,955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462,753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145,940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108,899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2,142,533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1,663,770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line="25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8"/>
                <w:szCs w:val="28"/>
                <w:color w:val="auto"/>
                <w:vertAlign w:val="superscript"/>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line="284"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9"/>
                <w:szCs w:val="29"/>
                <w:color w:val="auto"/>
                <w:vertAlign w:val="superscript"/>
              </w:rPr>
              <w:t>5</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36,344</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29,791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18"/>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Interest income/expense is divided by actual number of days in the period times actual number of days in the year to correspond to stated interest rate terms, where applicable.</w:t>
      </w:r>
    </w:p>
    <w:p>
      <w:pPr>
        <w:spacing w:after="0" w:line="204" w:lineRule="exact"/>
        <w:rPr>
          <w:sz w:val="20"/>
          <w:szCs w:val="20"/>
          <w:color w:val="auto"/>
        </w:rPr>
      </w:pPr>
    </w:p>
    <w:p>
      <w:pPr>
        <w:ind w:left="380" w:right="20" w:hanging="332"/>
        <w:spacing w:after="0" w:line="253"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106" w:lineRule="exact"/>
        <w:rPr>
          <w:sz w:val="20"/>
          <w:szCs w:val="20"/>
          <w:color w:val="auto"/>
        </w:rPr>
      </w:pPr>
    </w:p>
    <w:p>
      <w:pPr>
        <w:ind w:left="380" w:hanging="332"/>
        <w:spacing w:after="0" w:line="253"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6" w:lineRule="exact"/>
        <w:rPr>
          <w:sz w:val="20"/>
          <w:szCs w:val="20"/>
          <w:color w:val="auto"/>
        </w:rPr>
      </w:pPr>
    </w:p>
    <w:p>
      <w:pPr>
        <w:ind w:left="380" w:hanging="318"/>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Net interest spread represents the average yield earned on interest-earning assets minus the average rate paid on interest-bearing liabilities.</w:t>
      </w:r>
    </w:p>
    <w:p>
      <w:pPr>
        <w:spacing w:after="0" w:line="150" w:lineRule="exact"/>
        <w:rPr>
          <w:sz w:val="20"/>
          <w:szCs w:val="20"/>
          <w:color w:val="auto"/>
        </w:rPr>
      </w:pPr>
    </w:p>
    <w:p>
      <w:pPr>
        <w:ind w:left="380" w:right="20" w:hanging="332"/>
        <w:spacing w:after="0" w:line="253"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Changes not solely attributable to volume or rates have been allocated in proportion to the respective volume and rate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For the six months ended</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June 30, 2021 compared to</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7"/>
              </w:rPr>
              <w:t>the six months ended June 30, 2020</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Volume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Yield/Rate</w:t>
            </w:r>
          </w:p>
        </w:tc>
        <w:tc>
          <w:tcPr>
            <w:tcW w:w="50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(257)</w:t>
            </w:r>
          </w:p>
        </w:tc>
        <w:tc>
          <w:tcPr>
            <w:tcW w:w="5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140" w:type="dxa"/>
            <w:vAlign w:val="bottom"/>
          </w:tcPr>
          <w:p>
            <w:pPr>
              <w:spacing w:after="0"/>
              <w:rPr>
                <w:sz w:val="18"/>
                <w:szCs w:val="18"/>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(1,411)</w:t>
            </w:r>
          </w:p>
        </w:tc>
        <w:tc>
          <w:tcPr>
            <w:tcW w:w="5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1140" w:type="dxa"/>
            <w:vAlign w:val="bottom"/>
          </w:tcPr>
          <w:p>
            <w:pPr>
              <w:spacing w:after="0"/>
              <w:rPr>
                <w:sz w:val="19"/>
                <w:szCs w:val="19"/>
                <w:color w:val="auto"/>
              </w:rPr>
            </w:pPr>
          </w:p>
        </w:tc>
      </w:tr>
      <w:tr>
        <w:trPr>
          <w:trHeight w:val="209"/>
        </w:trPr>
        <w:tc>
          <w:tcPr>
            <w:tcW w:w="5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interest-earning assets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Savings accounts</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2,516</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2,348</w:t>
            </w:r>
          </w:p>
        </w:tc>
        <w:tc>
          <w:tcPr>
            <w:tcW w:w="114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Time accounts</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631</w:t>
            </w:r>
          </w:p>
        </w:tc>
        <w:tc>
          <w:tcPr>
            <w:tcW w:w="5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114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and other obligations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09"/>
        </w:trPr>
        <w:tc>
          <w:tcPr>
            <w:tcW w:w="54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400" w:type="dxa"/>
            <w:vAlign w:val="bottom"/>
            <w:gridSpan w:val="2"/>
          </w:tcPr>
          <w:p>
            <w:pPr>
              <w:ind w:left="320"/>
              <w:spacing w:after="0"/>
              <w:rPr>
                <w:sz w:val="20"/>
                <w:szCs w:val="20"/>
                <w:color w:val="auto"/>
              </w:rPr>
            </w:pPr>
            <w:r>
              <w:rPr>
                <w:rFonts w:ascii="Arial" w:cs="Arial" w:eastAsia="Arial" w:hAnsi="Arial"/>
                <w:sz w:val="18"/>
                <w:szCs w:val="18"/>
                <w:color w:val="auto"/>
              </w:rPr>
              <w:t>Changes in net interest income/margin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3"/>
        </w:trPr>
        <w:tc>
          <w:tcPr>
            <w:tcW w:w="53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jc w:val="right"/>
              <w:ind w:right="830"/>
              <w:spacing w:after="0"/>
              <w:rPr>
                <w:sz w:val="20"/>
                <w:szCs w:val="20"/>
                <w:color w:val="auto"/>
              </w:rPr>
            </w:pPr>
            <w:r>
              <w:rPr>
                <w:rFonts w:ascii="Arial" w:cs="Arial" w:eastAsia="Arial" w:hAnsi="Arial"/>
                <w:sz w:val="18"/>
                <w:szCs w:val="18"/>
                <w:color w:val="auto"/>
                <w:w w:val="89"/>
              </w:rPr>
              <w:t>42</w:t>
            </w:r>
          </w:p>
        </w:tc>
        <w:tc>
          <w:tcPr>
            <w:tcW w:w="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609"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Total interest income increased by $3.2 million, or 9.05%, to $38.5 million for the six months ended June 30, 2021 as compared to $35.3 million for the same period for 2020. For the six months ended June 30, 2021, interest income from loans increased by $3.7 million to $37.2 million as the average daily balance of loans increased by $216.7 million, or 16.23%, compared to the same period of 2020. This interest income increase from greater average loan balances was partially offset by a 22 basis points decrease in loan yield for the six months ended June 30, 2021 as compared to the same period of 2020. Additionally, $3.3 million of fee income from forgiven PPP loans was recognized in the six months ended June 30, 2021, compared to $0.8 million during the same period of 2020. Excluding PPP loans, the average loan balances increased by $152.0 million to $1.4 billion and the yield declined by 45 basis points for the six months ended June 30, 2021 compared to the same period of 2020. Average loan balance excluding PPP loans is considered to be a non-GAAP financial measure. See the section entitled “Non-GAAP Financial Measures.”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interest expense decreased $3.3 million to $2.2 million for the six months ended June 30, 2021 from $5.5 million for the same period of 2020. Interest expense on customer deposits decreased $3.3 million to $1.3 million for the six months ended June 30, 2021 from $4.6 million for the same period of 2020. This decrease is due to the cost of interest-bearing liabilities declining to 0.36% for the six months ended June 30, 2021, from 1.02% for the same period of 2020, reflecting the decline in overall interest rates as well as a shift from interest-bearing deposits to non-interest-bearing demand deposits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Loan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2021 Compared to Three Months Ended June 30,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did not record a provision for loan losses in the second quarter of 2021, compared to a $1.6 million provision for loan losses for the same period in 2020. The decline of $1.6 million for the provision period-over-period was primarily due to improvements in the economy overall as more counties within California and other states where our collateral is located began to loosen restrictions related to the COVID-19 pandemic, resulting in favorable economic conditions for our borrowers.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2021 Compared to Six Months Ended June 30,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$0.2 million provision for loan losses in the first six months of 2021, compared to a $4.2 million provision for loan losses for the same period in 2020. The decline of $4.0 million for the provision period-over-period was primarily due to improvements in the economy overall as more counties within California and other states where our collateral is located began to loosen restrictions related to the COVID-19 pandemic, resulting in favorable economic conditions for our borrowers.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primarily of net gains on the sale of loans, FHLB dividends, and other fee income, including loan-related fees and fees related to customer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2021 Compared to Three Months Ended June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decreased by $0.6 million, or 25.38%, during the three months ended June 30, 2021 to $1.8 million, compared to $2.5 million in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89"/>
              </w:rPr>
              <w:t>For the three months ended</w:t>
            </w:r>
          </w:p>
        </w:tc>
        <w:tc>
          <w:tcPr>
            <w:tcW w:w="260" w:type="dxa"/>
            <w:vAlign w:val="bottom"/>
          </w:tcPr>
          <w:p>
            <w:pPr>
              <w:spacing w:after="0"/>
              <w:rPr>
                <w:sz w:val="20"/>
                <w:szCs w:val="20"/>
                <w:color w:val="auto"/>
              </w:rPr>
            </w:pPr>
          </w:p>
        </w:tc>
        <w:tc>
          <w:tcPr>
            <w:tcW w:w="152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1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87"/>
              </w:rPr>
              <w:t>June 30, 2020</w:t>
            </w:r>
          </w:p>
        </w:tc>
        <w:tc>
          <w:tcPr>
            <w:tcW w:w="30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Increase (Decrease)</w:t>
            </w:r>
          </w:p>
        </w:tc>
        <w:tc>
          <w:tcPr>
            <w:tcW w:w="30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Increase (Decrease)</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vMerge w:val="continue"/>
            <w:shd w:val="clear" w:color="auto" w:fill="CCEEFF"/>
          </w:tcPr>
          <w:p>
            <w:pPr>
              <w:spacing w:after="0"/>
              <w:rPr>
                <w:sz w:val="18"/>
                <w:szCs w:val="18"/>
                <w:color w:val="auto"/>
              </w:rPr>
            </w:pP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gains on sales of securities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18"/>
                <w:szCs w:val="18"/>
                <w:color w:val="auto"/>
              </w:rPr>
            </w:pPr>
          </w:p>
        </w:tc>
        <w:tc>
          <w:tcPr>
            <w:tcW w:w="1520" w:type="dxa"/>
            <w:vAlign w:val="bottom"/>
            <w:gridSpan w:val="2"/>
          </w:tcPr>
          <w:p>
            <w:pPr>
              <w:jc w:val="right"/>
              <w:ind w:right="161"/>
              <w:spacing w:after="0"/>
              <w:rPr>
                <w:sz w:val="20"/>
                <w:szCs w:val="20"/>
                <w:color w:val="auto"/>
              </w:rPr>
            </w:pPr>
            <w:r>
              <w:rPr>
                <w:rFonts w:ascii="Arial" w:cs="Arial" w:eastAsia="Arial" w:hAnsi="Arial"/>
                <w:sz w:val="18"/>
                <w:szCs w:val="18"/>
                <w:color w:val="auto"/>
              </w:rPr>
              <w:t>(342)</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289</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Loan-related fees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1520" w:type="dxa"/>
            <w:vAlign w:val="bottom"/>
            <w:gridSpan w:val="2"/>
          </w:tcPr>
          <w:p>
            <w:pPr>
              <w:jc w:val="right"/>
              <w:ind w:right="161"/>
              <w:spacing w:after="0"/>
              <w:rPr>
                <w:sz w:val="20"/>
                <w:szCs w:val="20"/>
                <w:color w:val="auto"/>
              </w:rPr>
            </w:pPr>
            <w:r>
              <w:rPr>
                <w:rFonts w:ascii="Arial" w:cs="Arial" w:eastAsia="Arial" w:hAnsi="Arial"/>
                <w:sz w:val="18"/>
                <w:szCs w:val="18"/>
                <w:color w:val="auto"/>
              </w:rPr>
              <w:t>(736)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28</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Earnings on bank-owned life insurance</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520" w:type="dxa"/>
            <w:vAlign w:val="bottom"/>
            <w:gridSpan w:val="2"/>
          </w:tcPr>
          <w:p>
            <w:pPr>
              <w:jc w:val="right"/>
              <w:ind w:right="221"/>
              <w:spacing w:after="0"/>
              <w:rPr>
                <w:sz w:val="20"/>
                <w:szCs w:val="20"/>
                <w:color w:val="auto"/>
              </w:rPr>
            </w:pPr>
            <w:r>
              <w:rPr>
                <w:rFonts w:ascii="Arial" w:cs="Arial" w:eastAsia="Arial" w:hAnsi="Arial"/>
                <w:sz w:val="18"/>
                <w:szCs w:val="18"/>
                <w:color w:val="auto"/>
              </w:rPr>
              <w:t>2</w:t>
            </w: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101</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gains on sale of securities. </w:t>
      </w:r>
      <w:r>
        <w:rPr>
          <w:rFonts w:ascii="Arial" w:cs="Arial" w:eastAsia="Arial" w:hAnsi="Arial"/>
          <w:sz w:val="18"/>
          <w:szCs w:val="18"/>
          <w:color w:val="auto"/>
        </w:rPr>
        <w:t>Gains on the sale of securities declined by $0.3 million, or 78.80%, to $0.1 million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2020. The decline related to a lower volume of securities sold in the quarter ended June 30, 2021 compared to the quarter ended June 30, 2020. During the three months ended June 30, 2021, approximately $4.7 million of municipal securities were sold for a net gain of $0.1 million, compared to approximately $10.0 million of corporate bonds which were sold for a net gain of $0.4 million during the three months ended June 30,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Gain on sale of loans increased by $0.3 million, or 36.03%, to $1.1 million for the three months ended June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2020. The aggregate principal balance of SBA 7(a) guaranteed portions sold during the quarter ended June 30, 2021 was $11.1 million compared to $16.4 million in the quarter ended June 30, 2020. The weighted average premium received was 9.82% during the quarter ended June 30, 2021 compared to 5.37% during the quarter ended June 30, 2020.</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Loan-related fees</w:t>
      </w:r>
      <w:r>
        <w:rPr>
          <w:rFonts w:ascii="Arial" w:cs="Arial" w:eastAsia="Arial" w:hAnsi="Arial"/>
          <w:sz w:val="16"/>
          <w:szCs w:val="16"/>
          <w:color w:val="auto"/>
        </w:rPr>
        <w:t>. Loan-related fees are primarily comprised of appraisal fees, insurance and taxes, loan-related legal fees, Uniform Commercial Code</w:t>
      </w:r>
      <w:r>
        <w:rPr>
          <w:rFonts w:ascii="Arial" w:cs="Arial" w:eastAsia="Arial" w:hAnsi="Arial"/>
          <w:sz w:val="16"/>
          <w:szCs w:val="16"/>
          <w:i w:val="1"/>
          <w:iCs w:val="1"/>
          <w:color w:val="auto"/>
        </w:rPr>
        <w:t xml:space="preserve"> </w:t>
      </w:r>
      <w:r>
        <w:rPr>
          <w:rFonts w:ascii="Arial" w:cs="Arial" w:eastAsia="Arial" w:hAnsi="Arial"/>
          <w:sz w:val="16"/>
          <w:szCs w:val="16"/>
          <w:color w:val="auto"/>
        </w:rPr>
        <w:t>(“UCC”) filing fees, credit report fees, inspection fees, and amortization of servicing assets. Loan-related fees declined by $0.7 million, or 77.72%, to $0.2 million during the three months ended June 30, 2021 compared to the three months ended June 30, 2020, which is primarily related a decline in swap referral fees. Such fees are recognized when borrowers seeking fixed rate loans are referred to a counterparty who places the swap for the borrower.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2021 Compared to Six Months Ended June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decreased by $0.8 million, or 18.10%, during the six months ended June 30, 2021 to $3.5 million, compared to $4.2 million in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six months ended</w:t>
            </w:r>
          </w:p>
        </w:tc>
        <w:tc>
          <w:tcPr>
            <w:tcW w:w="260" w:type="dxa"/>
            <w:vAlign w:val="bottom"/>
          </w:tcPr>
          <w:p>
            <w:pPr>
              <w:spacing w:after="0"/>
              <w:rPr>
                <w:sz w:val="20"/>
                <w:szCs w:val="20"/>
                <w:color w:val="auto"/>
              </w:rPr>
            </w:pPr>
          </w:p>
        </w:tc>
        <w:tc>
          <w:tcPr>
            <w:tcW w:w="1600" w:type="dxa"/>
            <w:vAlign w:val="bottom"/>
            <w:gridSpan w:val="2"/>
          </w:tcPr>
          <w:p>
            <w:pPr>
              <w:jc w:val="right"/>
              <w:ind w:right="721"/>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9"/>
                <w:szCs w:val="19"/>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7"/>
              </w:rPr>
              <w:t>June 30, 2020</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Increase (Decrease)</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Increase (Decrease)</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vMerge w:val="continue"/>
            <w:shd w:val="clear" w:color="auto" w:fill="CCEEFF"/>
          </w:tcPr>
          <w:p>
            <w:pPr>
              <w:spacing w:after="0"/>
              <w:rPr>
                <w:sz w:val="18"/>
                <w:szCs w:val="18"/>
                <w:color w:val="auto"/>
              </w:rPr>
            </w:pP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Net gains on sales of securities</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Arial" w:cs="Arial" w:eastAsia="Arial" w:hAnsi="Arial"/>
                <w:sz w:val="18"/>
                <w:szCs w:val="18"/>
                <w:color w:val="auto"/>
              </w:rPr>
              <w:t>(692)</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1,441</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581</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Loan-related fees</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Arial" w:cs="Arial" w:eastAsia="Arial" w:hAnsi="Arial"/>
                <w:sz w:val="18"/>
                <w:szCs w:val="18"/>
                <w:color w:val="auto"/>
              </w:rPr>
              <w:t>(832)</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17</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Earnings on bank-owned life insurance</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Arial" w:cs="Arial" w:eastAsia="Arial" w:hAnsi="Arial"/>
                <w:sz w:val="18"/>
                <w:szCs w:val="18"/>
                <w:color w:val="auto"/>
              </w:rPr>
              <w:t>(3)</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144</w:t>
            </w:r>
          </w:p>
        </w:tc>
        <w:tc>
          <w:tcPr>
            <w:tcW w:w="1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gains on sale of securities. </w:t>
      </w:r>
      <w:r>
        <w:rPr>
          <w:rFonts w:ascii="Arial" w:cs="Arial" w:eastAsia="Arial" w:hAnsi="Arial"/>
          <w:sz w:val="18"/>
          <w:szCs w:val="18"/>
          <w:color w:val="auto"/>
        </w:rPr>
        <w:t>Gain on sale of securities declined during the six months ended June 30, 2021 by $0.7 million, or 71.64%, to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during the six months ended June 30, 2020. During the six months ended June 30, 2021, approximately $15.4 million of municipal securities were sold for a net gain of $0.3 million compared to approximately $16.4 million of municipal securities and $10.0 million of corporate bonds which were sold for a net gain of $1.0 million during the six months ended June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i w:val="1"/>
          <w:iCs w:val="1"/>
          <w:color w:val="auto"/>
        </w:rPr>
        <w:t xml:space="preserve">Gain on sale of loans. </w:t>
      </w:r>
      <w:r>
        <w:rPr>
          <w:rFonts w:ascii="Arial" w:cs="Arial" w:eastAsia="Arial" w:hAnsi="Arial"/>
          <w:sz w:val="17"/>
          <w:szCs w:val="17"/>
          <w:color w:val="auto"/>
        </w:rPr>
        <w:t>Gain on sale of loans increased by $0.6 million, or 40.32%, to $2.0 million during the six months ended June 30,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$1.4 million during the six months ended June 30, 2021. The aggregate principal balance of SBA 7(a) guaranteed portions sold during the six months ended June 30, 2021 was $22.0 million, compared to $27.9 million in the six months ended June 30, 2020. The weighted average premium received was 8.85% during the six months ended June 30, 2021 compared to 5.45% during the six months ended June 30, 2020.</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Loan-related fees</w:t>
      </w:r>
      <w:r>
        <w:rPr>
          <w:rFonts w:ascii="Arial" w:cs="Arial" w:eastAsia="Arial" w:hAnsi="Arial"/>
          <w:sz w:val="18"/>
          <w:szCs w:val="18"/>
          <w:color w:val="auto"/>
        </w:rPr>
        <w:t>. Loan-related fees decreased $0.8 million, or 71.42%, to $0.3 million for the six months ended June 30, 2021, compared to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2020, which is primarily related to a decrease in swap referral fees. Such fees are recognized when borrowers seeking fixed rate loans are referred to a counterparty who places the swap for the borrower.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Non-interest expense includes salaries and employee benefits, occupancy and equipment costs, data processing and software fees, federal deposit insurance expense, professional services fees, advertising and promotional expense, loan-related fees and other operating expenses. In evaluating our level of non-interest expense, we closely monitor our efficiency ratio. The efficiency ratio is calculated by dividing non-interest expense by net interest income plus non-interest income. We constantly seek to identify ways to streamline our business and operate more efficiently, which has enabled us to reduce our non-interest expense in both absolute terms and as a percentage of our revenue while continuing to achieve growth in total loans and assets.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several years, we have invested significant resources in personnel and infrastructure. Additionally, to support corporate organizational matters leading up to the IPO, we experienced increased audit, consulting, and legal costs during the three and six months ended June 30, 2021. As a result, non-interest expense is increasing; however, we do not anticipate incurring significant costs of this type in future periods, and we expect our efficiency ratio will improve due, in part, to our past investment in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2021 Compared to Three Months Ended June 30,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increased by $3.6 million, or 59.24%, to $9.6 million for the three months ended June 30, 2021, compared to $6.0 million for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6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9"/>
                <w:szCs w:val="19"/>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7"/>
              </w:rPr>
              <w:t>June 30, 2020</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Increase (Decrease)</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Increase (Decrease)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80" w:type="dxa"/>
            <w:vAlign w:val="bottom"/>
            <w:vMerge w:val="continue"/>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Federal deposit insurance</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Advertising and promotional</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972</w:t>
            </w:r>
          </w:p>
        </w:tc>
        <w:tc>
          <w:tcPr>
            <w:tcW w:w="260" w:type="dxa"/>
            <w:vAlign w:val="bottom"/>
          </w:tcPr>
          <w:p>
            <w:pPr>
              <w:spacing w:after="0"/>
              <w:rPr>
                <w:sz w:val="19"/>
                <w:szCs w:val="19"/>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686</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Salaries and employee benefits</w:t>
      </w:r>
      <w:r>
        <w:rPr>
          <w:rFonts w:ascii="Arial" w:cs="Arial" w:eastAsia="Arial" w:hAnsi="Arial"/>
          <w:sz w:val="17"/>
          <w:szCs w:val="17"/>
          <w:color w:val="auto"/>
        </w:rPr>
        <w:t>. Salaries and employee benefits increased by $1.9 million, or 63.06%, to $4.9 million for the quarter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$3.0 million for the same period in 2020, primarily related to an increase in the number of full-time equivalent employees from 124 employees as of June 30, 2020 to 156 employees as of June 30, 2021, a 25.81% increase, and increased commissions related to our loan and deposit growth for the quarter ended June 30, 2021 compared to the quarter ended June 30, 2020. Additionally, salaries and employee benefits increased partially as a result of a $0.3 million decrease in deferred loan origination costs from $1.2 million for the quarter ended June 30, 2020 to $0.9 million for the quarter ended June 30, 2021, relating primarily to a high volume of PPP loans funded in the quarter ended June 30, 2020.</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Data processing and software</w:t>
      </w:r>
      <w:r>
        <w:rPr>
          <w:rFonts w:ascii="Arial" w:cs="Arial" w:eastAsia="Arial" w:hAnsi="Arial"/>
          <w:sz w:val="16"/>
          <w:szCs w:val="16"/>
          <w:color w:val="auto"/>
        </w:rPr>
        <w:t>. Data processing and software expenses increased by approximately $0.1 million, or 32.30%, period-over-period to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quarter ended June 30, 2021. The increase was primarily due to (i) increased usage of our digital banking platform; (ii) higher transaction volumes related to the increased number of loan and deposit accounts; (iii) increased costs related to improved collateral tracking, electronic statements, and mobile payment solutions; and (iv) increased number of licenses for new users on our loan origination and documentation system.</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Federal deposit insurance. </w:t>
      </w:r>
      <w:r>
        <w:rPr>
          <w:rFonts w:ascii="Arial" w:cs="Arial" w:eastAsia="Arial" w:hAnsi="Arial"/>
          <w:sz w:val="16"/>
          <w:szCs w:val="16"/>
          <w:color w:val="auto"/>
        </w:rPr>
        <w:t>Our Federal Deposit Insurance Corporation (“FDIC”) deposit insurance premium decreased by approximately $0.2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56.14%, for the quarter ended June 30, 2021 as compared to the same period in 2020. This decrease is primarily the result of an improved leverage ratio.</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Professional services</w:t>
      </w:r>
      <w:r>
        <w:rPr>
          <w:rFonts w:ascii="Arial" w:cs="Arial" w:eastAsia="Arial" w:hAnsi="Arial"/>
          <w:sz w:val="18"/>
          <w:szCs w:val="18"/>
          <w:color w:val="auto"/>
        </w:rPr>
        <w:t>. Professional services expense increased by approximately $0.9 million, or 256.25%, period-over-period to $1.3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June 30, 2021, due to increased audit, consulting, and legal costs incurred to support corporate organizational matters leading up to the IPO during the quarter ended June 30, 2021, which did not occur during the same quarter of the prior year.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which are comprised of travel and mileage, insurance, postage, supplies, other employee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armored car, courier services, and other miscellaneous administrative expenses, increased by $0.7 million, or 70.58%, primarily as a result of stock compensation expense recognized for director grants of $0.8 million, which were related to the IPO during the quarter.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Six Months Ended June 30, 2021 Compared to Six Months Ended June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increased by $6.3 million to $18.4 million for the six months ended June 30, 2021, compared to $12.1 million for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six months ended</w:t>
            </w:r>
          </w:p>
        </w:tc>
        <w:tc>
          <w:tcPr>
            <w:tcW w:w="26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5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9"/>
                <w:szCs w:val="19"/>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7"/>
              </w:rPr>
              <w:t>June 30, 2020</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Increase (Decrease)</w:t>
            </w:r>
          </w:p>
        </w:tc>
        <w:tc>
          <w:tcPr>
            <w:tcW w:w="38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Increase (Decrease)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380" w:type="dxa"/>
            <w:vAlign w:val="bottom"/>
            <w:vMerge w:val="continue"/>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Federal deposit insurance</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2,136</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Advertising and promotional</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2,474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9"/>
                <w:szCs w:val="19"/>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614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increased by $3.2 million, or 48.82%, to $9.6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$6.5 million for the same period in 2020, primarily related to an increase in the number of full-time equivalent employees from 124 employees as of June 30, 2020 to 156 employees as of June 30, 2021, a 25.81% increase, and increased commissions related to our loan and deposit growth for the six months ended June 30, 2021 compared to the six months ended June 30,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Data processing and software. </w:t>
      </w:r>
      <w:r>
        <w:rPr>
          <w:rFonts w:ascii="Arial" w:cs="Arial" w:eastAsia="Arial" w:hAnsi="Arial"/>
          <w:sz w:val="17"/>
          <w:szCs w:val="17"/>
          <w:color w:val="auto"/>
        </w:rPr>
        <w:t>Data processing and software expenses increased by $0.3 million, or 35.73%, period-over-period to $1.2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The increase was primarily due to (i) increased usage of our digital banking platform; (ii) higher transaction volumes related to the increased number of loan and deposit accounts; (iii) increased costs related to improved collateral tracking, electronic statements, and mobile payment solutions; and (iv) increased number of licenses for new users on our loan origination and documentation system.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Professional services</w:t>
      </w:r>
      <w:r>
        <w:rPr>
          <w:rFonts w:ascii="Arial" w:cs="Arial" w:eastAsia="Arial" w:hAnsi="Arial"/>
          <w:sz w:val="17"/>
          <w:szCs w:val="17"/>
          <w:color w:val="auto"/>
        </w:rPr>
        <w:t>. Professional services expenses increased by approximately $2.1 million, or 302.12%, period-over-period to $2.8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which is due to increased audit, consulting and legal costs incurred to support corporate organizational matters leading up to the IPO during the six months ended June 30, 2021, which did not occur during the same period of the prior year.</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increased by approximately $0.6 million, or 33.01%, period-over-period to $2.5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as compared to the six months ended June 30, 2020. The increase was primarily a result of stock compensation expense recognized for director grants of $0.8 million, which were related to the IPO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IPO and became a C Corporation. Prior to that date, as an S Corporation, the Company had no U.S. federal income tax expense. The provision recorded for the three and six months ended June 30, 2021 was calculated using an effective tax rate of 20.77%, representing the weighted average rate between the S Corporation tax rate of 3.50% and the C Corporation tax rate of 29.56% based on the number of days as each type of corporation during 2021. As such, a $2.4 million adjustment to increase tax expense for the S Corporation period was required. Refer to the section entitled “Pro Forma C Corporation Income Tax Expense” below for a discussion on what the Company’s income tax expense and net income would have been had the Company been taxed as a C Corporation during the three and six months ended June 30, 2021.</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termination of the Subchapter S corporation status as of May 5, 2021,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net deferred tax asset of $5.4 million and a reduction to the provision for income taxes of $4.6 million during the three and six months ended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quarter ended June 30, 2021 increased by $0.3 million, to $0.7 million as compared to $0.4 million during the quarter ended June 30, 2020. This increase is due to the change in the annual effective tax rate used from 3.50% to 20.77%, as previously noted above, and was partially offset by a $4.6 million reduction to the provision for income taxes relating to the adjustment of the net deferred tax assets due to the termination of the Company’s S Corporation status.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Six Months Ended June 30,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increased by $0.5 million to $1.1 million during the six months ended June 30, 2021 as compared to $0.6 million for the six months ended June 30, 2020. This increase is due to the change in the annual effective tax rate used from 3.50% to 20.77%, as previously noted above, and was partially offset by a $4.6 million reduction to the provision for income taxes relating to the adjustment of the net deferred tax assets due to the termination of the Company’s S Corporation status.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 Corporation Income Tax Expense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of the Company’s status as a Subchapter S Corporation, no U.S. federal income tax expense was recorded for a portion of the three and six months ended June 30, 2021 and for the entirety of the three and six months ended June 30, 2020. Had the Company been taxed as a C Corporation and paid U.S. federal income tax for such periods, the combined statutory income tax rate would have been 29.56% in each period. These pro forma statutory rates reflect a U.S. federal income tax rate of 21.00% and a California income tax rate of 8.56%, after adjustment for the federal tax benefit, on corporate taxable income. Had the Company been subject to U.S. federal income tax for each of these periods, on a statutory income tax rate pro forma basis, the provision for combined federal and state income tax would have been $3.1 million and $6.3 million for the three and six months ended June 30, 2021, respectively, and $3.1 million and $5.2 million for the three and six months ended June 30, 2020, respectively. As a result of the foregoing factors, the Company’s pro forma net income (after U.S. federal and California state income tax) would have been $7.4 million and $14.9 million for the three and six months ended June 30, 2021, respectively, and $7.4 million and $12.5 million for the three and six months ended June 30, 2020,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compares our financial condition as of June 30, 2021 to December 31, 2020. The following table summarizes selected components of our balance sheet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1,953,765</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536,604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290,493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166,547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loans, net</w:t>
            </w:r>
          </w:p>
        </w:tc>
        <w:tc>
          <w:tcPr>
            <w:tcW w:w="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1,565,649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1,485,790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2,066,285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1,784,001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subordinated notes, net</w:t>
            </w:r>
          </w:p>
        </w:tc>
        <w:tc>
          <w:tcPr>
            <w:tcW w:w="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28,353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28,320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218,314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2021, total assets were $2.3 billion, an increase of $374.1 million, from $2.0 billion at December 31, 2020, primarily due to increases in cash and cash equivalents and the loan portfolio,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cash and cash equivalents were $536.6 million at June 30, 2021, an increase of $246.1 million, as compared to $290.5 million at December 31, 2020. The increase of $246.1 million in cash and cash equivalents was primarily a result of net income recognized of $20.1 million, an increase in deposits of $282.3 million, and net proceeds of $111.2 million from the issuance of 6,054,750 shares of common stock in our IPO. These increases were partially offset by purchases of securities of $69.1 million, loan originations and advances, net of principal collected, of $78.6 million, and cash distributions of $46.8 million during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generally comprised of guaranteed U.S. government agency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total securities held for investment and available-for-sale amounted to $166.5 million at June 30, 2021 and $122.9 million at December 31, 2020, an increase of $43.6 million. The increase was primarily due to purchases of $69.1 million of U.S. government treasuries, municipal securities, and mortgage-backed securities to deploy excess cash into interest earning assets in a more favorable interest rate environment and was partially offset by the sale of $16.2 million of low yielding municipal securities, and paydowns, calls and maturities of $7.8 million. Additionally, the fair value of available-for-sale securities decreased $1.0 million as a result of the higher interest rate environment in the second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 2021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4"/>
              </w:rPr>
              <w:t>Carrying</w:t>
            </w:r>
          </w:p>
        </w:tc>
        <w:tc>
          <w:tcPr>
            <w:tcW w:w="148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6"/>
                <w:szCs w:val="16"/>
                <w:color w:val="auto"/>
              </w:rPr>
            </w:pPr>
          </w:p>
        </w:tc>
        <w:tc>
          <w:tcPr>
            <w:tcW w:w="132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w w:val="97"/>
              </w:rPr>
              <w:t>Carrying</w:t>
            </w:r>
          </w:p>
        </w:tc>
        <w:tc>
          <w:tcPr>
            <w:tcW w:w="116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1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 (at fair value):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Mortgage-backed securities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69,998</w:t>
            </w:r>
          </w:p>
        </w:tc>
        <w:tc>
          <w:tcPr>
            <w:tcW w:w="1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23,932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U.S. government treasuries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10,068</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29,244</w:t>
            </w:r>
          </w:p>
        </w:tc>
        <w:tc>
          <w:tcPr>
            <w:tcW w:w="14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31,828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50,123</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58,420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Collateralized mortgage obligations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80"/>
              <w:spacing w:after="0"/>
              <w:rPr>
                <w:sz w:val="20"/>
                <w:szCs w:val="20"/>
                <w:color w:val="auto"/>
              </w:rPr>
            </w:pPr>
            <w:r>
              <w:rPr>
                <w:rFonts w:ascii="Arial" w:cs="Arial" w:eastAsia="Arial" w:hAnsi="Arial"/>
                <w:sz w:val="18"/>
                <w:szCs w:val="18"/>
                <w:color w:val="auto"/>
              </w:rPr>
              <w:t>Total available-for-sale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160,074</w:t>
            </w:r>
          </w:p>
        </w:tc>
        <w:tc>
          <w:tcPr>
            <w:tcW w:w="4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96.12%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114,949</w:t>
            </w:r>
          </w:p>
        </w:tc>
        <w:tc>
          <w:tcPr>
            <w:tcW w:w="4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Held-to-maturity (at amortized cost):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6,473</w:t>
            </w:r>
          </w:p>
        </w:tc>
        <w:tc>
          <w:tcPr>
            <w:tcW w:w="1480" w:type="dxa"/>
            <w:vAlign w:val="bottom"/>
            <w:gridSpan w:val="3"/>
          </w:tcPr>
          <w:p>
            <w:pPr>
              <w:jc w:val="right"/>
              <w:ind w:right="23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7,979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166,547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June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color w:val="auto"/>
              </w:rPr>
              <w:t>Due in one year</w:t>
            </w:r>
          </w:p>
        </w:tc>
        <w:tc>
          <w:tcPr>
            <w:tcW w:w="8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Dues after one</w:t>
            </w:r>
          </w:p>
        </w:tc>
        <w:tc>
          <w:tcPr>
            <w:tcW w:w="120" w:type="dxa"/>
            <w:vAlign w:val="bottom"/>
          </w:tcPr>
          <w:p>
            <w:pPr>
              <w:spacing w:after="0"/>
              <w:rPr>
                <w:sz w:val="14"/>
                <w:szCs w:val="14"/>
                <w:color w:val="auto"/>
              </w:rPr>
            </w:pPr>
          </w:p>
        </w:tc>
        <w:tc>
          <w:tcPr>
            <w:tcW w:w="1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Due after five</w:t>
            </w:r>
          </w:p>
        </w:tc>
        <w:tc>
          <w:tcPr>
            <w:tcW w:w="100" w:type="dxa"/>
            <w:vAlign w:val="bottom"/>
          </w:tcPr>
          <w:p>
            <w:pPr>
              <w:spacing w:after="0"/>
              <w:rPr>
                <w:sz w:val="14"/>
                <w:szCs w:val="14"/>
                <w:color w:val="auto"/>
              </w:rPr>
            </w:pPr>
          </w:p>
        </w:tc>
        <w:tc>
          <w:tcPr>
            <w:tcW w:w="16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6"/>
              </w:rPr>
              <w:t>Due after ten years</w:t>
            </w:r>
          </w:p>
        </w:tc>
        <w:tc>
          <w:tcPr>
            <w:tcW w:w="120" w:type="dxa"/>
            <w:vAlign w:val="bottom"/>
          </w:tcPr>
          <w:p>
            <w:pPr>
              <w:spacing w:after="0"/>
              <w:rPr>
                <w:sz w:val="14"/>
                <w:szCs w:val="14"/>
                <w:color w:val="auto"/>
              </w:rPr>
            </w:pPr>
          </w:p>
        </w:tc>
        <w:tc>
          <w:tcPr>
            <w:tcW w:w="154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rPr>
              <w:t>or less</w:t>
            </w:r>
          </w:p>
        </w:tc>
        <w:tc>
          <w:tcPr>
            <w:tcW w:w="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year through five years</w:t>
            </w:r>
          </w:p>
        </w:tc>
        <w:tc>
          <w:tcPr>
            <w:tcW w:w="17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years through ten years</w:t>
            </w:r>
          </w:p>
        </w:tc>
        <w:tc>
          <w:tcPr>
            <w:tcW w:w="10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gridSpan w:val="3"/>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920" w:type="dxa"/>
            <w:vAlign w:val="bottom"/>
            <w:gridSpan w:val="3"/>
            <w:vMerge w:val="continue"/>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6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80" w:type="dxa"/>
            <w:vAlign w:val="bottom"/>
            <w:gridSpan w:val="3"/>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69,998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69,998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government agencies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654</w:t>
            </w:r>
          </w:p>
        </w:tc>
        <w:tc>
          <w:tcPr>
            <w:tcW w:w="8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22,677</w:t>
            </w:r>
          </w:p>
        </w:tc>
        <w:tc>
          <w:tcPr>
            <w:tcW w:w="9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29,244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U.S. government treasuries</w:t>
            </w:r>
          </w:p>
        </w:tc>
        <w:tc>
          <w:tcPr>
            <w:tcW w:w="120" w:type="dxa"/>
            <w:vAlign w:val="bottom"/>
          </w:tcPr>
          <w:p>
            <w:pPr>
              <w:spacing w:after="0"/>
              <w:rPr>
                <w:sz w:val="12"/>
                <w:szCs w:val="12"/>
                <w:color w:val="auto"/>
              </w:rPr>
            </w:pP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10,068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10,068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subdivisions</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532</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42,756</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Collateralized mortgage obligations</w:t>
            </w: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641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641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1,186</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2.37%</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22,816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1.40%</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136,072</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1.47%</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160,074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Held-to-maturity: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ind w:left="160"/>
              <w:spacing w:after="0"/>
              <w:rPr>
                <w:sz w:val="20"/>
                <w:szCs w:val="20"/>
                <w:color w:val="auto"/>
              </w:rPr>
            </w:pPr>
            <w:r>
              <w:rPr>
                <w:rFonts w:ascii="Arial" w:cs="Arial" w:eastAsia="Arial" w:hAnsi="Arial"/>
                <w:sz w:val="14"/>
                <w:szCs w:val="14"/>
                <w:color w:val="auto"/>
              </w:rPr>
              <w:t>subdivisions</w:t>
            </w:r>
          </w:p>
        </w:tc>
        <w:tc>
          <w:tcPr>
            <w:tcW w:w="12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6,473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6,473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line="20" w:lineRule="exact"/>
              <w:rPr>
                <w:sz w:val="1"/>
                <w:szCs w:val="1"/>
                <w:color w:val="auto"/>
              </w:rPr>
            </w:pPr>
          </w:p>
        </w:tc>
      </w:tr>
      <w:tr>
        <w:trPr>
          <w:trHeight w:val="183"/>
        </w:trPr>
        <w:tc>
          <w:tcPr>
            <w:tcW w:w="2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22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22,816</w:t>
            </w: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142,545</w:t>
            </w:r>
          </w:p>
        </w:tc>
        <w:tc>
          <w:tcPr>
            <w:tcW w:w="90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166,547</w:t>
            </w:r>
          </w:p>
        </w:tc>
        <w:tc>
          <w:tcPr>
            <w:tcW w:w="7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color w:val="auto"/>
              </w:rPr>
              <w:t>Due in one year</w:t>
            </w:r>
          </w:p>
        </w:tc>
        <w:tc>
          <w:tcPr>
            <w:tcW w:w="8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Dues after one</w:t>
            </w:r>
          </w:p>
        </w:tc>
        <w:tc>
          <w:tcPr>
            <w:tcW w:w="120" w:type="dxa"/>
            <w:vAlign w:val="bottom"/>
          </w:tcPr>
          <w:p>
            <w:pPr>
              <w:spacing w:after="0"/>
              <w:rPr>
                <w:sz w:val="14"/>
                <w:szCs w:val="14"/>
                <w:color w:val="auto"/>
              </w:rPr>
            </w:pPr>
          </w:p>
        </w:tc>
        <w:tc>
          <w:tcPr>
            <w:tcW w:w="1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Due after five</w:t>
            </w:r>
          </w:p>
        </w:tc>
        <w:tc>
          <w:tcPr>
            <w:tcW w:w="100" w:type="dxa"/>
            <w:vAlign w:val="bottom"/>
          </w:tcPr>
          <w:p>
            <w:pPr>
              <w:spacing w:after="0"/>
              <w:rPr>
                <w:sz w:val="14"/>
                <w:szCs w:val="14"/>
                <w:color w:val="auto"/>
              </w:rPr>
            </w:pPr>
          </w:p>
        </w:tc>
        <w:tc>
          <w:tcPr>
            <w:tcW w:w="16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6"/>
              </w:rPr>
              <w:t>Due after ten years</w:t>
            </w:r>
          </w:p>
        </w:tc>
        <w:tc>
          <w:tcPr>
            <w:tcW w:w="120" w:type="dxa"/>
            <w:vAlign w:val="bottom"/>
          </w:tcPr>
          <w:p>
            <w:pPr>
              <w:spacing w:after="0"/>
              <w:rPr>
                <w:sz w:val="14"/>
                <w:szCs w:val="14"/>
                <w:color w:val="auto"/>
              </w:rPr>
            </w:pPr>
          </w:p>
        </w:tc>
        <w:tc>
          <w:tcPr>
            <w:tcW w:w="15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rPr>
              <w:t>or less</w:t>
            </w:r>
          </w:p>
        </w:tc>
        <w:tc>
          <w:tcPr>
            <w:tcW w:w="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year through five years</w:t>
            </w: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through ten years</w:t>
            </w:r>
          </w:p>
        </w:tc>
        <w:tc>
          <w:tcPr>
            <w:tcW w:w="10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920" w:type="dxa"/>
            <w:vAlign w:val="bottom"/>
            <w:gridSpan w:val="3"/>
            <w:vMerge w:val="continue"/>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6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80" w:type="dxa"/>
            <w:vAlign w:val="bottom"/>
            <w:gridSpan w:val="3"/>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71"/>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Mortgage-backed securities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23,932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23,932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government agencies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7,708</w:t>
            </w:r>
          </w:p>
        </w:tc>
        <w:tc>
          <w:tcPr>
            <w:tcW w:w="9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24,120</w:t>
            </w:r>
          </w:p>
        </w:tc>
        <w:tc>
          <w:tcPr>
            <w:tcW w:w="900" w:type="dxa"/>
            <w:vAlign w:val="bottom"/>
            <w:tcBorders>
              <w:right w:val="single" w:sz="8" w:color="CCEEFF"/>
            </w:tcBorders>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0.97%</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31,828</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subdivisions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1,206</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8,599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48,615</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58,420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Collateralized mortgage obligations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769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769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available-for-sale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2.52%</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16,307</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1.40%</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97,436</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1.35%</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114,949</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Held-to-maturity:</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160"/>
              <w:spacing w:after="0"/>
              <w:rPr>
                <w:sz w:val="20"/>
                <w:szCs w:val="20"/>
                <w:color w:val="auto"/>
              </w:rPr>
            </w:pPr>
            <w:r>
              <w:rPr>
                <w:rFonts w:ascii="Arial" w:cs="Arial" w:eastAsia="Arial" w:hAnsi="Arial"/>
                <w:sz w:val="14"/>
                <w:szCs w:val="14"/>
                <w:color w:val="auto"/>
              </w:rPr>
              <w:t>subdivisions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7,979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7,979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line="20" w:lineRule="exact"/>
              <w:rPr>
                <w:sz w:val="1"/>
                <w:szCs w:val="1"/>
                <w:color w:val="auto"/>
              </w:rPr>
            </w:pPr>
          </w:p>
        </w:tc>
      </w:tr>
      <w:tr>
        <w:trPr>
          <w:trHeight w:val="183"/>
        </w:trPr>
        <w:tc>
          <w:tcPr>
            <w:tcW w:w="22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24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22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16,307</w:t>
            </w: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105,415</w:t>
            </w:r>
          </w:p>
        </w:tc>
        <w:tc>
          <w:tcPr>
            <w:tcW w:w="90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122,928</w:t>
            </w:r>
          </w:p>
        </w:tc>
        <w:tc>
          <w:tcPr>
            <w:tcW w:w="7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yield for securities available-for-sale is the projected yield to maturity given current cash flow projections for mortgage-backed securities and collateralized mortgage obligations and is a yield to worst for callable securities. Weighted average yield for securities held-to-maturity is the stated coupon of the bond.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 summary of the book value and fair value related to securities as of June 30, 2021 and December 31, 2020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Gross Unrealized</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Book Value</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3"/>
              </w:rPr>
              <w:t>(Losses)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70,257</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69,998</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29,284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50,123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9"/>
        </w:trPr>
        <w:tc>
          <w:tcPr>
            <w:tcW w:w="5400" w:type="dxa"/>
            <w:vAlign w:val="bottom"/>
          </w:tcPr>
          <w:p>
            <w:pPr>
              <w:ind w:left="320"/>
              <w:spacing w:after="0"/>
              <w:rPr>
                <w:sz w:val="20"/>
                <w:szCs w:val="20"/>
                <w:color w:val="auto"/>
              </w:rPr>
            </w:pPr>
            <w:r>
              <w:rPr>
                <w:rFonts w:ascii="Arial" w:cs="Arial" w:eastAsia="Arial" w:hAnsi="Arial"/>
                <w:sz w:val="18"/>
                <w:szCs w:val="18"/>
                <w:color w:val="auto"/>
              </w:rPr>
              <w:t>Total available-for-sale</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Held-to-Maturity: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00" w:type="dxa"/>
            <w:vAlign w:val="bottom"/>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6,473</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23,601</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32,069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30"/>
        </w:trPr>
        <w:tc>
          <w:tcPr>
            <w:tcW w:w="540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top w:val="single" w:sz="8" w:color="CCEEF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Held-to-Maturity:</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 and political subdivisions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unrealized losses on securities are attributed to interest rate changes rather than the marketability of the securities or the issuer’s ability to honor redemption of the obligations, as the securities with losses are all obligations of or guaranteed by agencies sponsored by the U.S. government. We have adequate liquidity with the ability and intent to hold these securities to maturity, resulting in full recovery of the indicated impairment. Accordingly, none of the unrealized losses on these securities have been determined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earning assets and typically provides higher yields than other types of earning assets. Associated with the higher yields is an inherent amount of credit risk which we attempt to mitigate with strong underwriting. As of June 30, 2021 and December 31, 2020, our total loans amounted to $1.6 billion and $1.5 billion, respectively. The following table presents the balance and associated percentage of each major product type within our portfolio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19"/>
                <w:szCs w:val="19"/>
                <w:color w:val="auto"/>
              </w:rPr>
            </w:pPr>
          </w:p>
        </w:tc>
        <w:tc>
          <w:tcPr>
            <w:tcW w:w="23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 of</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4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Loans</w:t>
            </w:r>
          </w:p>
        </w:tc>
        <w:tc>
          <w:tcPr>
            <w:tcW w:w="14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1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1,153,600</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72.47%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1,002,497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10,472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10,600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67,984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6,362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26,447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48,888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50,164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127,237</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138,676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20,772</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120,936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147,965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20"/>
              <w:spacing w:after="0"/>
              <w:rPr>
                <w:sz w:val="20"/>
                <w:szCs w:val="20"/>
                <w:color w:val="auto"/>
              </w:rPr>
            </w:pPr>
            <w:r>
              <w:rPr>
                <w:rFonts w:ascii="Arial" w:cs="Arial" w:eastAsia="Arial" w:hAnsi="Arial"/>
                <w:sz w:val="18"/>
                <w:szCs w:val="18"/>
                <w:color w:val="auto"/>
              </w:rPr>
              <w:t>Total loans held for investment</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1,589,600</w:t>
            </w:r>
          </w:p>
        </w:tc>
        <w:tc>
          <w:tcPr>
            <w:tcW w:w="420" w:type="dxa"/>
            <w:vAlign w:val="bottom"/>
            <w:vMerge w:val="continue"/>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99.85%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1,506,454</w:t>
            </w:r>
          </w:p>
        </w:tc>
        <w:tc>
          <w:tcPr>
            <w:tcW w:w="44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Loans held for sale: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2,340</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7"/>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loans before deferred fees</w:t>
            </w: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1,591,940</w:t>
            </w:r>
          </w:p>
        </w:tc>
        <w:tc>
          <w:tcPr>
            <w:tcW w:w="4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1,511,274</w:t>
            </w:r>
          </w:p>
        </w:tc>
        <w:tc>
          <w:tcPr>
            <w:tcW w:w="4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deferred loan fees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(4,138)</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1,587,802</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1,507,979</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hospitality,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land and construction loans consist of loans made to fund commercial construction and land acquisition and development. The real estate purchased with these loans is generally located in or near our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businesses, including manufacturing, service industry, and professional service areas. Commercial loans can be secured or unsecured but are generally secured with the assets of the company and/or the personal guarantee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 owned.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by collateral type, estimated collateral values and related loan-to-value (“LTV”) ranges as of the dates indicated. Revolving lines of credit with zero balance and 0.00% LTV are excluded from this table. Collateral values are determined at origination using third party real estate appraisals or evaluations. Updated appraisals are obtained for loans that are downgraded to watch or substandard. Loans over $1.0 million are reviewed annually, at which time an internal assessment of collateral values is completed.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189"/>
        </w:trPr>
        <w:tc>
          <w:tcPr>
            <w:tcW w:w="10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June 30, 2021</w:t>
            </w:r>
          </w:p>
        </w:tc>
        <w:tc>
          <w:tcPr>
            <w:tcW w:w="28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337,150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29.23%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558,214</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73.84%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111,050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234,472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74.45%</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109,841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251,803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106,390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203,781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75.39%</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Faith based</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94,470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241,463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81.16%</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72,832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177,902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Mixed use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66,632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130,648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73.64%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Mini storage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64,962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120,090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21.00%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All other types*</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190,273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434,201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95.18%</w:t>
            </w:r>
          </w:p>
        </w:tc>
      </w:tr>
      <w:tr>
        <w:trPr>
          <w:trHeight w:val="223"/>
        </w:trPr>
        <w:tc>
          <w:tcPr>
            <w:tcW w:w="42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1,153,600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2,352,574</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0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169"/>
        </w:trPr>
        <w:tc>
          <w:tcPr>
            <w:tcW w:w="38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244,156</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421,048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73.64%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115,913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237,837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104,878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208,632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76.14%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Faith based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92,885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242,148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Mini storage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69,973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120,010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21.19%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69,153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174,140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66,113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171,411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Mixed use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62,531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119,333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All other types*</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176,895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413,381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84.89%</w:t>
            </w:r>
          </w:p>
        </w:tc>
      </w:tr>
      <w:tr>
        <w:trPr>
          <w:trHeight w:val="223"/>
        </w:trPr>
        <w:tc>
          <w:tcPr>
            <w:tcW w:w="42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1,002,497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2,107,940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line="290" w:lineRule="auto"/>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Types of collateral in the “all other types” category are those that individually make up less than 5.00% commercial real estate concentration and include hospitality, auto dealerships, car washes, assisted living communities, country clubs, gas stations/convenience stores, medical offices, special purpose property, mortuaries, restaurants, and schools.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7"/>
          <w:szCs w:val="17"/>
          <w:color w:val="auto"/>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77.39% of our portfolio at June 30, 2021. Commercial secured lending (consisting primarily of SBA 7(a) loans under $350,000) represents 7.99% of our portfolio at June 30, 2021. We sell the guaranteed portion of all SBA 7(a) loans, excluding PPP loans, in the secondary market and will continue to do so as long as market conditions continue to be favorable.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467.17% and 624.70% as of June 30, 2021 and December 31, 2020, respectively. We have established internal concentration limits in the loan portfolio for commercial real estate loans by sector (i.e., manufactured home communities, self-storage, hospitality, etc.). All loan sectors are within our established limits as of June 30, 2021.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Due after 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Due in 1</w:t>
            </w:r>
          </w:p>
        </w:tc>
        <w:tc>
          <w:tcPr>
            <w:tcW w:w="3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year or less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133,601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942,060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1,153,600</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Commercial land and development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10,472</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15,137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35,291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67,984</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6,362</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26,447</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Farmland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3,814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38,500</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48,888</w:t>
            </w:r>
          </w:p>
        </w:tc>
      </w:tr>
      <w:tr>
        <w:trPr>
          <w:trHeight w:val="216"/>
        </w:trPr>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60,452</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129,577</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18,603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20,772</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Paycheck Protection Program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18,354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102,582</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120,936</w:t>
            </w:r>
          </w:p>
        </w:tc>
      </w:tr>
      <w:tr>
        <w:trPr>
          <w:trHeight w:val="229"/>
        </w:trPr>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w:t>
            </w:r>
          </w:p>
        </w:tc>
      </w:tr>
      <w:tr>
        <w:trPr>
          <w:trHeight w:val="223"/>
        </w:trPr>
        <w:tc>
          <w:tcPr>
            <w:tcW w:w="394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1,116,141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40,348</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1,591,940</w:t>
            </w:r>
          </w:p>
        </w:tc>
        <w:tc>
          <w:tcPr>
            <w:tcW w:w="100" w:type="dxa"/>
            <w:vAlign w:val="bottom"/>
          </w:tcPr>
          <w:p>
            <w:pPr>
              <w:spacing w:after="0"/>
              <w:rPr>
                <w:sz w:val="19"/>
                <w:szCs w:val="19"/>
                <w:color w:val="auto"/>
              </w:rPr>
            </w:pPr>
          </w:p>
        </w:tc>
      </w:tr>
      <w:tr>
        <w:trPr>
          <w:trHeight w:val="20"/>
        </w:trPr>
        <w:tc>
          <w:tcPr>
            <w:tcW w:w="4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700" w:type="dxa"/>
            <w:vAlign w:val="bottom"/>
            <w:gridSpan w:val="12"/>
          </w:tcPr>
          <w:p>
            <w:pPr>
              <w:spacing w:after="0"/>
              <w:rPr>
                <w:sz w:val="20"/>
                <w:szCs w:val="20"/>
                <w:color w:val="auto"/>
              </w:rPr>
            </w:pPr>
            <w:r>
              <w:rPr>
                <w:rFonts w:ascii="Arial" w:cs="Arial" w:eastAsia="Arial" w:hAnsi="Arial"/>
                <w:sz w:val="18"/>
                <w:szCs w:val="18"/>
                <w:color w:val="auto"/>
              </w:rPr>
              <w:t>The following table sets forth the contractual maturities of our loan portfolio as of December 31, 2020: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24"/>
                <w:szCs w:val="2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Due after 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Due in 1</w:t>
            </w:r>
          </w:p>
        </w:tc>
        <w:tc>
          <w:tcPr>
            <w:tcW w:w="3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year or less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100,882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Commercial land and development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15,883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63,519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Farmland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36,694</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44,230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36,055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63,211</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143,496</w:t>
            </w:r>
          </w:p>
        </w:tc>
      </w:tr>
      <w:tr>
        <w:trPr>
          <w:trHeight w:val="216"/>
        </w:trPr>
        <w:tc>
          <w:tcPr>
            <w:tcW w:w="3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14,254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tcPr>
          <w:p>
            <w:pPr>
              <w:ind w:left="480"/>
              <w:spacing w:after="0"/>
              <w:rPr>
                <w:sz w:val="20"/>
                <w:szCs w:val="20"/>
                <w:color w:val="auto"/>
              </w:rPr>
            </w:pPr>
            <w:r>
              <w:rPr>
                <w:rFonts w:ascii="Arial" w:cs="Arial" w:eastAsia="Arial" w:hAnsi="Arial"/>
                <w:sz w:val="18"/>
                <w:szCs w:val="18"/>
                <w:color w:val="auto"/>
              </w:rPr>
              <w:t>Paycheck Protection Program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147,965</w:t>
            </w:r>
          </w:p>
        </w:tc>
      </w:tr>
      <w:tr>
        <w:trPr>
          <w:trHeight w:val="230"/>
        </w:trPr>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394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333,109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1,022,728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35,765</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1,511,274</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9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gridSpan w:val="2"/>
          </w:tcPr>
          <w:p>
            <w:pPr>
              <w:jc w:val="right"/>
              <w:ind w:right="56"/>
              <w:spacing w:after="0"/>
              <w:rPr>
                <w:sz w:val="20"/>
                <w:szCs w:val="20"/>
                <w:color w:val="auto"/>
              </w:rPr>
            </w:pPr>
            <w:r>
              <w:rPr>
                <w:rFonts w:ascii="Arial" w:cs="Arial" w:eastAsia="Arial" w:hAnsi="Arial"/>
                <w:sz w:val="18"/>
                <w:szCs w:val="18"/>
                <w:color w:val="auto"/>
              </w:rPr>
              <w:t>53</w:t>
            </w:r>
          </w:p>
        </w:tc>
        <w:tc>
          <w:tcPr>
            <w:tcW w:w="8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sets forth the sensitivity to interest rate changes to our loan portfolio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155,698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997,902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1,153,600</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9,739</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10,472</w:t>
            </w: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66,572</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67,984</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6,362</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24,134</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26,447</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4,327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44,561</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48,888</w:t>
            </w:r>
          </w:p>
        </w:tc>
      </w:tr>
      <w:tr>
        <w:trPr>
          <w:trHeight w:val="216"/>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24,575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105,002</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129,577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20,772</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120,936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120,936</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CEEFF"/>
          </w:tcPr>
          <w:p>
            <w:pPr>
              <w:spacing w:after="0"/>
              <w:rPr>
                <w:sz w:val="19"/>
                <w:szCs w:val="19"/>
                <w:color w:val="auto"/>
              </w:rPr>
            </w:pPr>
          </w:p>
        </w:tc>
      </w:tr>
      <w:tr>
        <w:trPr>
          <w:trHeight w:val="223"/>
        </w:trPr>
        <w:tc>
          <w:tcPr>
            <w:tcW w:w="686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1,256,160</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1,591,940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to our loan portfolio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134,029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868,468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1,002,497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9,857</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76,233</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11,914</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11,914</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27,694</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45,700</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28,241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115,255</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143,496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2,644</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6860" w:type="dxa"/>
            <w:vAlign w:val="bottom"/>
          </w:tcPr>
          <w:p>
            <w:pPr>
              <w:ind w:left="480"/>
              <w:spacing w:after="0"/>
              <w:rPr>
                <w:sz w:val="20"/>
                <w:szCs w:val="20"/>
                <w:color w:val="auto"/>
              </w:rPr>
            </w:pPr>
            <w:r>
              <w:rPr>
                <w:rFonts w:ascii="Arial" w:cs="Arial" w:eastAsia="Arial" w:hAnsi="Arial"/>
                <w:sz w:val="18"/>
                <w:szCs w:val="18"/>
                <w:color w:val="auto"/>
              </w:rPr>
              <w:t>Paycheck Protection Program</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147,965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147,965</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w:t>
            </w:r>
          </w:p>
        </w:tc>
        <w:tc>
          <w:tcPr>
            <w:tcW w:w="80" w:type="dxa"/>
            <w:vAlign w:val="bottom"/>
            <w:shd w:val="clear" w:color="auto" w:fill="CCEEFF"/>
          </w:tcPr>
          <w:p>
            <w:pPr>
              <w:spacing w:after="0"/>
              <w:rPr>
                <w:sz w:val="19"/>
                <w:szCs w:val="19"/>
                <w:color w:val="auto"/>
              </w:rPr>
            </w:pPr>
          </w:p>
        </w:tc>
      </w:tr>
      <w:tr>
        <w:trPr>
          <w:trHeight w:val="223"/>
        </w:trPr>
        <w:tc>
          <w:tcPr>
            <w:tcW w:w="686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1,157,765</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1,511,274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specific product type. We measure and monitor key factors that include the level and trend of classified, delinquent, nonaccrual, and nonperforming assets, collateral coverage, credit scores, and debt service coverage, where applicable. The metrics directly impact our evaluation of the adequacy of our allowance for loan losses.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 assessing the adequacy of our allowance for loan losses. We periodically employ the use of an outside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Nonperforming assets. </w:t>
      </w:r>
      <w:r>
        <w:rPr>
          <w:rFonts w:ascii="Arial" w:cs="Arial" w:eastAsia="Arial" w:hAnsi="Arial"/>
          <w:sz w:val="17"/>
          <w:szCs w:val="17"/>
          <w:color w:val="auto"/>
        </w:rPr>
        <w:t>Our nonperforming assets consist of nonperforming loans and foreclosed real estate, if any. Loans on which the accrual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145"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i w:val="1"/>
          <w:iCs w:val="1"/>
          <w:color w:val="auto"/>
        </w:rPr>
        <w:t xml:space="preserve">Troubled debt restructurings. </w:t>
      </w:r>
      <w:r>
        <w:rPr>
          <w:rFonts w:ascii="Arial" w:cs="Arial" w:eastAsia="Arial" w:hAnsi="Arial"/>
          <w:sz w:val="18"/>
          <w:szCs w:val="18"/>
          <w:color w:val="auto"/>
        </w:rPr>
        <w:t>We consider a loan to be in a TDR when we have granted a concession and the borrower is experiencing financial difficulty.</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COVID-19 deferments. </w:t>
      </w:r>
      <w:r>
        <w:rPr>
          <w:rFonts w:ascii="Arial" w:cs="Arial" w:eastAsia="Arial" w:hAnsi="Arial"/>
          <w:sz w:val="16"/>
          <w:szCs w:val="16"/>
          <w:color w:val="auto"/>
        </w:rPr>
        <w:t>The CARES Act, as amended by the Consolidated Appropriations Act, specified that COVID-19 related loan modifications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elected to apply these temporary accounting provisions to payment relief loans beginning in March 2020. As of June 30, 2021, ten loans totaling $12.9 million, or 0.81% of the loan portfolio, were in a COVID-19 deferral period and three loans totaling $4.5 million had been in a COVID-19 deferment in the first quarter of 2021 but were not in such deferment as of June 30, 2021. Of the loans that received COVID-19 deferments in the second quarter of 2021, only one loan had its principal portion deferred to its respective maturity. Some of the borrowers that received interest-only deferments received a PPP loan that included loan funds to make their interest-only payments.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SBA 7(a) payments made under the CARES Act. </w:t>
      </w:r>
      <w:r>
        <w:rPr>
          <w:rFonts w:ascii="Arial" w:cs="Arial" w:eastAsia="Arial" w:hAnsi="Arial"/>
          <w:sz w:val="16"/>
          <w:szCs w:val="16"/>
          <w:color w:val="auto"/>
        </w:rPr>
        <w:t>Section 1112 of the CARES Act required the SBA to make payments on new and existing 7(a) loans for</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The Consolidated Appropriations Act amended this section of the CARES Act to extend the payment on 7(a) loans in existence on March 27, 2020, beginning on February 1, 2021 for an additional three or eight months, depending on the borrower’s industry code, and to require the SBA to make six months of payments on new 7(a) loans approved between February 1, 2021, and September 30, 2021. These payments are not deferments but rather full payments of principal and interest that the borrower will not be responsible for in the future. In the first six months of 2021, the SBA made payments under this program on 1,019 of our SBA 7(a) loans, totaling $6.9 million in principal and interest. As of June 30, 2021, the principal outstanding on loans that received one or more of these payments under the CARES Act was $45.3 million, representing a majority of our SBA 7(a) loans as of June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w:t>
            </w:r>
          </w:p>
        </w:tc>
        <w:tc>
          <w:tcPr>
            <w:tcW w:w="1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June 30, 2021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Nonaccrual loans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Commercial land and development</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Farmland</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Paycheck Protection Program</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Loans past due 90 days or more and still accruing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Paycheck Protection Program</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Total nonperforming loans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Real estate owned</w:t>
            </w: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COVID-19 deferments</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12,884</w:t>
            </w:r>
          </w:p>
        </w:tc>
        <w:tc>
          <w:tcPr>
            <w:tcW w:w="2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41,439</w:t>
            </w:r>
          </w:p>
        </w:tc>
        <w:tc>
          <w:tcPr>
            <w:tcW w:w="2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Troubled debt restructurings (performing – not included above)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nonperforming loans</w:t>
            </w: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5,139.91%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4,909.07%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to period end loans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plus performing TDRs to period end loans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COVID-19 deferments to period end loans</w:t>
            </w:r>
          </w:p>
        </w:tc>
        <w:tc>
          <w:tcPr>
            <w:tcW w:w="1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0.81%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ratio of nonperforming loans to period end loans was unchanged at 0.03% as of December 31, 2020 and June 30,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the allowance for loan losses to nonperforming loans increased from 4,909.07% as of December 31, 2020 to 5,139.91% as of June 30, 2021. The increase was primarily due to higher reserves related to growth in our commercial real estate loan portfolio amounting to a $127.2 million, or 11.51%, increase in loans outstanding from December 31, 2020 to June 30, 2021 while commercial real estate nonaccrual loans remained relatively flat at $0.1 million as of December 31, 2020 and $0.1 million as of June 30,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i w:val="1"/>
          <w:iCs w:val="1"/>
          <w:color w:val="auto"/>
        </w:rPr>
        <w:t xml:space="preserve">Potential problem loans. </w:t>
      </w:r>
      <w:r>
        <w:rPr>
          <w:rFonts w:ascii="Arial" w:cs="Arial" w:eastAsia="Arial" w:hAnsi="Arial"/>
          <w:sz w:val="18"/>
          <w:szCs w:val="18"/>
          <w:color w:val="auto"/>
        </w:rPr>
        <w:t>We utilize a risk grading system for our loans to aid us in evaluating the overall credit quality of our real estate loan portfolio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the adequacy of our allowance for loan losses. All loans are categorized into a risk category at the time of origination. Commercial real estate loans over $1.0 million are reevaluated at least annually for proper classification in conjunction with our review of property and borrower financial information, while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The following table shows our levels of classified loans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 loans: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1,102,858</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15,223</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1,153,600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10,472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10,472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67,984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26,447</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48,888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48,888</w:t>
            </w: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127,237</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20,772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120,936</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1,531,751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36,726</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1,589,600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Real estate loans: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950,118</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1,002,497</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11,914</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Commercial: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138,676</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147,965</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w:t>
            </w:r>
          </w:p>
        </w:tc>
        <w:tc>
          <w:tcPr>
            <w:tcW w:w="80" w:type="dxa"/>
            <w:vAlign w:val="bottom"/>
            <w:shd w:val="clear" w:color="auto" w:fill="CCEEFF"/>
          </w:tcPr>
          <w:p>
            <w:pPr>
              <w:spacing w:after="0"/>
              <w:rPr>
                <w:sz w:val="19"/>
                <w:szCs w:val="19"/>
                <w:color w:val="auto"/>
              </w:rPr>
            </w:pPr>
          </w:p>
        </w:tc>
      </w:tr>
      <w:tr>
        <w:trPr>
          <w:trHeight w:val="223"/>
        </w:trPr>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1,446,308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1,506,454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Loans designated as watch and substandard, which are not considered adversely classified, decreased slightly to $57.8 million at June 30, 2021 from $60.1 million at December 31, 2020, which did not have an impact on the reserve overall. There were no loans with doubtful risk grades at June 30, 2021 or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allowance for loan losses is established through an allowance for loan losses charged to operations. Loans are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allowance for loan losses when management believes that the collectability of the principal is unlikely. Subsequent recoveries of previously charged-off amounts, if any, are credited to the allowance for loan losses.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second quarter of 2021, our methodology for evaluating allowance for loan losses continued to be affected by the COVID-19 pandemic, resulting in sustained higher reserve levels primarily related to our commercial real estate portfolio, but lower than levels for the corresponding period of 2020. Reserves on the commercial real estate portfolio were increased due to higher uncertainty related to the COVID-19 pandemic and related economic effects.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entire allowance for loan losses is available to absorb losses from any and all loans, the following table represents management’s allocation of our allowance for loan losses by loan category, and the percentage of allowance for loan losses in each category, for the periods indicated.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118"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19"/>
                <w:szCs w:val="19"/>
                <w:color w:val="auto"/>
              </w:rPr>
            </w:pPr>
          </w:p>
        </w:tc>
        <w:tc>
          <w:tcPr>
            <w:tcW w:w="22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w w:val="98"/>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Collectively evaluated for impairment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10,108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594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9,194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41.50%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Paycheck Protection Program</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764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22,153</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22,153</w:t>
            </w: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ratio of allowance for loan losses to total loans was 1.39% at June 30, 2021, compared to 1.47% at December 31, 2020. Excluding SBA-guaranteed</w:t>
      </w:r>
    </w:p>
    <w:p>
      <w:pPr>
        <w:spacing w:after="0" w:line="46" w:lineRule="exact"/>
        <w:rPr>
          <w:sz w:val="20"/>
          <w:szCs w:val="20"/>
          <w:color w:val="auto"/>
        </w:rPr>
      </w:pPr>
    </w:p>
    <w:p>
      <w:pPr>
        <w:jc w:val="both"/>
        <w:ind w:firstLine="8"/>
        <w:spacing w:after="0" w:line="277" w:lineRule="auto"/>
        <w:tabs>
          <w:tab w:leader="none" w:pos="3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loans, the ratio of the allowance for loan losses to total loans was 1.51% and 1.63% at June 30, 2021 and December 31, 2020, respectively. A reconciliation of this non-GAAP measure is set forth in the section entitled “Non-GAAP Financial Measures.” Non-accrual loans totaled $0.4 million, or 0.03% of total loans, at June 30, 2021, and remained largely unchanged from $0.5 million, or 0.03% of total loans, at December 31, 2020.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9" w:name="page60"/>
    <w:bookmarkEnd w:id="59"/>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activity within the allowance for loan losses as of and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1"/>
              </w:rPr>
              <w:t>As of and for the three months ended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19"/>
                <w:szCs w:val="19"/>
                <w:color w:val="auto"/>
              </w:rPr>
            </w:pPr>
          </w:p>
        </w:tc>
        <w:tc>
          <w:tcPr>
            <w:tcW w:w="2340" w:type="dxa"/>
            <w:vAlign w:val="bottom"/>
            <w:gridSpan w:val="5"/>
          </w:tcPr>
          <w:p>
            <w:pPr>
              <w:ind w:left="58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 of</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5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480" w:type="dxa"/>
            <w:vAlign w:val="bottom"/>
            <w:tcBorders>
              <w:bottom w:val="single" w:sz="8" w:color="CCEEFF"/>
            </w:tcBorders>
            <w:gridSpan w:val="2"/>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1,589,600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1,526,323</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16,491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780" w:type="dxa"/>
            <w:vAlign w:val="bottom"/>
            <w:gridSpan w:val="4"/>
          </w:tcPr>
          <w:p>
            <w:pPr>
              <w:jc w:val="right"/>
              <w:ind w:right="3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8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4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22,153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17,905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loans held for investment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3"/>
              </w:rPr>
              <w:t>As of and for the six months ended</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19"/>
                <w:szCs w:val="19"/>
                <w:color w:val="auto"/>
              </w:rPr>
            </w:pPr>
          </w:p>
        </w:tc>
        <w:tc>
          <w:tcPr>
            <w:tcW w:w="2340" w:type="dxa"/>
            <w:vAlign w:val="bottom"/>
            <w:gridSpan w:val="5"/>
          </w:tcPr>
          <w:p>
            <w:pPr>
              <w:ind w:left="58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 of</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5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Activity</w:t>
            </w:r>
          </w:p>
        </w:tc>
        <w:tc>
          <w:tcPr>
            <w:tcW w:w="480" w:type="dxa"/>
            <w:vAlign w:val="bottom"/>
            <w:tcBorders>
              <w:bottom w:val="single" w:sz="8" w:color="CCEEFF"/>
            </w:tcBorders>
            <w:gridSpan w:val="2"/>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End Loans</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1,589,600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1,526,323</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780" w:type="dxa"/>
            <w:vAlign w:val="bottom"/>
            <w:gridSpan w:val="4"/>
          </w:tcPr>
          <w:p>
            <w:pPr>
              <w:jc w:val="right"/>
              <w:ind w:right="34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(821)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8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w:t>
            </w:r>
          </w:p>
        </w:tc>
        <w:tc>
          <w:tcPr>
            <w:tcW w:w="4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4,150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Allowance for loan losses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22,153</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17,905</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loans held for investment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to period end loans held for investment increased from 1.17% as of June 30, 2020 to 1.39% as of June 30, 2021. The increase was primarily due to higher reserves related to our commercial real estate and commercial secured portfolios which increased $4.7 million, or 32.32%, from June 30, 2020 to June 30, 2021. Reserves on these portfolios were increased due to higher uncertainty related to the COVID-19 pandemic and related economic effects.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charge-offs as a percent of period end loans were unchanged at 0.01% for the three months ended June 30, 2020 and 2021 and decreased from 0.08% for the six months ended June 30, 2020 to 0.01% for the six months ended June 30, 2021. The net recovery rate related to the residential real estate portfolio went from 0.29% in the three and six months ended June 30, 2020 to 0.00% with no charge-offs or recoveries in the three and six months ended June 30, 2021. The net charge-off rate related to the commercial secured portfolio increased from 0.00% in the three months ended June 30, 2020 to 0.11%</w:t>
      </w:r>
    </w:p>
    <w:p>
      <w:pPr>
        <w:sectPr>
          <w:pgSz w:w="11900" w:h="16882" w:orient="portrait"/>
          <w:cols w:equalWidth="0" w:num="1">
            <w:col w:w="11240"/>
          </w:cols>
          <w:pgMar w:left="320" w:top="692" w:right="339" w:bottom="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in the three months ended June 30, 2021 and decreased from 0.64% in the six months ended June 30, 2020 to 0.24% in the six months ended June 30, 2021. The net charge-off rate related to the consumer portfolio improved from 3.53% in the three months ended June 30, 2020 to a net recovery rate of 0.27% in the three months ended June 30, 2021 and from 6.55% in the six months ended June 30, 2020 to a net recovery rate of 0.99% in the six months ended June 30,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six months of 2021, total liabilities increased by $289.6 million from $1.8 billion as of December 31, 2020 to $2.1 billion as of June 30, 2021. This increase was primarily due to an increase in total deposits of $282.3 million, comprised of increases of $133.3 million in non-interest-bearing deposits and $148.9 million in 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97.95% of our total liabilities as of June 30, 2021, deposits are our primary source of funding for our business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deposits increased by $282.3 million, or 15.82%, to $2.1 billion at June 30, 2021 from $1.8 billion as of December 31, 2020. Deposit increases were attributed to increases in PPP borrower-related balances and normal fluctuations in some of our large accounts. Non-interest-bearing deposits increased by $133.3 million in the first six months of 2021 to $829.0 million, and represented 40.12% of total deposits at June 30, 2021, compared to 39.00% at December 31, 2020. Our loan to deposit ratio was 76.84% at June 30, 2021 compared to 84.50% at December 31, 2020. We intend to continue to operate our business with a loan to deposit ratio similar to these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deposit composition by average deposits and average rates paid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1"/>
              </w:rPr>
              <w:t>For the three months ended</w:t>
            </w: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gridSpan w:val="2"/>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28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388"/>
              <w:spacing w:after="0" w:line="119" w:lineRule="exact"/>
              <w:rPr>
                <w:sz w:val="20"/>
                <w:szCs w:val="20"/>
                <w:color w:val="auto"/>
              </w:rPr>
            </w:pPr>
            <w:r>
              <w:rPr>
                <w:rFonts w:ascii="Arial" w:cs="Arial" w:eastAsia="Arial" w:hAnsi="Arial"/>
                <w:sz w:val="13"/>
                <w:szCs w:val="13"/>
                <w:b w:val="1"/>
                <w:bCs w:val="1"/>
                <w:color w:val="auto"/>
                <w:w w:val="99"/>
              </w:rPr>
              <w:t>Weighted</w:t>
            </w:r>
          </w:p>
        </w:tc>
        <w:tc>
          <w:tcPr>
            <w:tcW w:w="1140" w:type="dxa"/>
            <w:vAlign w:val="bottom"/>
            <w:gridSpan w:val="2"/>
            <w:vMerge w:val="restart"/>
          </w:tcPr>
          <w:p>
            <w:pPr>
              <w:jc w:val="right"/>
              <w:ind w:right="35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Amount</w:t>
            </w:r>
          </w:p>
        </w:tc>
        <w:tc>
          <w:tcPr>
            <w:tcW w:w="420" w:type="dxa"/>
            <w:vAlign w:val="bottom"/>
            <w:vMerge w:val="restart"/>
          </w:tcPr>
          <w:p>
            <w:pPr>
              <w:spacing w:after="0"/>
              <w:rPr>
                <w:sz w:val="12"/>
                <w:szCs w:val="12"/>
                <w:color w:val="auto"/>
              </w:rPr>
            </w:pPr>
          </w:p>
        </w:tc>
        <w:tc>
          <w:tcPr>
            <w:tcW w:w="12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Rate Paid</w:t>
            </w:r>
          </w:p>
        </w:tc>
        <w:tc>
          <w:tcPr>
            <w:tcW w:w="280" w:type="dxa"/>
            <w:vAlign w:val="bottom"/>
          </w:tcPr>
          <w:p>
            <w:pPr>
              <w:spacing w:after="0"/>
              <w:rPr>
                <w:sz w:val="14"/>
                <w:szCs w:val="14"/>
                <w:color w:val="auto"/>
              </w:rPr>
            </w:pPr>
          </w:p>
        </w:tc>
        <w:tc>
          <w:tcPr>
            <w:tcW w:w="14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of Total Deposits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3"/>
              </w:rPr>
              <w:t>Rate Paid</w:t>
            </w:r>
          </w:p>
        </w:tc>
        <w:tc>
          <w:tcPr>
            <w:tcW w:w="114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w w:val="89"/>
              </w:rPr>
              <w:t>of Total Deposits</w:t>
            </w: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Transaction accounts</w:t>
            </w:r>
          </w:p>
        </w:tc>
        <w:tc>
          <w:tcPr>
            <w:tcW w:w="32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150,732</w:t>
            </w:r>
          </w:p>
        </w:tc>
        <w:tc>
          <w:tcPr>
            <w:tcW w:w="42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0.10%</w:t>
            </w:r>
          </w:p>
        </w:tc>
        <w:tc>
          <w:tcPr>
            <w:tcW w:w="18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12.44%</w:t>
            </w: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w w:val="86"/>
              </w:rPr>
              <w:t>144,311</w:t>
            </w:r>
          </w:p>
        </w:tc>
        <w:tc>
          <w:tcPr>
            <w:tcW w:w="440" w:type="dxa"/>
            <w:vAlign w:val="bottom"/>
            <w:vMerge w:val="continue"/>
            <w:shd w:val="clear" w:color="auto" w:fill="CCEEFF"/>
          </w:tcPr>
          <w:p>
            <w:pPr>
              <w:spacing w:after="0"/>
              <w:rPr>
                <w:sz w:val="12"/>
                <w:szCs w:val="12"/>
                <w:color w:val="auto"/>
              </w:rPr>
            </w:pPr>
          </w:p>
        </w:tc>
        <w:tc>
          <w:tcPr>
            <w:tcW w:w="1440" w:type="dxa"/>
            <w:vAlign w:val="bottom"/>
            <w:gridSpan w:val="2"/>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0.28%</w:t>
            </w: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Money market and savings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1,024,895</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0.19%</w:t>
            </w:r>
          </w:p>
        </w:tc>
        <w:tc>
          <w:tcPr>
            <w:tcW w:w="146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84.53%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885,564</w:t>
            </w:r>
          </w:p>
        </w:tc>
        <w:tc>
          <w:tcPr>
            <w:tcW w:w="144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0.76%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Time</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36,741</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0.40%</w:t>
            </w:r>
          </w:p>
        </w:tc>
        <w:tc>
          <w:tcPr>
            <w:tcW w:w="1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3.03%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144,703</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56"/>
        </w:trPr>
        <w:tc>
          <w:tcPr>
            <w:tcW w:w="2500" w:type="dxa"/>
            <w:vAlign w:val="bottom"/>
          </w:tcPr>
          <w:p>
            <w:pPr>
              <w:spacing w:after="0" w:line="155" w:lineRule="exact"/>
              <w:rPr>
                <w:sz w:val="20"/>
                <w:szCs w:val="20"/>
                <w:color w:val="auto"/>
              </w:rPr>
            </w:pPr>
            <w:r>
              <w:rPr>
                <w:rFonts w:ascii="Arial" w:cs="Arial" w:eastAsia="Arial" w:hAnsi="Arial"/>
                <w:sz w:val="14"/>
                <w:szCs w:val="14"/>
                <w:color w:val="auto"/>
              </w:rPr>
              <w:t>Total deposits</w:t>
            </w:r>
          </w:p>
        </w:tc>
        <w:tc>
          <w:tcPr>
            <w:tcW w:w="3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1,212,368</w:t>
            </w:r>
          </w:p>
        </w:tc>
        <w:tc>
          <w:tcPr>
            <w:tcW w:w="4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0.19</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color w:val="auto"/>
                <w:w w:val="86"/>
              </w:rPr>
              <w:t>1,174,578</w:t>
            </w:r>
          </w:p>
        </w:tc>
        <w:tc>
          <w:tcPr>
            <w:tcW w:w="4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0.77</w:t>
            </w:r>
          </w:p>
        </w:tc>
        <w:tc>
          <w:tcPr>
            <w:tcW w:w="44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79"/>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0"/>
              </w:rPr>
              <w:t>For the six months ended</w:t>
            </w: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48"/>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428"/>
              <w:spacing w:after="0" w:line="155" w:lineRule="exact"/>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gridSpan w:val="2"/>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28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388"/>
              <w:spacing w:after="0" w:line="119" w:lineRule="exact"/>
              <w:rPr>
                <w:sz w:val="20"/>
                <w:szCs w:val="20"/>
                <w:color w:val="auto"/>
              </w:rPr>
            </w:pPr>
            <w:r>
              <w:rPr>
                <w:rFonts w:ascii="Arial" w:cs="Arial" w:eastAsia="Arial" w:hAnsi="Arial"/>
                <w:sz w:val="13"/>
                <w:szCs w:val="13"/>
                <w:b w:val="1"/>
                <w:bCs w:val="1"/>
                <w:color w:val="auto"/>
                <w:w w:val="99"/>
              </w:rPr>
              <w:t>Weighted</w:t>
            </w:r>
          </w:p>
        </w:tc>
        <w:tc>
          <w:tcPr>
            <w:tcW w:w="1140" w:type="dxa"/>
            <w:vAlign w:val="bottom"/>
            <w:gridSpan w:val="2"/>
            <w:vMerge w:val="restart"/>
          </w:tcPr>
          <w:p>
            <w:pPr>
              <w:jc w:val="right"/>
              <w:ind w:right="35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Amount</w:t>
            </w:r>
          </w:p>
        </w:tc>
        <w:tc>
          <w:tcPr>
            <w:tcW w:w="420" w:type="dxa"/>
            <w:vAlign w:val="bottom"/>
            <w:vMerge w:val="restart"/>
          </w:tcPr>
          <w:p>
            <w:pPr>
              <w:spacing w:after="0"/>
              <w:rPr>
                <w:sz w:val="12"/>
                <w:szCs w:val="12"/>
                <w:color w:val="auto"/>
              </w:rPr>
            </w:pPr>
          </w:p>
        </w:tc>
        <w:tc>
          <w:tcPr>
            <w:tcW w:w="12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Rate Paid</w:t>
            </w:r>
          </w:p>
        </w:tc>
        <w:tc>
          <w:tcPr>
            <w:tcW w:w="280" w:type="dxa"/>
            <w:vAlign w:val="bottom"/>
          </w:tcPr>
          <w:p>
            <w:pPr>
              <w:spacing w:after="0"/>
              <w:rPr>
                <w:sz w:val="14"/>
                <w:szCs w:val="14"/>
                <w:color w:val="auto"/>
              </w:rPr>
            </w:pPr>
          </w:p>
        </w:tc>
        <w:tc>
          <w:tcPr>
            <w:tcW w:w="14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of Total Deposits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3"/>
              </w:rPr>
              <w:t>Rate Paid</w:t>
            </w:r>
          </w:p>
        </w:tc>
        <w:tc>
          <w:tcPr>
            <w:tcW w:w="114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w w:val="89"/>
              </w:rPr>
              <w:t>of Total Deposits</w:t>
            </w: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Transaction accounts</w:t>
            </w:r>
          </w:p>
        </w:tc>
        <w:tc>
          <w:tcPr>
            <w:tcW w:w="32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152,694</w:t>
            </w:r>
          </w:p>
        </w:tc>
        <w:tc>
          <w:tcPr>
            <w:tcW w:w="42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0.10%</w:t>
            </w:r>
          </w:p>
        </w:tc>
        <w:tc>
          <w:tcPr>
            <w:tcW w:w="18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13.04%</w:t>
            </w: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w w:val="86"/>
              </w:rPr>
              <w:t>136,674</w:t>
            </w:r>
          </w:p>
        </w:tc>
        <w:tc>
          <w:tcPr>
            <w:tcW w:w="440" w:type="dxa"/>
            <w:vAlign w:val="bottom"/>
            <w:vMerge w:val="continue"/>
            <w:shd w:val="clear" w:color="auto" w:fill="CCEEFF"/>
          </w:tcPr>
          <w:p>
            <w:pPr>
              <w:spacing w:after="0"/>
              <w:rPr>
                <w:sz w:val="12"/>
                <w:szCs w:val="12"/>
                <w:color w:val="auto"/>
              </w:rPr>
            </w:pPr>
          </w:p>
        </w:tc>
        <w:tc>
          <w:tcPr>
            <w:tcW w:w="1440" w:type="dxa"/>
            <w:vAlign w:val="bottom"/>
            <w:gridSpan w:val="2"/>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0.32%</w:t>
            </w: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Money market and savings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976,844</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0.23%</w:t>
            </w:r>
          </w:p>
        </w:tc>
        <w:tc>
          <w:tcPr>
            <w:tcW w:w="146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83.42%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802,306</w:t>
            </w:r>
          </w:p>
        </w:tc>
        <w:tc>
          <w:tcPr>
            <w:tcW w:w="144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0.87%</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Time</w:t>
            </w: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41,430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0.49%</w:t>
            </w:r>
          </w:p>
        </w:tc>
        <w:tc>
          <w:tcPr>
            <w:tcW w:w="1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127,370</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156"/>
        </w:trPr>
        <w:tc>
          <w:tcPr>
            <w:tcW w:w="2500" w:type="dxa"/>
            <w:vAlign w:val="bottom"/>
          </w:tcPr>
          <w:p>
            <w:pPr>
              <w:spacing w:after="0" w:line="155" w:lineRule="exact"/>
              <w:rPr>
                <w:sz w:val="20"/>
                <w:szCs w:val="20"/>
                <w:color w:val="auto"/>
              </w:rPr>
            </w:pPr>
            <w:r>
              <w:rPr>
                <w:rFonts w:ascii="Arial" w:cs="Arial" w:eastAsia="Arial" w:hAnsi="Arial"/>
                <w:sz w:val="14"/>
                <w:szCs w:val="14"/>
                <w:color w:val="auto"/>
              </w:rPr>
              <w:t>Total deposits</w:t>
            </w:r>
          </w:p>
        </w:tc>
        <w:tc>
          <w:tcPr>
            <w:tcW w:w="320" w:type="dxa"/>
            <w:vAlign w:val="bottom"/>
          </w:tcPr>
          <w:p>
            <w:pPr>
              <w:spacing w:after="0"/>
              <w:rPr>
                <w:sz w:val="13"/>
                <w:szCs w:val="13"/>
                <w:color w:val="auto"/>
              </w:rPr>
            </w:pPr>
          </w:p>
        </w:tc>
        <w:tc>
          <w:tcPr>
            <w:tcW w:w="3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1,170,968</w:t>
            </w:r>
          </w:p>
        </w:tc>
        <w:tc>
          <w:tcPr>
            <w:tcW w:w="420" w:type="dxa"/>
            <w:vAlign w:val="bottom"/>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0.22</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color w:val="auto"/>
                <w:w w:val="86"/>
              </w:rPr>
              <w:t>1,066,350</w:t>
            </w:r>
          </w:p>
        </w:tc>
        <w:tc>
          <w:tcPr>
            <w:tcW w:w="440" w:type="dxa"/>
            <w:vAlign w:val="bottom"/>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0.87</w:t>
            </w:r>
          </w:p>
        </w:tc>
        <w:tc>
          <w:tcPr>
            <w:tcW w:w="44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79"/>
              </w:rPr>
              <w:t>%</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Uninsured non-time deposits were $972.7 million and $1.1 billion as of June 30, 2021 and December 31, 2020,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spacing w:after="0" w:line="279" w:lineRule="auto"/>
        <w:rPr>
          <w:sz w:val="20"/>
          <w:szCs w:val="20"/>
          <w:color w:val="auto"/>
        </w:rPr>
      </w:pPr>
      <w:r>
        <w:rPr>
          <w:rFonts w:ascii="Arial" w:cs="Arial" w:eastAsia="Arial" w:hAnsi="Arial"/>
          <w:sz w:val="17"/>
          <w:szCs w:val="17"/>
          <w:color w:val="auto"/>
        </w:rPr>
        <w:t>As of June 30, 2021, our 23 largest deposit relationships, each accounting for more than $10.0 million, accounted for $791.0 million, or 38.28%, of our total deposits. As of December 31, 2020, our 18 largest deposit relationships, each accounting for more than $10.0 million, accounted for $641.2 million, or 35.90%,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June 30, 2021</w:t>
            </w:r>
          </w:p>
        </w:tc>
        <w:tc>
          <w:tcPr>
            <w:tcW w:w="3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Pr>
          <w:p>
            <w:pPr>
              <w:spacing w:after="0"/>
              <w:rPr>
                <w:sz w:val="19"/>
                <w:szCs w:val="19"/>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Municipalities</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Non-Profit</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198,807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165,046</w:t>
            </w:r>
          </w:p>
        </w:tc>
      </w:tr>
      <w:tr>
        <w:trPr>
          <w:trHeight w:val="229"/>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254,955</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157,757</w:t>
            </w: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791,040</w:t>
            </w:r>
          </w:p>
        </w:tc>
        <w:tc>
          <w:tcPr>
            <w:tcW w:w="84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641,160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single deposit relationship relates to a non-profit association that supports hospitals and health systems. The balances for this customer were $175.7 million, or 8.50%, of total deposits at June 30, 2021 and $133.3 million, or 7.50%, of total deposits at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$250,000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Less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Uninsured</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or Greater</w:t>
            </w:r>
          </w:p>
        </w:tc>
        <w:tc>
          <w:tcPr>
            <w:tcW w:w="1720" w:type="dxa"/>
            <w:vAlign w:val="bottom"/>
            <w:gridSpan w:val="4"/>
          </w:tcPr>
          <w:p>
            <w:pPr>
              <w:ind w:left="220"/>
              <w:spacing w:after="0"/>
              <w:rPr>
                <w:sz w:val="20"/>
                <w:szCs w:val="20"/>
                <w:color w:val="auto"/>
              </w:rPr>
            </w:pPr>
            <w:r>
              <w:rPr>
                <w:rFonts w:ascii="Arial" w:cs="Arial" w:eastAsia="Arial" w:hAnsi="Arial"/>
                <w:sz w:val="18"/>
                <w:szCs w:val="18"/>
                <w:b w:val="1"/>
                <w:bCs w:val="1"/>
                <w:color w:val="auto"/>
              </w:rPr>
              <w:t xml:space="preserve">than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250,000</w:t>
            </w:r>
          </w:p>
        </w:tc>
        <w:tc>
          <w:tcPr>
            <w:tcW w:w="2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Portion</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maturity:</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5,935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18,106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24,041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5,185</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three through six months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6,252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Over six through twelve months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20,430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21,712</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19,930</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twelve months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2,669</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26,506</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54,674</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no borrowings outstanding as of June 30, 2021 and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spacing w:after="0" w:line="296" w:lineRule="auto"/>
        <w:rPr>
          <w:sz w:val="20"/>
          <w:szCs w:val="20"/>
          <w:color w:val="auto"/>
        </w:rPr>
      </w:pPr>
      <w:r>
        <w:rPr>
          <w:rFonts w:ascii="Arial" w:cs="Arial" w:eastAsia="Arial" w:hAnsi="Arial"/>
          <w:sz w:val="16"/>
          <w:szCs w:val="16"/>
          <w:color w:val="auto"/>
        </w:rPr>
        <w:t>In 2017, we issued subordinated notes of $25.0 million and in 2019 we issued another $3.75 million. This debt was issued to investors in private placement transactions. See Note 7, Long Term Debt and Other Borrowings, in the notes to our unaudited consolidated financial statements included in this Quarterly Report on Form 10-Q for additional information regarding the subordinated notes. The proceeds of the notes qualify as Tier 2 capital under the final regulations promulgated under the Dodd-Frank Wall Street Reform and Consumer Protection Act (the “Dodd-Frank Act”) issued by community banks with total consolidated assets less than $15.0 billion. The following table is a summary of our outstanding subordinated notes as of June 30,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Issuance Date</w:t>
            </w:r>
          </w:p>
        </w:tc>
        <w:tc>
          <w:tcPr>
            <w:tcW w:w="20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of Notes</w:t>
            </w:r>
          </w:p>
        </w:tc>
        <w:tc>
          <w:tcPr>
            <w:tcW w:w="1780" w:type="dxa"/>
            <w:vAlign w:val="bottom"/>
          </w:tcPr>
          <w:p>
            <w:pPr>
              <w:ind w:left="180"/>
              <w:spacing w:after="0"/>
              <w:rPr>
                <w:sz w:val="20"/>
                <w:szCs w:val="20"/>
                <w:color w:val="auto"/>
              </w:rPr>
            </w:pPr>
            <w:r>
              <w:rPr>
                <w:rFonts w:ascii="Arial" w:cs="Arial" w:eastAsia="Arial" w:hAnsi="Arial"/>
                <w:sz w:val="18"/>
                <w:szCs w:val="18"/>
                <w:b w:val="1"/>
                <w:bCs w:val="1"/>
                <w:color w:val="auto"/>
              </w:rPr>
              <w:t>Prepayment Right</w:t>
            </w:r>
          </w:p>
        </w:tc>
        <w:tc>
          <w:tcPr>
            <w:tcW w:w="220" w:type="dxa"/>
            <w:vAlign w:val="bottom"/>
          </w:tcPr>
          <w:p>
            <w:pPr>
              <w:spacing w:after="0"/>
              <w:rPr>
                <w:sz w:val="20"/>
                <w:szCs w:val="20"/>
                <w:color w:val="auto"/>
              </w:rPr>
            </w:pP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rPr>
              <w:t>Maturity Date</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15, 2022</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September 15, 2027</w:t>
            </w:r>
          </w:p>
        </w:tc>
      </w:tr>
    </w:tbl>
    <w:p>
      <w:pPr>
        <w:spacing w:after="0" w:line="202" w:lineRule="exact"/>
        <w:rPr>
          <w:sz w:val="20"/>
          <w:szCs w:val="20"/>
          <w:color w:val="auto"/>
        </w:rPr>
      </w:pPr>
    </w:p>
    <w:p>
      <w:pPr>
        <w:ind w:left="320" w:right="200"/>
        <w:spacing w:after="0" w:line="277" w:lineRule="auto"/>
        <w:rPr>
          <w:sz w:val="20"/>
          <w:szCs w:val="20"/>
          <w:color w:val="auto"/>
        </w:rPr>
      </w:pPr>
      <w:r>
        <w:rPr>
          <w:rFonts w:ascii="Arial" w:cs="Arial" w:eastAsia="Arial" w:hAnsi="Arial"/>
          <w:sz w:val="18"/>
          <w:szCs w:val="18"/>
          <w:color w:val="auto"/>
        </w:rPr>
        <w:t>Fixed at 6.00% through September 15, 2022 then three-month London Inter-bank Offered Rate (“LIBOR”) plus 404.4 basis points (4.</w:t>
      </w:r>
      <w:r>
        <w:rPr>
          <w:rFonts w:ascii="Arial" w:cs="Arial" w:eastAsia="Arial" w:hAnsi="Arial"/>
          <w:sz w:val="18"/>
          <w:szCs w:val="18"/>
          <w:color w:val="7030A0"/>
        </w:rPr>
        <w:t>17</w:t>
      </w:r>
      <w:r>
        <w:rPr>
          <w:rFonts w:ascii="Arial" w:cs="Arial" w:eastAsia="Arial" w:hAnsi="Arial"/>
          <w:sz w:val="18"/>
          <w:szCs w:val="18"/>
          <w:color w:val="auto"/>
        </w:rPr>
        <w:t>% as of June 30,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3340" w:val="left"/>
          <w:tab w:leader="none" w:pos="5180" w:val="left"/>
          <w:tab w:leader="none" w:pos="6680" w:val="left"/>
          <w:tab w:leader="none" w:pos="7420" w:val="left"/>
          <w:tab w:leader="none" w:pos="9420" w:val="left"/>
        </w:tabs>
        <w:rPr>
          <w:sz w:val="20"/>
          <w:szCs w:val="20"/>
          <w:color w:val="auto"/>
        </w:rPr>
      </w:pPr>
      <w:r>
        <w:rPr>
          <w:rFonts w:ascii="Arial" w:cs="Arial" w:eastAsia="Arial" w:hAnsi="Arial"/>
          <w:sz w:val="18"/>
          <w:szCs w:val="18"/>
          <w:color w:val="auto"/>
        </w:rPr>
        <w:t>Subordinated notes</w:t>
      </w:r>
      <w:r>
        <w:rPr>
          <w:sz w:val="20"/>
          <w:szCs w:val="20"/>
          <w:color w:val="auto"/>
        </w:rPr>
        <w:tab/>
      </w:r>
      <w:r>
        <w:rPr>
          <w:rFonts w:ascii="Arial" w:cs="Arial" w:eastAsia="Arial" w:hAnsi="Arial"/>
          <w:sz w:val="18"/>
          <w:szCs w:val="18"/>
          <w:color w:val="auto"/>
        </w:rPr>
        <w:t>November 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3,750</w:t>
      </w:r>
      <w:r>
        <w:rPr>
          <w:sz w:val="20"/>
          <w:szCs w:val="20"/>
          <w:color w:val="auto"/>
        </w:rPr>
        <w:tab/>
      </w:r>
      <w:r>
        <w:rPr>
          <w:rFonts w:ascii="Arial" w:cs="Arial" w:eastAsia="Arial" w:hAnsi="Arial"/>
          <w:sz w:val="18"/>
          <w:szCs w:val="18"/>
          <w:color w:val="auto"/>
        </w:rPr>
        <w:t>September 15, 2022</w:t>
      </w:r>
      <w:r>
        <w:rPr>
          <w:sz w:val="20"/>
          <w:szCs w:val="20"/>
          <w:color w:val="auto"/>
        </w:rPr>
        <w:tab/>
      </w:r>
      <w:r>
        <w:rPr>
          <w:rFonts w:ascii="Arial" w:cs="Arial" w:eastAsia="Arial" w:hAnsi="Arial"/>
          <w:sz w:val="15"/>
          <w:szCs w:val="15"/>
          <w:color w:val="auto"/>
        </w:rPr>
        <w:t>September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 at 5.50% through September 15, 2022 then three-month LIBOR plus 354.4 basis points (3.67% as of June 30,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Shareholders’ equity totaled $218.3 million at June 30, 2021 and $133.8 million at December 31, 2020. The increase in shareholders’ equity was attributable to issuance of stock of $111.2 million from the IPO and net income recorded of $20.1 million, offset by cash distributions paid of $46.8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are not included in our consolidated balance sheets in accordance with GAAP. These transactions include commitments to extend credit in the ordinary course of business, including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The following is a summary of our off-balance sheet commitments outstanding as of the dates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June 30, 2021</w:t>
            </w:r>
          </w:p>
        </w:tc>
        <w:tc>
          <w:tcPr>
            <w:tcW w:w="3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Pr>
          <w:p>
            <w:pPr>
              <w:spacing w:after="0"/>
              <w:rPr>
                <w:sz w:val="19"/>
                <w:szCs w:val="19"/>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Commitments to fund loans held for investment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206,791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the items detailed above, we have no other off-balance sheet arrangements that have or are reasonably likely to have a current or future effect material to investors on our financial condition, changes in financial condition, revenues or expenses, results of operations, liquidity, capital expenditures, or capital resources.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as of June 30, 2021, our significant contractual obligations to third parties on debt and lease agreements and service obligations. For more information about our contractual obligations, see Note 7, Long Term Debt and Other Borrowings, and Note 10, Commitments and Contingencies, in the notes to our unaudited consolidated financial statements included in this Quarterly Report on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Less than 1 year</w:t>
            </w: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1 to 2 years</w:t>
            </w:r>
          </w:p>
        </w:tc>
        <w:tc>
          <w:tcPr>
            <w:tcW w:w="20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2 to 5 years</w:t>
            </w:r>
          </w:p>
        </w:tc>
        <w:tc>
          <w:tcPr>
            <w:tcW w:w="1700" w:type="dxa"/>
            <w:vAlign w:val="bottom"/>
            <w:gridSpan w:val="4"/>
          </w:tcPr>
          <w:p>
            <w:pPr>
              <w:ind w:left="200"/>
              <w:spacing w:after="0"/>
              <w:rPr>
                <w:sz w:val="20"/>
                <w:szCs w:val="20"/>
                <w:color w:val="auto"/>
              </w:rPr>
            </w:pPr>
            <w:r>
              <w:rPr>
                <w:rFonts w:ascii="Arial" w:cs="Arial" w:eastAsia="Arial" w:hAnsi="Arial"/>
                <w:sz w:val="18"/>
                <w:szCs w:val="18"/>
                <w:b w:val="1"/>
                <w:bCs w:val="1"/>
                <w:color w:val="auto"/>
                <w:w w:val="96"/>
              </w:rPr>
              <w:t>More than 5 years</w:t>
            </w:r>
          </w:p>
        </w:tc>
      </w:tr>
      <w:tr>
        <w:trPr>
          <w:trHeight w:val="20"/>
        </w:trPr>
        <w:tc>
          <w:tcPr>
            <w:tcW w:w="3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36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Time deposits</w:t>
            </w:r>
            <w:r>
              <w:rPr>
                <w:rFonts w:ascii="Arial" w:cs="Arial" w:eastAsia="Arial" w:hAnsi="Arial"/>
                <w:sz w:val="28"/>
                <w:szCs w:val="28"/>
                <w:color w:val="auto"/>
                <w:vertAlign w:val="superscript"/>
              </w:rPr>
              <w:t>(1)</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54,674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tcPr>
          <w:p>
            <w:pPr>
              <w:spacing w:after="0" w:line="256" w:lineRule="exact"/>
              <w:rPr>
                <w:sz w:val="20"/>
                <w:szCs w:val="20"/>
                <w:color w:val="auto"/>
              </w:rPr>
            </w:pPr>
            <w:r>
              <w:rPr>
                <w:rFonts w:ascii="Arial" w:cs="Arial" w:eastAsia="Arial" w:hAnsi="Arial"/>
                <w:sz w:val="18"/>
                <w:szCs w:val="18"/>
                <w:color w:val="auto"/>
              </w:rPr>
              <w:t>Subordinated notes</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28,353</w:t>
            </w:r>
          </w:p>
        </w:tc>
        <w:tc>
          <w:tcPr>
            <w:tcW w:w="42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28,353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r>
      <w:tr>
        <w:trPr>
          <w:trHeight w:val="270"/>
        </w:trPr>
        <w:tc>
          <w:tcPr>
            <w:tcW w:w="3640" w:type="dxa"/>
            <w:vAlign w:val="bottom"/>
          </w:tcPr>
          <w:p>
            <w:pPr>
              <w:spacing w:after="0" w:line="270" w:lineRule="exact"/>
              <w:rPr>
                <w:sz w:val="20"/>
                <w:szCs w:val="20"/>
                <w:color w:val="auto"/>
              </w:rPr>
            </w:pPr>
            <w:r>
              <w:rPr>
                <w:rFonts w:ascii="Arial" w:cs="Arial" w:eastAsia="Arial" w:hAnsi="Arial"/>
                <w:sz w:val="18"/>
                <w:szCs w:val="18"/>
                <w:color w:val="auto"/>
              </w:rPr>
              <w:t>Significant contracts</w:t>
            </w:r>
            <w:r>
              <w:rPr>
                <w:rFonts w:ascii="Arial" w:cs="Arial" w:eastAsia="Arial" w:hAnsi="Arial"/>
                <w:sz w:val="29"/>
                <w:szCs w:val="29"/>
                <w:color w:val="auto"/>
                <w:vertAlign w:val="superscript"/>
              </w:rPr>
              <w:t>(2)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1,693</w:t>
            </w:r>
          </w:p>
        </w:tc>
        <w:tc>
          <w:tcPr>
            <w:tcW w:w="420" w:type="dxa"/>
            <w:vAlign w:val="bottom"/>
          </w:tcPr>
          <w:p>
            <w:pPr>
              <w:spacing w:after="0"/>
              <w:rPr>
                <w:sz w:val="23"/>
                <w:szCs w:val="2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883</w:t>
            </w:r>
          </w:p>
        </w:tc>
        <w:tc>
          <w:tcPr>
            <w:tcW w:w="3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55,257</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Amounts exclude interest.</w:t>
      </w:r>
    </w:p>
    <w:p>
      <w:pPr>
        <w:spacing w:after="0" w:line="149" w:lineRule="exact"/>
        <w:rPr>
          <w:rFonts w:ascii="Arial" w:cs="Arial" w:eastAsia="Arial" w:hAnsi="Arial"/>
          <w:sz w:val="12"/>
          <w:szCs w:val="12"/>
          <w:color w:val="auto"/>
        </w:rPr>
      </w:pPr>
    </w:p>
    <w:p>
      <w:pPr>
        <w:ind w:left="380" w:hanging="372"/>
        <w:spacing w:after="0" w:line="253"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We have one significant, long-term contract for core processing services. Actual obligation is unknown and dependent on certain factors including volume and activities. For purposes of this disclosure, future obligations are estimated using 2020 average monthly expense extrapolated over the remaining life of the contract.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will we be able to meet our contractual obligations as they come due. Adequate cash levels are expected through profitability, repayments from loans and securities, deposit gathering activity, access to borrowing sources, and periodic loan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We operate under the Small Bank Holding Company Policy Statement, and accordingly are exempt from the Board of Governors of the Federal Reserve System’s (“Federal Reserve”) generally applicable risk-based 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the Bank’s prompt corrective action classification are also subject to qualitative judgments by the regulators about components of capital, risk weightings, and other factors. As of June 30, 2021, Bancorp and the Bank were in compliance with all applicable regulatory capital requirements, and the Bank qualified as “well-capitalized” under the prompt corrective action framework.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Bancorp’s and the Bank’s capital adequacy ratios as of June 30, 2021 and December 31, 2020 are presented in the following tables. As of June 30, 2021 and December 31, 2020, Bancorp’s Tier 2 capital included subordinated debt, which was not included at the Bank level.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2"/>
              </w:rPr>
              <w:t>Ratio to be Well-</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2"/>
              </w:rPr>
              <w:t>Capitalized under Prompt</w:t>
            </w: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Capital Ratios for Bancorp</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Required for Capital</w:t>
            </w:r>
          </w:p>
        </w:tc>
        <w:tc>
          <w:tcPr>
            <w:tcW w:w="260" w:type="dxa"/>
            <w:vAlign w:val="bottom"/>
          </w:tcPr>
          <w:p>
            <w:pPr>
              <w:spacing w:after="0"/>
              <w:rPr>
                <w:sz w:val="18"/>
                <w:szCs w:val="18"/>
                <w:color w:val="auto"/>
              </w:rPr>
            </w:pPr>
          </w:p>
        </w:tc>
        <w:tc>
          <w:tcPr>
            <w:tcW w:w="20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Corrective Action</w:t>
            </w:r>
          </w:p>
        </w:tc>
      </w:t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0"/>
                <w:szCs w:val="20"/>
                <w:color w:val="auto"/>
              </w:rPr>
            </w:pPr>
          </w:p>
        </w:tc>
        <w:tc>
          <w:tcPr>
            <w:tcW w:w="2020" w:type="dxa"/>
            <w:vAlign w:val="bottom"/>
            <w:gridSpan w:val="4"/>
          </w:tcPr>
          <w:p>
            <w:pPr>
              <w:ind w:left="20"/>
              <w:spacing w:after="0"/>
              <w:rPr>
                <w:sz w:val="20"/>
                <w:szCs w:val="20"/>
                <w:color w:val="auto"/>
              </w:rPr>
            </w:pPr>
            <w:r>
              <w:rPr>
                <w:rFonts w:ascii="Arial" w:cs="Arial" w:eastAsia="Arial" w:hAnsi="Arial"/>
                <w:sz w:val="18"/>
                <w:szCs w:val="18"/>
                <w:b w:val="1"/>
                <w:bCs w:val="1"/>
                <w:color w:val="auto"/>
              </w:rPr>
              <w:t>Adequacy Purposes*</w:t>
            </w:r>
          </w:p>
        </w:tc>
        <w:tc>
          <w:tcPr>
            <w:tcW w:w="26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Provisions</w:t>
            </w:r>
          </w:p>
        </w:tc>
      </w:tr>
      <w:tr>
        <w:trPr>
          <w:trHeight w:val="223"/>
        </w:trPr>
        <w:tc>
          <w:tcPr>
            <w:tcW w:w="4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Ratio</w:t>
            </w:r>
          </w:p>
        </w:tc>
        <w:tc>
          <w:tcPr>
            <w:tcW w:w="480" w:type="dxa"/>
            <w:vAlign w:val="bottom"/>
          </w:tcPr>
          <w:p>
            <w:pPr>
              <w:spacing w:after="0"/>
              <w:rPr>
                <w:sz w:val="19"/>
                <w:szCs w:val="19"/>
                <w:color w:val="auto"/>
              </w:rPr>
            </w:pPr>
          </w:p>
        </w:tc>
        <w:tc>
          <w:tcPr>
            <w:tcW w:w="114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4"/>
              </w:rPr>
              <w:t>Amount</w:t>
            </w: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19"/>
                <w:szCs w:val="19"/>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$ 263,728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128,573</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8.00%</w:t>
            </w:r>
          </w:p>
        </w:tc>
        <w:tc>
          <w:tcPr>
            <w:tcW w:w="2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$ 215,271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96,430</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6.00%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Common Equity Tier 1 (to risk-weighted assets)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$ 215,271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72,322</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4.50%</w:t>
            </w:r>
          </w:p>
        </w:tc>
        <w:tc>
          <w:tcPr>
            <w:tcW w:w="2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$ 215,271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89,806</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4.00%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$ 176,861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116,138</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8.00%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$ 130,347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87,103</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6.00%</w:t>
            </w:r>
          </w:p>
        </w:tc>
        <w:tc>
          <w:tcPr>
            <w:tcW w:w="2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(to risk-weighted assets)</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$ 130,347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65,327</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4.50%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$ 130,347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79,204</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4.00%</w:t>
            </w:r>
          </w:p>
        </w:tc>
        <w:tc>
          <w:tcPr>
            <w:tcW w:w="2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Ratio to be Well-</w:t>
            </w: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8"/>
                <w:szCs w:val="18"/>
                <w:b w:val="1"/>
                <w:bCs w:val="1"/>
                <w:color w:val="auto"/>
                <w:w w:val="99"/>
              </w:rPr>
              <w:t>Capitalized under Prompt</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Capital Ratios for the Bank</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2"/>
              </w:rPr>
              <w:t>Required for Capital</w:t>
            </w:r>
          </w:p>
        </w:tc>
        <w:tc>
          <w:tcPr>
            <w:tcW w:w="120" w:type="dxa"/>
            <w:vAlign w:val="bottom"/>
          </w:tcPr>
          <w:p>
            <w:pPr>
              <w:spacing w:after="0"/>
              <w:rPr>
                <w:sz w:val="18"/>
                <w:szCs w:val="18"/>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Corrective Action</w:t>
            </w: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Actual Ratio</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7"/>
              </w:rPr>
              <w:t>Adequacy Purposes</w:t>
            </w:r>
          </w:p>
        </w:tc>
        <w:tc>
          <w:tcPr>
            <w:tcW w:w="120" w:type="dxa"/>
            <w:vAlign w:val="bottom"/>
          </w:tcPr>
          <w:p>
            <w:pPr>
              <w:spacing w:after="0"/>
              <w:rPr>
                <w:sz w:val="20"/>
                <w:szCs w:val="20"/>
                <w:color w:val="auto"/>
              </w:rPr>
            </w:pPr>
          </w:p>
        </w:tc>
        <w:tc>
          <w:tcPr>
            <w:tcW w:w="20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Provisions</w:t>
            </w:r>
          </w:p>
        </w:tc>
      </w:tr>
      <w:tr>
        <w:trPr>
          <w:trHeight w:val="223"/>
        </w:trPr>
        <w:tc>
          <w:tcPr>
            <w:tcW w:w="42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Ratio</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Ratio</w:t>
            </w:r>
          </w:p>
        </w:tc>
        <w:tc>
          <w:tcPr>
            <w:tcW w:w="420" w:type="dxa"/>
            <w:vAlign w:val="bottom"/>
          </w:tcPr>
          <w:p>
            <w:pPr>
              <w:spacing w:after="0"/>
              <w:rPr>
                <w:sz w:val="19"/>
                <w:szCs w:val="19"/>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$ 258,665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128,500</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 8.00%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160,625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10.00%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1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$ 238,562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96,375</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128,500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Common Equity Tier 1 (to risk-weighted assets)</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$ 238,562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72,281</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 4.50%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104,406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6.50%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1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$ 238,562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89,764</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112,205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1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$ 174,002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116,114</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8.00%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145,143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Tier 1 Capital (to risk-weighted assets)</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$ 155,808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87,086</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 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116,114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8.00%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Tier 1 (to risk-weighted assets)</w:t>
            </w:r>
          </w:p>
        </w:tc>
        <w:tc>
          <w:tcPr>
            <w:tcW w:w="11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$ 155,808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65,314</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4.50%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94,343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6.50%</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Tier 1 Capital (to average assets)</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$ 155,808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79,199</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 4.00%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98,998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5.00%</w:t>
            </w:r>
          </w:p>
        </w:tc>
      </w:tr>
    </w:tbl>
    <w:p>
      <w:pPr>
        <w:spacing w:after="0" w:line="183" w:lineRule="exact"/>
        <w:rPr>
          <w:sz w:val="20"/>
          <w:szCs w:val="20"/>
          <w:color w:val="auto"/>
        </w:rPr>
      </w:pPr>
    </w:p>
    <w:p>
      <w:pPr>
        <w:ind w:left="380" w:right="20" w:hanging="372"/>
        <w:spacing w:after="0" w:line="25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If Bancorp were subject to Basel III capital requirements. The Company operates under the Small Bank Business Holding Company Policy Statement and therefore is not currently subject to generally applicable capital adequacy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off-balance sheet obligations, the amount of cash and liquid securities we hold, and the availability of assets to be readily converted into cash without undue loss. As a primary federal regulator of the Bank, the FDIC evaluates the liquidity of the Bank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and reputational risks also could affect the bank’s liquidity risk profile and are considered in the assessment of liquidity management.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a corporation separate and apart from the Bank and, therefore, must provide for its own liquidity, including liquidity required to meet its debt service requirements on its senior notes and junior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Bancorp without advance regulatory approval is restricted to the lesser of the Bank’s retained earnings or the amount of the Bank’s net profits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to ensure that our assets and liabilities are managed in a manner to meet all reasonably foreseeable short-term, long-term, and strategic liquidity demands. Management has established a comprehensive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(“FRBSF”)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most significant source of liquidity during the first six months of 2021 was an increase in deposits of $282.3 million and an increase in cash and cash equivalents as a result of net proceeds of $111.2 million from the IPO. The increase was primarily due to increases in PPP borrower-related balances and normal fluctuations in some of our large accounts. Other sources of liquidity during the first six months of 2021 included proceeds from sales and maturities or/and prepayments of securities of $16.2 million, and $21.8 million in net cash provided by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uses of liquidity during the first six months of 2021 were $69.1 million in investment securities purchased, $78.6 million in loan originations and advances, net of principal collected, $22.0 million in loans originated for sale, and $46.8 million in cash distributions paid on common stock to our shareholders. Refer to the Consolidated Statement of Cash Flows included in our unaudited consolidated financial statements in this Quarterly Report on Form 10-Q for additional information on our sources and uses of liquidity. Management anticipates that our current strong liquidity position and core deposit base are adequate to fund our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commitments and standby letters of credit, as discussed in Note 10, Commitments and Contingencies, in the notes to our unaudited consolidated financial statements included in this Quarterly Report on Form 10-Q, totaled $206.8 million at June 30, 2021. We expect to fund these commitments to the extent utilized primarily through the repayment of existing loans, deposit growth, and liquid assets. Over the next twelve months, $53.3 million of time deposits are expected to mature. As these time deposits mature, some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 additional source of our liquidity is the sale of liquid assets, which consists of loans held for sale and securities available-for-sale. At June 30, 2021, securities available-for-sale totaled $160.1 million, with $48.7 million pledged as collateral for borrowings and other commitments, and loans held for sale totaled $2.3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Bank is a shareholder of the FHLB, which enables the Bank to have access to lower-cost FHLB financing when necessary. At June 30, 2021, the Bank had a total financing availability of $197.2 million, net of letters of credit issued of $319.5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management believes the above-mentioned sources will provide adequate liquidity during the next twelve months for the Bank to meet its operating needs.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uses of liquidity for Bancorp are shareholder dividends and ordinary operating expenses. The Bank paid dividends to Bancorp totaling $46.8 million during the first six months of 2021. Bancorp paid dividends to its shareholders totaling $46.8 million during the first six months of 2021, including a cash distribution in the amount of $27.0 million to shareholders of record as of May 3, 2021, paid on May 21, 2021, for the accumulated adjustments account payout, which is described in further detail in the Company’s Registration Statement for the IPO. Bancorp held $8.2 million of cash and cash equivalents as of June 30, 2021. Management anticipates that there will be sufficient earnings at the Bank to provide dividends to Bancorp to meet its funding requirements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jc w:val="both"/>
        <w:spacing w:after="0" w:line="290" w:lineRule="auto"/>
        <w:rPr>
          <w:sz w:val="20"/>
          <w:szCs w:val="20"/>
          <w:color w:val="auto"/>
        </w:rPr>
      </w:pPr>
      <w:r>
        <w:rPr>
          <w:rFonts w:ascii="Arial" w:cs="Arial" w:eastAsia="Arial" w:hAnsi="Arial"/>
          <w:sz w:val="16"/>
          <w:szCs w:val="16"/>
          <w:color w:val="auto"/>
        </w:rPr>
        <w:t>Allowance for loan losses to total loans, excluding SBA-guaranteed PPP loans, average loan balance, excluding PPP loans, and tangible common equity to tangible assets are non-GAAP financial measures. Allowance for loan losses to total loans, excluding SBA-guaranteed PPP loans, is defined as allowance for loan losses, divided by total loans less SBA-guaranteed PPP loans. The most directly comparable GAAP financial measure is allowance for loan losses to total loans. Average loan balance, excluding PPP loans, is defined as the daily average loan balance, excluding PPP loans, and includes both performing and nonperforming loans. The most directly comparable GAAP financial measure is average loan balance. Tangible common equity to tangible assets is defined as total equity less goodwill and other intangible assets, divided by total assets less goodwill and other intangible assets. The most directly comparable GAAP financial measure is total equity to total assets. We had no goodwill or other intangible assets as of any of the dates indicated. As a result, tangible common equity to tangible assets is the same as total equity to total assets as of each of the dates indicated.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reconciliation table provides a more detailed analysis of these non-GAAP financial measures along with their most directly comparable financial measures calculated in accordance with GAAP.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2020</w:t>
            </w:r>
          </w:p>
        </w:tc>
      </w:tr>
      <w:tr>
        <w:trPr>
          <w:trHeight w:val="190"/>
        </w:trPr>
        <w:tc>
          <w:tcPr>
            <w:tcW w:w="50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Allowance for loan losses to total loans, excluding SBA PPP loans</w:t>
            </w:r>
          </w:p>
        </w:tc>
        <w:tc>
          <w:tcPr>
            <w:tcW w:w="2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22,153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22,189</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1,587,802</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1,507,979</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Less: SBA-guaranteed PPP loans</w:t>
            </w:r>
          </w:p>
        </w:tc>
        <w:tc>
          <w:tcPr>
            <w:tcW w:w="100" w:type="dxa"/>
            <w:vAlign w:val="bottom"/>
          </w:tcPr>
          <w:p>
            <w:pPr>
              <w:spacing w:after="0"/>
              <w:rPr>
                <w:sz w:val="19"/>
                <w:szCs w:val="19"/>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120,936</w:t>
            </w: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147,965</w:t>
            </w: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loans, excluding SBA PPP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1,466,866</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1,360,014</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gridSpan w:val="6"/>
          </w:tcPr>
          <w:p>
            <w:pPr>
              <w:ind w:left="160"/>
              <w:spacing w:after="0"/>
              <w:rPr>
                <w:sz w:val="20"/>
                <w:szCs w:val="20"/>
                <w:color w:val="auto"/>
              </w:rPr>
            </w:pPr>
            <w:r>
              <w:rPr>
                <w:rFonts w:ascii="Arial" w:cs="Arial" w:eastAsia="Arial" w:hAnsi="Arial"/>
                <w:sz w:val="18"/>
                <w:szCs w:val="18"/>
                <w:color w:val="auto"/>
              </w:rPr>
              <w:t>Allowance for loan losses to total loans, excluding SBA PPP loans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w w:val="74"/>
              </w:rPr>
              <w:t>%</w:t>
            </w: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7"/>
          </w:tcPr>
          <w:p>
            <w:pPr>
              <w:ind w:left="420"/>
              <w:spacing w:after="0"/>
              <w:rPr>
                <w:sz w:val="20"/>
                <w:szCs w:val="20"/>
                <w:color w:val="auto"/>
              </w:rPr>
            </w:pPr>
            <w:r>
              <w:rPr>
                <w:rFonts w:ascii="Arial" w:cs="Arial" w:eastAsia="Arial" w:hAnsi="Arial"/>
                <w:sz w:val="18"/>
                <w:szCs w:val="18"/>
                <w:b w:val="1"/>
                <w:bCs w:val="1"/>
                <w:color w:val="auto"/>
              </w:rPr>
              <w:t>For the 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For the six months ended</w:t>
            </w:r>
          </w:p>
        </w:tc>
      </w:tr>
      <w:tr>
        <w:trPr>
          <w:trHeight w:val="223"/>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8"/>
              </w:rPr>
              <w:t>June 30, 2021</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2021</w:t>
            </w: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0"/>
              </w:rPr>
              <w:t>June 30, 2020</w:t>
            </w:r>
          </w:p>
        </w:tc>
      </w:tr>
      <w:tr>
        <w:trPr>
          <w:trHeight w:val="189"/>
        </w:trPr>
        <w:tc>
          <w:tcPr>
            <w:tcW w:w="364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Average loan balance, excluding PPP loans</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total loans</w:t>
            </w:r>
          </w:p>
        </w:tc>
        <w:tc>
          <w:tcPr>
            <w:tcW w:w="9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1,578,438</w:t>
            </w:r>
          </w:p>
        </w:tc>
        <w:tc>
          <w:tcPr>
            <w:tcW w:w="4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1,461,437</w:t>
            </w: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1,552,364</w:t>
            </w:r>
          </w:p>
        </w:tc>
        <w:tc>
          <w:tcPr>
            <w:tcW w:w="5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1,335,640</w:t>
            </w:r>
          </w:p>
        </w:tc>
        <w:tc>
          <w:tcPr>
            <w:tcW w:w="120" w:type="dxa"/>
            <w:vAlign w:val="bottom"/>
            <w:tcBorders>
              <w:top w:val="single" w:sz="8" w:color="CCEEFF"/>
            </w:tcBorders>
          </w:tcPr>
          <w:p>
            <w:pPr>
              <w:spacing w:after="0"/>
              <w:rPr>
                <w:sz w:val="18"/>
                <w:szCs w:val="18"/>
                <w:color w:val="auto"/>
              </w:rPr>
            </w:pPr>
          </w:p>
        </w:tc>
      </w:tr>
      <w:tr>
        <w:trPr>
          <w:trHeight w:val="229"/>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Average PPP loans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158,568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206,396</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167,362</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102,634</w:t>
            </w:r>
          </w:p>
        </w:tc>
        <w:tc>
          <w:tcPr>
            <w:tcW w:w="120" w:type="dxa"/>
            <w:vAlign w:val="bottom"/>
            <w:shd w:val="clear" w:color="auto" w:fill="CCEEFF"/>
          </w:tcPr>
          <w:p>
            <w:pPr>
              <w:spacing w:after="0"/>
              <w:rPr>
                <w:sz w:val="19"/>
                <w:szCs w:val="19"/>
                <w:color w:val="auto"/>
              </w:rPr>
            </w:pPr>
          </w:p>
        </w:tc>
      </w:tr>
      <w:tr>
        <w:trPr>
          <w:trHeight w:val="223"/>
        </w:trPr>
        <w:tc>
          <w:tcPr>
            <w:tcW w:w="4060" w:type="dxa"/>
            <w:vAlign w:val="bottom"/>
            <w:gridSpan w:val="3"/>
          </w:tcPr>
          <w:p>
            <w:pPr>
              <w:ind w:left="160"/>
              <w:spacing w:after="0"/>
              <w:rPr>
                <w:sz w:val="20"/>
                <w:szCs w:val="20"/>
                <w:color w:val="auto"/>
              </w:rPr>
            </w:pPr>
            <w:r>
              <w:rPr>
                <w:rFonts w:ascii="Arial" w:cs="Arial" w:eastAsia="Arial" w:hAnsi="Arial"/>
                <w:sz w:val="18"/>
                <w:szCs w:val="18"/>
                <w:color w:val="auto"/>
              </w:rPr>
              <w:t>Average loan balance, excluding PPP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1,255,041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1,385,002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1,233,006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as of June 30, 2021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 13a-15(f) under the Exchange Act) that occurred during the three months ended June 30, 2021 that has materially affected, or is reasonably likely to materially affect, such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Certain factors may have an adverse effect on our business, financial condition, and results of operations. You should carefully consider the following risks, together with all of the other information contained in this Quarterly Report on Form 10-Q, including the sections entitled “Cautionary Note Regarding Forward-Looking Statements” and “Management’s Discussion and Analysis of Financial Condition and Results of Operations” and our financial statements and the related notes included in this Quarterly Report on Form 10-Q.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risks that may have an adverse effect on our business, financial condition, and results of operations are summarized below.</w:t>
      </w:r>
    </w:p>
    <w:p>
      <w:pPr>
        <w:spacing w:after="0" w:line="237"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business and operations are concentrated in Northern California, and we are sensitive to adverse changes in the local economy.</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operate in a highly competitive market and face increasing competition from traditional and new financial services providers.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8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an adverse effect on our business, financial condition, and results of operations.</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operate in a highly regulated industry, and the current regulatory framework and any future legislative and regulatory changes, may have an adverse effect on our business, financial condition, and results of operations.</w:t>
      </w:r>
    </w:p>
    <w:p>
      <w:pPr>
        <w:spacing w:after="0" w:line="170"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subject to regulatory requirements, including stringent capital requirements, consumer protection laws, and anti-money laundering laws, and failure to comply with these requirements could have an adverse effect on our business, financial condition, and results of operations.</w:t>
      </w:r>
    </w:p>
    <w:p>
      <w:pPr>
        <w:spacing w:after="0" w:line="123" w:lineRule="exact"/>
        <w:rPr>
          <w:rFonts w:ascii="Arial" w:cs="Arial" w:eastAsia="Arial" w:hAnsi="Arial"/>
          <w:sz w:val="16"/>
          <w:szCs w:val="16"/>
          <w:color w:val="auto"/>
        </w:rPr>
      </w:pPr>
    </w:p>
    <w:p>
      <w:pPr>
        <w:jc w:val="both"/>
        <w:ind w:left="800" w:hanging="401"/>
        <w:spacing w:after="0" w:line="259"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w:t>
      </w:r>
    </w:p>
    <w:p>
      <w:pPr>
        <w:spacing w:after="0" w:line="186"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recently terminated our status as an S Corporation for federal income tax purposes in connection with our IPO and may be subject to claims from taxing authorities related to our prior S Corporation status.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an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Unlike many of our larger competitors that maintain significant operations located outside our market, substantially all of our customers are individuals and businesses located and doing business in the state of California. As of June 30, 2021, approximately 77.76%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 more geographically diverse competitors. A downturn in the local economy could make it more difficult for our borrowers to repay their loans, may lead to loan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small to medium-sized businesses to which we lend may have fewer resources to weather adverse business developments, which may impair a borrower’s ability to repay a loan.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These factors may be especially true given the effects of the COVID-19 pandemic.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otherwise are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significantly dependent on the real estate markets in which we operate, as a significant percentage of our loan portfolio is secured by real estate.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2021, approximately 82.53% of our loan portfolio was comprised of loans with real estate as a primary or secondary component of collateral, with substantially all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 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We are subject to interest rate risk, which could adversely affect our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rates are highly sensitive to many factors that are beyond our control, including general economic conditions and policies of various governmental and regulatory agencies and, in particular, the Federal Reserve. Changes in monetary policy, including changes in interest rates, could influence not only the interest we receive on loans and securities and the interest we pay on deposits and borrowings, but such changes could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June 30, 2021, 74.13% of our earning assets and 95.68% of our interest-bearing liabilities were variable rate, where our variable rate liabilities reprice at a slower rate than our variable rate assets. Our interest sensitivity profile was asset sensitive as of June 30, 2021.</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loan losses, which could have an adverse effect on our business, financial condition, and results of operations. The Federal Reserve has indicated that it will maintain the target range for the federal funds rate at low levels for some time to come, but changes to the target range are unpredictable. A decrease in the general level of interest rates, including the Federal Reserve’s sharp reduction in interest rates in response to the economic and financial effects of the COVID-19 pandemic, may affect us through, among other things, increased prepayments on our loan portfolio, and our cost of funds may not fall as quickly as yields on earning assets. Our asset-liability management strategy may not be effective in mitigating exposure to the risks related to changes in market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a highly competitive market and face increasing competition from a variety of traditional and new financial services providers.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many competitors. Our principal competitors are commercial and community banks, credit unions, savings and loan associations, mortgage banking firms and online mortgage lenders, and consumer finance companies, including large national financial institutions that operate in our market.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As of June 30, 2021, we had $2.1 billion in deposits and a loan to deposit ratio of 76.84%. As of the same date, using deposit account related information such as tax identification numbers, account vesting, and account size, we estimated that $972.7 million of our deposits exceeded the FDIC deposit insurance limits. Additionally, we have $327.5 million of governmental deposits secured by collateral.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or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keep up with the rapid technological changes in the financial services industry could have an adverse effect on our competitive position and profitability.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use of data and modeling in both our management’s decision-making generally and in meeting regulatory expectations in particular.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loan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We may not be able to measure and limit our credit risk adequately, which could adversely affect our profitability.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particularly due to the continuing effects of the COVID-19 pandemic,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higher credit risk by our commercial real estate and commercial land development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real estate, commercial land and construction, commercial construction, and farmland-based lending usually involve higher credit risks than other types of mortgage loans. As of June 30, 2021, the following loan types accounted for the stated percentages of our loan portfolio: commercial real estate (both owner-occupied and non-owner-occupied)—72.47%; and commercial land and construction—4.93%.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Commercial real estate loans, commercial and industrial loans, and construction loans are more susceptible to a risk of loss during a downturn in the business cycle. In particular, the COVID-19 pandemic could have adverse effects on our loans for office and hospitality space, which are dependent for repayment on the successful operation and management of the associated commercial real estate. Our underwriting, review, and monitoring cannot eliminate all the risks related to these loans.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2021, real estate construction loans comprised 4.67% of our total loan portfolio and such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non-guaranteed portion of SBA loans that we retain on our balance sheet as well as the guaranteed portion of SBA loans that we sell could expose us to various credit and default risks.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our total commercial SBA loan portfolio held for investment, excluding PPP loans, was $50.2 million, representing 3.16% of total loans held for investment. As of June 30, 2021, we sold 97 SBA loans with government-guaranteed portions totaling $22.0 million. The non-guaranteed portion of SBA loans have a higher degree of risk of loss as compared to the guaranteed portion of such loans, and these non-guaranteed loan portions make up a substantial majority of our remaining SBA loans.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we sell the guaranteed portion of SBA loans in the ordinary course of business, we are required to make certain representations and warranties to the purchaser about the SBA loan and the manner in which it was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b w:val="1"/>
          <w:bCs w:val="1"/>
          <w:color w:val="auto"/>
        </w:rPr>
        <w:t>Curtailment of government-guaranteed loan programs could affect a segment of our business.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significant segment of our business consists of originating and periodically selling U.S. government-guaranteed loans, in particular those guaranteed by the SBA. Presently, pursuant to the Consolidated Appropriations Act, the SBA guarantees 90% of the principal amount of each qualifying SBA loan originated under the SBA’s 7(a) loan program (excluding PPP loans) through October 1, 2021. After this date, the SBA will guarantee 75% to 85% of the principal amount of qualifying loans originated under the 7(a) loan program (excluding PPP loans).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quarter ended June 30, 2021 was $11.1 million compared to $16.4 million for the same quarter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participating lender in the SBA’s PPP, we are subject to added risks, including credit, fraud, and litigation risks.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2020, we began processing loan applications under the PPP as an eligible lender with the benefit of a government guarantee of loans to small business clients, many of whom may face difficulties even after being granted such a loan. PPP loans have contributed to our loan growth since March 31, 2020. However, PPP loan growth depends on governmental action to renew and fund the program. On March 30, 2021, the PPP Extension Act of 2021 (“PPP Extension Act”), which extended the deadline to apply for a PPP loan through May 31, 2021, was signed into law.</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participant in the PPP, we face increased risks, particularly in terms of credit, fraud, and litigation risks.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in all instances and in certain other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additional credit risk with respect to PPP loans if a determination is made by the SBA that there is a deficiency in the manner in which the loan was originated, funded, or serviced,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guarantee, reduce the amount of the guarantee, or, if it has already paid under the guarantee, seek recovery of any loss related to the deficiency from the Bank.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PPP 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line="291" w:lineRule="auto"/>
        <w:rPr>
          <w:sz w:val="20"/>
          <w:szCs w:val="20"/>
          <w:color w:val="auto"/>
        </w:rPr>
      </w:pPr>
      <w:r>
        <w:rPr>
          <w:rFonts w:ascii="Arial" w:cs="Arial" w:eastAsia="Arial" w:hAnsi="Arial"/>
          <w:sz w:val="16"/>
          <w:szCs w:val="16"/>
          <w:color w:val="auto"/>
        </w:rPr>
        <w:t>Furthermore, 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w:t>
      </w:r>
    </w:p>
    <w:p>
      <w:pPr>
        <w:jc w:val="both"/>
        <w:ind w:firstLine="8"/>
        <w:spacing w:after="0" w:line="273" w:lineRule="auto"/>
        <w:tabs>
          <w:tab w:leader="none" w:pos="3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loans, relating to these or other matters. Also, many financial institutions throughout the country have been named in putative class actions regarding the alleged nonpayment of fees that may be due to certain agents who facilitated PPP loan applications. Although many of these actions have been resolved in favor of banks participating in the PPP, the costs and effects of litigation related to PPP participation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Farmland real estate loans and volatility in commodity prices may adversely affect our financial condition and results of operations.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2021, farmland loans were $48.9 million, or 3.07% of our total loan portfolio. Farmland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an adverse effect on our business,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farmland real estate loans may involve a greater degree of risk than other types of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operations and meet our obligations as they become due.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FRBSF to fund our operations. We may also borrow funds from third-party lenders, such as other financial institutions, and may have access to other funding avenues, such as liquidity facilities that the Federal Reserve may establish from time to time.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the soundness of other financial institutions.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framework may not be effective in mitigating risks and/or losses to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in lending secured by real estate and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both"/>
        <w:spacing w:after="0" w:line="282" w:lineRule="auto"/>
        <w:rPr>
          <w:sz w:val="20"/>
          <w:szCs w:val="20"/>
          <w:color w:val="auto"/>
        </w:rPr>
      </w:pPr>
      <w:r>
        <w:rPr>
          <w:rFonts w:ascii="Arial" w:cs="Arial" w:eastAsia="Arial" w:hAnsi="Arial"/>
          <w:sz w:val="18"/>
          <w:szCs w:val="18"/>
          <w:b w:val="1"/>
          <w:bCs w:val="1"/>
          <w:color w:val="auto"/>
        </w:rPr>
        <w:t>Regulatory requirements affecting our loans secured by commercial real estate could limit our ability to leverage our capital and adversely affect our growth and profitability.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From June 30, 2020 through June 30, 2021, our commercial real estate loan balances have increased by $203.2 million. As of June 30, 2021, commercial real estate loans represent 467.17% of our total risk-based capital.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environmental risks and associated costs on our foreclosed real estate assets.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loan portfolio is secured by real property. During the ordinary course of business, we may foreclose on and take title to properties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recovery on commercial real estate loans could be further reduced by a lack of a liquid secondary market for such mortgage loans and mortgage-backed securities.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current business strategy includes an emphasis on commercial real estate lending. Although we sold $20.0 million of loans in the six months ended June 30, 2021, none of which were commercial real estate loans,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appraisals and other valuation techniques we use in evaluating and monitoring loans secured by real property and OREO may not accurately reflect the net value of the asset.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ind w:right="20"/>
        <w:spacing w:after="0" w:line="282" w:lineRule="auto"/>
        <w:rPr>
          <w:sz w:val="20"/>
          <w:szCs w:val="20"/>
          <w:color w:val="auto"/>
        </w:rPr>
      </w:pPr>
      <w:r>
        <w:rPr>
          <w:rFonts w:ascii="Arial" w:cs="Arial" w:eastAsia="Arial" w:hAnsi="Arial"/>
          <w:sz w:val="18"/>
          <w:szCs w:val="18"/>
          <w:b w:val="1"/>
          <w:bCs w:val="1"/>
          <w:color w:val="auto"/>
        </w:rPr>
        <w:t>Federal, state, and local consumer lending laws may restrict our or our partners’ ability to originate certain loans or increase our risk of liability with respect to such loans.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consumer protection initiatives or changes in state or federal law, including the CARES Act and its automatic loan forbearance provisions,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largest loan relationships make up a material percentage of our total loan portfolio and credit risks relating to these would have a disproportionate impact.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our 30 largest borrowing relationships ranged from approximately $11.0 million to $47.1 million (including unfunded commitments) and totaled approximately $588.9 million in total commitments (representing, in the aggregate, 37.05% of our total loans held for investment as of June 30, 2021).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June 30, 2021, our 23 largest deposit relationships, each accounting for more than $10.0 million, accounted for $791.0 million, or 38.28%, of our total deposits. This includes $337.3 million of our total deposits held by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Our allowance for loan losses may be inadequate to absorb losses inherent in the loan portfolio.</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loan losses that represents management’s judgment of probable losses and risks inherent in our loan portfolio. In determining the size of our allowance for loan losses, we rely on an analysis of our loan portfolio considering historical loss experience, volume and types of loans, trends in classification, volume and trends in delinquencies and nonaccruals, economic conditions, and other pertinent information. The determination of the appropriate level of the allowance for loan losses is inherently highly subjective and requires us to make significant estimates of and assumptions regarding current credit risk and future trends, all of which may change materially. Although we endeavor to maintain our allowance for loan losses at a level adequate to absorb any inherent losses in the loan portfolio, these estimates of loan losses are necessarily subjective, and their accuracy depends on the outcome of future events. At June 30, 2021, the allowance for loan losses was $22.2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loan losses in excess of our current allowance for loan losses, requiring us to make material additions to our allowance for loan losses, which could have an adverse effect on our business, financial condition, and results of operations.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provision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Finally, the FASB has issued a new accounting standard that will replace the current approach under GAAP for establishing allowances for loan and lease losses,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will be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recognize losses on investment securities held in our securities portfolio, particularly if interest rates increase or economic and market conditions deteriorate.</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2021, the book value of our investment securities portfolio was approximately $166.5 million. As of the same date, 23.61% of our investments were U.S. government or U.S. government agency securities.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instability in the capital markets. Any of these factors, among others, could cause OTTIs and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We depend on the accuracy and completeness of information provided by customers and counterparties.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highly regulated, and the regulatory framework, together with any future legislative or regulatory changes, may have a materially adverse effect on our operations.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banking industry is highly regulated and supervised under both federal and state laws and regulations that are intended primarily for the protection of depositors, customers, the public, the banking system as a whole, or the FDIC Deposit Insurance Fund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or regulatory policies and interpretations of such laws and regulations, could result in sanctions by regulatory agencies, civil money penalties, or damage to our reputation, all of which could have an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spacing w:after="0" w:line="279" w:lineRule="auto"/>
        <w:rPr>
          <w:sz w:val="20"/>
          <w:szCs w:val="20"/>
          <w:color w:val="auto"/>
        </w:rPr>
      </w:pPr>
      <w:r>
        <w:rPr>
          <w:rFonts w:ascii="Arial" w:cs="Arial" w:eastAsia="Arial" w:hAnsi="Arial"/>
          <w:sz w:val="17"/>
          <w:szCs w:val="17"/>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in a manner that impacts our ability to implement our strategy and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Monetary policies and regulations of the Federal Reserve could have an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regulators periodically examine our business and may require us to remediate adverse examination findings or may take enforcement action against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our Bank into receivership or conservatorship. Any regulatory enforcement action against us could have an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We are subject to stringent capital requirements, which could have an adverse effect on our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leverage ratio of Tier 1 capital to total consolidated assets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under the Federal Reserve’s Small Bank Holding Company Policy Statement, which exempts from the Federal Reserve’s risk-based capital and leverage rules bank holding companies with total consolidated assets of less than $3.0 billion that are not engaged in significant nonbanking activities, do not conduct significant off-balance sheet activities, and do not have a material amount of debt or equity securities registered with the SEC.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changes to this practice may result in the loss of our status as a small bank holding company for these purposes.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Consumer Financial Protection Bureau (“CFPB”), are responsible for enforcing these fair and responsible banking laws and regulations. Smaller banks, including the Bank, are subject to rules promulgated by the CFPB but continue to be examined and supervised by federal banking agencies for compliance with federal consumer protection laws and regulations. Accordingly, CFPB rulemaking has the potential to have a significant impact on the operations of the Bank.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spacing w:after="0" w:line="266" w:lineRule="auto"/>
        <w:rPr>
          <w:sz w:val="20"/>
          <w:szCs w:val="20"/>
          <w:color w:val="auto"/>
        </w:rPr>
      </w:pPr>
      <w:r>
        <w:rPr>
          <w:rFonts w:ascii="Arial" w:cs="Arial" w:eastAsia="Arial" w:hAnsi="Arial"/>
          <w:sz w:val="18"/>
          <w:szCs w:val="18"/>
          <w:b w:val="1"/>
          <w:b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and otherwise adversely affect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Gramm-Leach-Bliley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opt-out of the sale of personal information, and to non-discrimination for exercising these rights.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bank holding company and are dependent upon the Bank for cash flow, and the Bank’s ability to make cash distributions is restricted.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The Federal Reserve may require us to commit capital resources to support the Bank.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a risk of noncompliance and enforcement action with the Bank Secrecy Act and other anti-money laundering statutes and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Secrecy Act of 1970, the Uniting and Strengthening America by Providing Appropriate Tools Required to Intercept and Obstruct Terrorism Act of 2001,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U.S. Department of the Treasury’s Office of Foreign Assets Control,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Bank’s FDIC deposit insurance premiums and assessments may increase.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Bank’s deposits are insured by the FDIC up to legal limits and, accordingly, our Bank is subject to insurance assessments based on our Bank’s average consolidated total assets less its average tangible equity. Our Bank’s regular assessments are determined by its CAMELS composite rating (a supervisory rating system developed to classify a bank’s overall condition by taking into account capital adequacy, assets, management capability, earnings, liquidity, and sensitivity to market and interest rate risk), taking into account other factors and adjustments. In order to maintain a strong funding position and the reserve ratios of the DIF required by statute and FDIC estimates of projected requirements, the FDIC has the power to increase deposit insurance assessment rates and impose special assessments on all FDIC-insured financial institutions. Any future increases or special assessments could reduce our profitability and could have an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right="20"/>
        <w:spacing w:after="0" w:line="282" w:lineRule="auto"/>
        <w:rPr>
          <w:sz w:val="20"/>
          <w:szCs w:val="20"/>
          <w:color w:val="auto"/>
        </w:rPr>
      </w:pPr>
      <w:r>
        <w:rPr>
          <w:rFonts w:ascii="Arial" w:cs="Arial" w:eastAsia="Arial" w:hAnsi="Arial"/>
          <w:sz w:val="18"/>
          <w:szCs w:val="18"/>
          <w:b w:val="1"/>
          <w:bCs w:val="1"/>
          <w:color w:val="auto"/>
        </w:rPr>
        <w:t>The planned discontinuation of LIBOR as a benchmark interest rate and a transition to an alternative reference interest rate could present operational problems and result in market disruption.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administrator of the LIBOR will publish most tenors of LIBOR for U.S. dollars (“USD”) through June 30, 2023 and permanently cease publication of the 1-week and 2-month USD LIBOR settings following December 31, 2021. The Federal Reserve and other federal banking agencies have encouraged banks to transition away from LIBOR as soon as practicable. Although we expect that the capital and debt markets will cease to use LIBOR as a benchmark in the near future, we cannot predict what impact such a transition may have on our business, financial condition, and results of operations.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Reserve, based on the recommendations of the Federal Reserve Bank of New York’s Alternative Reference Rate Committee, has begun publishing the Secured Overnight Funding Rate (“SOFR”) which is intended to replace LIBOR. Additionally, on April 6, 2021, New York Governor Cuomo signed into law legislation that provides for the substitution of SOFR in any LIBOR-based contract governed by New York state law that does not include clear fallback language, once LIBOR is discontinued.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 We cannot predict whether the SOFR or another alternative rate will become the market benchmark in place of LIBOR.</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 price may be volatile, and we may not be able to meet investor or analyst expectations. You may not be able to resell your shares at or above the price you paid and may lose part or all of your investment as a result.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price volatility may negatively impact the price at which our common stock may be sold and may also negatively impact the timing of any sale. We cannot assure you that the market price of our shares on the Nasdaq Stock Market LLC (“Nasdaq”) will equal or exceed prices in privately negotiated transactions of our shares that have occurred from time to time before our IPO. Our stock price may fluctuate widely in response to a variety of factors including the risk factors described herein and, among other things:</w:t>
      </w:r>
    </w:p>
    <w:p>
      <w:pPr>
        <w:spacing w:after="0" w:line="187"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 financial conditions, or credit quality;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business or economic conditions;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recommendations or research reports about us or the financial services industry in general published by securities analysts;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securities analysts to cover, or to continue to cover, us;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or publication of research reports and recommendations by financial analysts or actions taken by rating agencies with respect to us or other financial institutions;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reports related to the impact of natural or manmade disasters in our market;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in the marketplace regarding us and or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sudden increases in the demand for our common stock, including as a result of any “short squeezes”;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left="800" w:hanging="401"/>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investments from third parties;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or issuance of additional shares of common stock;</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thereof, affecting our business, or enforcement of these laws or regulations;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investments from third parties;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pandemics, or military conflicts.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trading price of our common stock over the short, medium or long term, regardless of our actual performance.</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jc w:val="both"/>
        <w:ind w:right="20"/>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significant shareholders have the ability to control significant corporate activities and our significant shareholders’ interests may not coincide with yours.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management has broad discretion in allocating the net proceeds of our IPO. Our failure to effectively utilize such net proceeds may have an adverse effect on our financial performance and the value of our common stock.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distributions to certain of our shareholders in May 2021, we may use the net proceeds of our IPO to increase the capital of the Bank in order to support our organic growth strategies, including expanding our overall market share, to strengthen our regulatory capital and for working capital and other general corporate purposes. However, we are not required to apply any portion of the net proceeds of our IPO for any particular purpose, and our management could use them for purposes other than those contemplated at the time of the IPO. Accordingly, our management will have broad discretion in the application of the net proceeds from the IPO, and you will be relying on the judgment of our management regarding the application of these proceeds. You will not have the opportunity to assess whether we are using the proceeds appropriately. Our management might not apply our net proceeds in ways that ultimately increase the value of your investment. If we do not invest or apply the net proceeds from our IPO in ways that enhance shareholder value, we may fail to achieve expected financial results, which could cause our stock price to decline.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may be unable to attract or sustain research coverage by securities and industry analysts. If no securities or industry analysts cover our company, the trading price for our stock would likely be negatively impacted. If we obtain securities or industry analyst coverage and if one or more of the analysts who covers us downgrades our stock or publishes inaccurate or unfavorable research about our business, our stock price would likely decline. If we fail to meet the expectations of analysts for our operating results, our stock price would likely decline. If one or more of these analysts ceases coverage of us or fails to publish reports on us regularly, demand for our stock could decrease, which could cause our stock price and trading volume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pay dividends on our common stock in the future, and our ability to pay dividends is subject to certain restrictions.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both"/>
        <w:spacing w:after="0" w:line="282" w:lineRule="auto"/>
        <w:rPr>
          <w:sz w:val="20"/>
          <w:szCs w:val="20"/>
          <w:color w:val="auto"/>
        </w:rPr>
      </w:pPr>
      <w:r>
        <w:rPr>
          <w:rFonts w:ascii="Arial" w:cs="Arial" w:eastAsia="Arial" w:hAnsi="Arial"/>
          <w:sz w:val="18"/>
          <w:szCs w:val="18"/>
          <w:b w:val="1"/>
          <w:bCs w:val="1"/>
          <w:color w:val="auto"/>
        </w:rPr>
        <w:t>The holders of our debt obligations and preferred stock, if any, have priority over our common stock with respect to payment in the event of liquidation, dissolution, or winding up and with respect to the payment of interest and 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well as any preferred stock that has been issued. As of June 30, 2021, we had outstanding an aggregate of $28.4 million of subordinated notes, net of debt issuance costs, and we did not have any outstanding preferred stock or trust preferred securities. We could incur such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will be required to pay interest on the subordinated notes and dividends on the trust preferred securities and preferred stock before we will be able to pay any dividends on our common stock.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California corporate law and provisions of our amended and restated articles of incorporation (“amended articles of incorporation”) and our amended and restated bylaws (“amended bylaws”)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amended articles of incorporation and amended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amended bylaws have an exclusive forum provision, which could limit a shareholder’s ability to obtain a favorable judicial forum for disputes with us or our directors, officers, or other employees.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or officers or other employees arising pursuant to any provision of the General Corporation Law of California or the amended articles of incorporation or the amended bylaws or (iv) any action asserting a claim against us or any of our directors or officers or other employees that is governed by the internal affairs doctrine. Our amended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amended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spacing w:after="0" w:line="282" w:lineRule="auto"/>
        <w:rPr>
          <w:sz w:val="20"/>
          <w:szCs w:val="20"/>
          <w:color w:val="auto"/>
        </w:rPr>
      </w:pPr>
      <w:r>
        <w:rPr>
          <w:rFonts w:ascii="Arial" w:cs="Arial" w:eastAsia="Arial" w:hAnsi="Arial"/>
          <w:sz w:val="18"/>
          <w:szCs w:val="18"/>
          <w:b w:val="1"/>
          <w:bCs w:val="1"/>
          <w:color w:val="auto"/>
        </w:rPr>
        <w:t>Prior to our IPO, we were treated as an S Corporation, and claims of taxing authorities related to our prior status as an S Corporation could adversely affect us.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consummation of our IPO, our status as an S Corporation terminated and we commenced treatment as a C Corporation under the provisions of Sections 301 through 385 of the Internal Revenue Code, which treat the corporation as an entity that is subject to U.S. federal income tax. If the unaudited, open tax years in which we were an S Corporation are audited by the IRS, and we are determined not to have qualified for, or to have violated any requirement for maintaining, our S Corporation status, we will be obligated to pay back taxes, interest, and penalties. The amounts that we would be obligated to pay could include taxes on all our taxable income while we were an S Corporation. Any such claims could result in additional costs to us and could have an adverse effect on our business, financial condition, and results of operations.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entered into a Tax Sharing Agreement with most of our shareholders who owned our common stock prior to our IPO and could become obligated to make payments to such shareholders for any additional federal, state, or local income taxes assessed against them for tax periods prior to the completion of our IPO.</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historically were treated as an S Corporation for U.S. federal income tax purposes, and our shareholders prior to our IPO were taxed on our net income. Therefore, such shareholders received distributions, referred to as tax distributions, from us that were generally intended to equal the amount of tax the existing shareholders were required to pay with respect to our income. In connection with our IPO, our S Corporation status terminated, and we are now subject to federal and increased California income taxes. In the event of an adjustment to our reported taxable income for periods prior to termination of our S Corporation status, it is possible that our shareholders who owned our common stock prior to our IPO would be liable for additional income taxes for those prior periods. Pursuant to the Tax Sharing Agreement,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our shareholders who owned our common stock prior to our IPO, who accepted distribution of the estimated balance of our federal accumulated adjustments account under the Tax Sharing Agreement, in an amount equal to such shareholders’ incremental tax liability (including interest and penalties), which amount may be material.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In both cases the amount of the payment will be based on the assumption that our shareholders are taxed at the highest federal and state income tax rates applicable to married individuals filing jointly and residing in California for the relevant periods. Our shareholders who owned our common stock prior to our IPO and accepted distribution of the estimated balance of our federal accumulated adjustments account under the Tax Sharing Agreement will, severally and not jointly, indemnify us with respect to our unpaid income tax liabilities (including interest and penalties) to the extent that such unpaid income tax liabilities are attributable to a decrease in any such shareholder’s taxable income for any tax period and a corresponding increase in our taxable income for any period (but only to the extent of the amount by which the shareholder’s tax liability is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investment in our common stock is not an insured deposit.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and will continue to, increase our legal and financial compliance costs, make some activities more difficult, time-consuming, or costly, and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the impact of actions to mitigate the spread of the virus could adversely affect our business, financial condition, and results of operations.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Federal, state, and local governments have enacted various restrictions in an attempt to limit the spread of COVID-19. Such measures have disrupted economic activity and contributed to job losses and reductions in consumer and business spending. In response to the economic and financial effects of COVID-19, the Federal Reserve has sharply reduced interest rates (which we expect will likely remain low for a considerable period) and instituted quantitative easing measures as well as domestic and global capital market support programs. In addition, the current and prior presidential administrations, Congress, various federal agencies, and state governments have taken measures to address the economic and social consequences of the pandemic, including the passage of the CARES Act, which was enacted on March 27, 2020, the Consolidated Appropriations Act, which was enacted on December 27, 2020, and the American Rescue Plan Act of 2021 (“American Rescue Plan Act”), which was enacted on March 11, 2021. The CARES Act provided wide-ranging economic relief for individuals and businesses impacted by COVID-19, and the Consolidated Appropriations Act and American Rescue Plan Act extended some of these relief provisions in certain respects as well as provided other forms of relief.</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CARES Act established and provided $349 billion in funding for the PPP, a loan program administered by the SBA. Under the PPP, small businesses, sole proprietorships, independent contractors, and self-employed individuals may apply for forgivable loans from existing SBA lenders and other approved regulated lenders that enroll in the program, subject to numerous limitations and eligibility criteria. Congress appropriated additional funding to the PPP on April 24, 2020, and amended the PPP on June 5, 2020 to make the terms of the PPP loans and loan forgiveness more flexible. The Consolidated Appropriations Act provided additional funding for the PPP and allowed eligible borrowers, including certain borrowers who already received a PPP loan, to apply for PPP loans through March 31, 2021. The American Rescue Plan Act expanded the eligibility criteria for both first and second draw PPP loans and revised the exclusions from payroll costs for purposes of loan forgiveness. On March 30, 2021, the PPP Extension Act, which extended the deadline to apply for a PPP loan through May 31, 2021, was signed into law. In April 2020, we began processing loan applications under the PPP.</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CARES Act and related guidance from the federal banking agencies provide financial institutions the option to temporarily suspend requirements under GAAP related to classification of certain loan modifications as TDRs to account for the current and anticipated effects of COVID-19. 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made a high level of loan modifications under our deferred payment program. Further, our loan portfolio includes loans that are in forbearance but which are not classified as TDRs because they were current at the time forbearance began. When the forbearance periods end, we may be required to classify a substantial portion of these COVID-19 deferments as TDRs.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CARES Act and the Consolidated Appropriations Act also include a range of other provisions designed to support the U.S. economy and mitigate the impact of COVID-19 on financial institutions and their customers, including through the authorization of various programs and measures that the U.S. Department of the Treasury, the Federal Reserve, and other federal agencies may be or are required to implement. Among other provisions, sections 4022 and 4023 of the CARES Act provide mortgage loan forbearance relief to certain borrowers experiencing financial hardship during the COVID-19 emergency. Moreover, if federal stimulus measures and emergency lending programs are not effective in mitigating the effect of the COVID-19 pandemic, credit issues for our loan customers may be severe and adversely affect our business, results of operations, and financial condition more substantially over a longer period of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t>In response to the COVID-19 pandemic, all of the federal banking regulatory agencies have encouraged lenders to extend additional loans, and the federal government is considering additional stimulus and support legislation focused on providing aid to various sectors, including small businesses. The full impact on our lending and other business activities as a result of new government and regulatory policies, programs and guidelines, as well as regulators’ reaction to such activities, remains uncertain.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continuation of the economic effects of the COVID-19 pandemic has had a destabilizing effect on financial markets, key market indices and overall economic activity. The uncertainty regarding the duration of the pandemic and the resulting economic disruption has caused increased market volatility and has led to an economic recession and a significant decrease in consumer confidence and business generally. The continuation of these conditions (including whether due to a resurgence or additional waves or variants of COVID-19 infections, particularly as the geographic areas in which we operate determine whether and when to re-open, and how quickly and to what extent normal economic and operating conditions can resume, especially as a vaccine becomes widely available), as well as the impacts of the CARES Act and other federal and state measures, specifically with respect to loan forbearances, has adversely affected our business, financial condition, and results of operations, and has and can be expected to further adversely impact our business, financial condition, and results of operations and the operations of our borrowers, customers and business partners. In particular, these events have had, and/or can be expected to continue to have, the following effects, among others:</w:t>
      </w:r>
    </w:p>
    <w:p>
      <w:pPr>
        <w:spacing w:after="0" w:line="181" w:lineRule="exact"/>
        <w:rPr>
          <w:sz w:val="20"/>
          <w:szCs w:val="20"/>
          <w:color w:val="auto"/>
        </w:rPr>
      </w:pPr>
    </w:p>
    <w:p>
      <w:pPr>
        <w:ind w:left="800" w:hanging="401"/>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 the ability of borrowers to repay outstanding loans or other obligations, resulting in increases in delinquencies and modifications to loans;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value of collateral securing loans (particularly with respect to real estate);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value of our assets, including our securities portfolio, goodwill, and intangible assets;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an increase in our allowance for credit losses;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the stability of our deposit base or otherwise impair our liquidity;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our revenues from fee-based services;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negatively impact our self-insurance healthcare costs;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 in increased compliance risk as we become subject to new regulatory and other requirements, including new and changing guidance, associated with the PPP and other new programs in which we have participated;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ability of loan guarantors to honor commitments;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negatively impact our regulatory capital ratios;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negatively impact the productivity and availability of key personnel necessary to conduct our business, and of third-party service providers who perform critical services for us, or otherwise cause operational failures due to changes in our normal business practices necessitated by the pandemic and related governmental actions; and</w:t>
      </w:r>
    </w:p>
    <w:p>
      <w:pPr>
        <w:spacing w:after="0" w:line="183"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cyber and payment fraud risk and other operational risks, given increased online and remote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Prolonged measures by health or other governmental authorities encouraging or requiring significant restrictions on travel, assembly, or other core business practices could further harm our business and those of our customers, in particular our small to medium-sized business customers. Although we have business continuity plans and other safeguards in place, there is no assurance that they will be effective.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ultimate impact of these factors over the longer term is uncertain and we do not yet know the full extent of the impacts on our business, our operations, or the global economy as a whole, nor the pace of economic recovery when the COVID-19 pandemic subsides, the decline in economic conditions generally, and a prolonged negative impact on small to medium-sized businesses in particular, due to COVID-19 is likely to result in an adverse effect on our business, financial condition, and results of operations in future periods, and may heighten many of our known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our management team and key employees.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is largely dependent upon our ability to successfully execute our business strategy.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We may pursue strategic acquisitions in the future, and we may not be able to overcome risks associated with such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or acquisition activities could be material to our business and involve a number of risks including the following:</w:t>
      </w:r>
    </w:p>
    <w:p>
      <w:pPr>
        <w:spacing w:after="0" w:line="225" w:lineRule="exact"/>
        <w:rPr>
          <w:sz w:val="20"/>
          <w:szCs w:val="20"/>
          <w:color w:val="auto"/>
        </w:rPr>
      </w:pPr>
    </w:p>
    <w:p>
      <w:pPr>
        <w:ind w:left="80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the combined businesses;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the target institution or assets;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impairment to goodwill or OTTI of investment securities;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key employees or key customers following our investment or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lines of business, products, product enhancements, or services may subject us to additional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Our reputation is critical to our business, and damage to it could have an adverse effect on 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publicity about us, whether or not accurate, may also damage our reputation, which could have an adverse effect on our business, financial condition, and results of operations.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could be interrupted if our third-party service providers experience difficulty, terminate their services, or fail to comply with banking regulations.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third-party service providers, and banking organizations’ relationships with those providers, are subject to demanding regulatory requirements and attention by bank regulators.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spacing w:after="0" w:line="282"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damage to our reputation, and other potential losses.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Failures in, or breaches of, our computer systems and network infrastructure, or those of our third-party vendors or other service providers, including as a result of cyber-attacks, could disrupt our business, result in the disclosure or misuse of confidential or proprietary information, damage our reputation,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significant liability to us and damage to our reputation and may discourage current and potential customers from using our internet banking services. Our security measures, including firewalls and penetration testing, may not prevent or detect future potential losses from system failures or cybersecurity breaches.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normal course of business, we collect, process, and retain sensitive and confidential information regarding our customers. Although we devote significant resources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supervisory criticism,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security risks for financial institutions like us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our business could be disrupted by natural or man-made disasters.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our offices, a significant portion of the real estate securing loans we make, and our borrowers’ business operations in general, are located in California. California has had and will continue to have major earthquakes in areas where a significant portion of the collateral and assets of our borrowers are concentrated. California is also prone to fires, mudslides, floods, and other natural disasters, such as the recent fires that impacted several counties in California, including Orange and Napa. Additionally, acts of terrorism, war, civil unrest, violence, or other man-made disasters could also cause disruptions to our business or to the economy as a whole. The occurrence of natural or man-made disasters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could have an adverse effect on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spacing w:after="0" w:line="282" w:lineRule="auto"/>
        <w:rPr>
          <w:sz w:val="20"/>
          <w:szCs w:val="20"/>
          <w:color w:val="auto"/>
        </w:rPr>
      </w:pPr>
      <w:r>
        <w:rPr>
          <w:rFonts w:ascii="Arial" w:cs="Arial" w:eastAsia="Arial" w:hAnsi="Arial"/>
          <w:sz w:val="18"/>
          <w:szCs w:val="18"/>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normal course of business, from time to time,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an extensive body of accounting rules and best practices. Periodic changes to such rules may change the treatment and recognition of critical financial line items.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loan losses on the basis of the current expected loan losses over the lifetime of our loans, which is expected to be applicable to us beginning in 2023, and may result in increases in our allowance for loan losses and future provisions for loan losses; and (ii) record the value of and liabilities relating to operating leases on our balance sheet, which is expected to be applicable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accuracy of our consolidated financial statements and related disclosures could be affected if the judgments, assumptions, or estimates used in our critical accounting policies are inaccurate.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Quarterly Report on Form 10-Q,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 xml:space="preserve">Unregistered Sales of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7, 2021 we completed our IPO of 6,054,750 shares of our common stock at an IPO price of $20.00 per share, including 789,750 shares pursuant to the exercise of the underwriters’ option to purchase additional shares of our common stock. We raised approximately $111.2 million in net proceeds after deducting underwriting discounts and commissions of approximately $8.5 million and certain estimated offering expenses payable by us of approximately of $1.3 million. Net proceeds less audit fees, legal fees, listing fees, and other expenses of $2.1 million totaled $109.1 million. Keefe, Bruyette &amp; Woods, Inc. acted as bookrunner for the IPO, and Stephens Inc. and D.A. Davidson acted as co-managers. None of the expenses associated with the IPO were paid to directors, officers, affiliates, persons owning 10% or more of any class of equity securities, or their associates.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the shares issued and sold in our IPO were registered under the Securities Act pursuant to a Registration Statement on Form S-1 (File No. 333-255143), which was declared effective by the SEC on May 4, 2021. There has been no material change in the planned use of proceeds from our IPO from those disclosed in our final prospectus dated as of May 4, 2021 and filed with the SEC pursuant to Rule 424(b)(4) on May 6, 2021, including a cash distribution in the amount of $27.0 million to our shareholders of record as of May 3, 2021, paid on May 21, 2021.</w:t>
      </w:r>
    </w:p>
    <w:p>
      <w:pPr>
        <w:spacing w:after="0" w:line="171" w:lineRule="exact"/>
        <w:rPr>
          <w:sz w:val="20"/>
          <w:szCs w:val="20"/>
          <w:color w:val="auto"/>
        </w:rPr>
      </w:pPr>
    </w:p>
    <w:p>
      <w:pPr>
        <w:ind w:right="8320" w:firstLine="8"/>
        <w:spacing w:after="0" w:line="498" w:lineRule="auto"/>
        <w:tabs>
          <w:tab w:leader="none" w:pos="2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 xml:space="preserve">Issuer Purchases of Equity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references to filings previously made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Exhibit Number</w:t>
            </w:r>
          </w:p>
        </w:tc>
        <w:tc>
          <w:tcPr>
            <w:tcW w:w="36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Exhibit Description</w:t>
            </w:r>
          </w:p>
        </w:tc>
        <w:tc>
          <w:tcPr>
            <w:tcW w:w="8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vMerge w:val="restart"/>
          </w:tcPr>
          <w:p>
            <w:pPr>
              <w:ind w:left="26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25"/>
        </w:trPr>
        <w:tc>
          <w:tcPr>
            <w:tcW w:w="1960" w:type="dxa"/>
            <w:vAlign w:val="bottom"/>
            <w:vMerge w:val="continue"/>
          </w:tcPr>
          <w:p>
            <w:pPr>
              <w:spacing w:after="0"/>
              <w:rPr>
                <w:sz w:val="19"/>
                <w:szCs w:val="19"/>
                <w:color w:val="auto"/>
              </w:rPr>
            </w:pPr>
          </w:p>
        </w:tc>
        <w:tc>
          <w:tcPr>
            <w:tcW w:w="3600" w:type="dxa"/>
            <w:vAlign w:val="bottom"/>
            <w:vMerge w:val="continue"/>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8"/>
                <w:szCs w:val="18"/>
                <w:b w:val="1"/>
                <w:bCs w:val="1"/>
                <w:color w:val="auto"/>
              </w:rPr>
              <w:t>Form</w:t>
            </w: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102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520" w:type="dxa"/>
            <w:vAlign w:val="bottom"/>
          </w:tcPr>
          <w:p>
            <w:pPr>
              <w:ind w:left="260"/>
              <w:spacing w:after="0"/>
              <w:rPr>
                <w:sz w:val="20"/>
                <w:szCs w:val="20"/>
                <w:color w:val="auto"/>
              </w:rPr>
            </w:pPr>
            <w:r>
              <w:rPr>
                <w:rFonts w:ascii="Arial" w:cs="Arial" w:eastAsia="Arial" w:hAnsi="Arial"/>
                <w:sz w:val="18"/>
                <w:szCs w:val="18"/>
                <w:b w:val="1"/>
                <w:bCs w:val="1"/>
                <w:color w:val="auto"/>
              </w:rPr>
              <w:t>Filing Date</w:t>
            </w: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88" w:right="579" w:bottom="1440" w:gutter="0" w:footer="0" w:header="0"/>
        </w:sectPr>
      </w:pPr>
    </w:p>
    <w:tbl>
      <w:tblPr>
        <w:tblLayout w:type="fixed"/>
        <w:tblInd w:w="480" w:type="dxa"/>
        <w:tblCellMar>
          <w:top w:w="0" w:type="dxa"/>
          <w:left w:w="0" w:type="dxa"/>
          <w:bottom w:w="0" w:type="dxa"/>
          <w:right w:w="0" w:type="dxa"/>
        </w:tblCellMar>
      </w:tblPr>
      <w:tr>
        <w:trPr>
          <w:trHeight w:val="200"/>
        </w:trPr>
        <w:tc>
          <w:tcPr>
            <w:tcW w:w="780" w:type="dxa"/>
            <w:vAlign w:val="bottom"/>
          </w:tcPr>
          <w:p>
            <w:pPr>
              <w:jc w:val="center"/>
              <w:ind w:right="390"/>
              <w:spacing w:after="0" w:line="200" w:lineRule="exact"/>
              <w:rPr>
                <w:sz w:val="20"/>
                <w:szCs w:val="20"/>
                <w:color w:val="auto"/>
              </w:rPr>
            </w:pPr>
            <w:r>
              <w:rPr>
                <w:rFonts w:ascii="Arial" w:cs="Arial" w:eastAsia="Arial" w:hAnsi="Arial"/>
                <w:sz w:val="18"/>
                <w:szCs w:val="18"/>
                <w:color w:val="auto"/>
                <w:w w:val="87"/>
              </w:rPr>
              <w:t>3.1</w:t>
            </w:r>
          </w:p>
        </w:tc>
        <w:tc>
          <w:tcPr>
            <w:tcW w:w="4400" w:type="dxa"/>
            <w:vAlign w:val="bottom"/>
            <w:gridSpan w:val="15"/>
          </w:tcPr>
          <w:p>
            <w:pPr>
              <w:spacing w:after="0" w:line="200" w:lineRule="exact"/>
              <w:rPr>
                <w:sz w:val="20"/>
                <w:szCs w:val="20"/>
                <w:color w:val="auto"/>
              </w:rPr>
            </w:pPr>
            <w:r>
              <w:rPr>
                <w:rFonts w:ascii="Arial" w:cs="Arial" w:eastAsia="Arial" w:hAnsi="Arial"/>
                <w:sz w:val="18"/>
                <w:szCs w:val="18"/>
                <w:color w:val="auto"/>
                <w:w w:val="99"/>
              </w:rPr>
              <w:t>Amended and Restated Articles of Incorporation of Five</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0" w:lineRule="exact"/>
              <w:rPr>
                <w:sz w:val="20"/>
                <w:szCs w:val="20"/>
                <w:color w:val="auto"/>
              </w:rPr>
            </w:pPr>
            <w:r>
              <w:rPr>
                <w:rFonts w:ascii="Arial" w:cs="Arial" w:eastAsia="Arial" w:hAnsi="Arial"/>
                <w:sz w:val="18"/>
                <w:szCs w:val="18"/>
                <w:color w:val="auto"/>
                <w:w w:val="90"/>
              </w:rPr>
              <w:t>001-40379</w:t>
            </w:r>
          </w:p>
        </w:tc>
        <w:tc>
          <w:tcPr>
            <w:tcW w:w="800" w:type="dxa"/>
            <w:vAlign w:val="bottom"/>
          </w:tcPr>
          <w:p>
            <w:pPr>
              <w:jc w:val="center"/>
              <w:spacing w:after="0" w:line="200" w:lineRule="exact"/>
              <w:rPr>
                <w:sz w:val="20"/>
                <w:szCs w:val="20"/>
                <w:color w:val="auto"/>
              </w:rPr>
            </w:pPr>
            <w:r>
              <w:rPr>
                <w:rFonts w:ascii="Arial" w:cs="Arial" w:eastAsia="Arial" w:hAnsi="Arial"/>
                <w:sz w:val="18"/>
                <w:szCs w:val="18"/>
                <w:color w:val="auto"/>
                <w:w w:val="87"/>
              </w:rPr>
              <w:t>3.1</w:t>
            </w:r>
          </w:p>
        </w:tc>
        <w:tc>
          <w:tcPr>
            <w:tcW w:w="1320" w:type="dxa"/>
            <w:vAlign w:val="bottom"/>
          </w:tcPr>
          <w:p>
            <w:pPr>
              <w:jc w:val="center"/>
              <w:ind w:left="170"/>
              <w:spacing w:after="0" w:line="200" w:lineRule="exact"/>
              <w:rPr>
                <w:sz w:val="20"/>
                <w:szCs w:val="20"/>
                <w:color w:val="auto"/>
              </w:rPr>
            </w:pPr>
            <w:r>
              <w:rPr>
                <w:rFonts w:ascii="Arial" w:cs="Arial" w:eastAsia="Arial" w:hAnsi="Arial"/>
                <w:sz w:val="18"/>
                <w:szCs w:val="18"/>
                <w:color w:val="auto"/>
                <w:w w:val="89"/>
              </w:rPr>
              <w:t>June 17, 2021</w:t>
            </w:r>
          </w:p>
        </w:tc>
      </w:tr>
      <w:tr>
        <w:trPr>
          <w:trHeight w:val="216"/>
        </w:trPr>
        <w:tc>
          <w:tcPr>
            <w:tcW w:w="78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Arial" w:cs="Arial" w:eastAsia="Arial" w:hAnsi="Arial"/>
                <w:sz w:val="18"/>
                <w:szCs w:val="18"/>
                <w:color w:val="auto"/>
              </w:rPr>
              <w:t>Star Bancorp</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jc w:val="center"/>
              <w:ind w:right="390"/>
              <w:spacing w:after="0"/>
              <w:rPr>
                <w:sz w:val="20"/>
                <w:szCs w:val="20"/>
                <w:color w:val="auto"/>
              </w:rPr>
            </w:pPr>
            <w:r>
              <w:rPr>
                <w:rFonts w:ascii="Arial" w:cs="Arial" w:eastAsia="Arial" w:hAnsi="Arial"/>
                <w:sz w:val="18"/>
                <w:szCs w:val="18"/>
                <w:color w:val="auto"/>
                <w:w w:val="87"/>
              </w:rPr>
              <w:t>3.2</w:t>
            </w:r>
          </w:p>
        </w:tc>
        <w:tc>
          <w:tcPr>
            <w:tcW w:w="4400" w:type="dxa"/>
            <w:vAlign w:val="bottom"/>
            <w:gridSpan w:val="15"/>
          </w:tcPr>
          <w:p>
            <w:pPr>
              <w:spacing w:after="0"/>
              <w:rPr>
                <w:sz w:val="20"/>
                <w:szCs w:val="20"/>
                <w:color w:val="auto"/>
              </w:rPr>
            </w:pPr>
            <w:r>
              <w:rPr>
                <w:rFonts w:ascii="Arial" w:cs="Arial" w:eastAsia="Arial" w:hAnsi="Arial"/>
                <w:sz w:val="18"/>
                <w:szCs w:val="18"/>
                <w:color w:val="auto"/>
              </w:rPr>
              <w:t>Amended and Restated Bylaws of Five Star Bancorp</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001-40379</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89"/>
              </w:rPr>
              <w:t>June 17, 2021</w:t>
            </w:r>
          </w:p>
        </w:tc>
      </w:tr>
      <w:tr>
        <w:trPr>
          <w:trHeight w:val="190"/>
        </w:trPr>
        <w:tc>
          <w:tcPr>
            <w:tcW w:w="780" w:type="dxa"/>
            <w:vAlign w:val="bottom"/>
          </w:tcPr>
          <w:p>
            <w:pPr>
              <w:jc w:val="center"/>
              <w:ind w:right="390"/>
              <w:spacing w:after="0" w:line="190" w:lineRule="exact"/>
              <w:rPr>
                <w:sz w:val="20"/>
                <w:szCs w:val="20"/>
                <w:color w:val="auto"/>
              </w:rPr>
            </w:pPr>
            <w:r>
              <w:rPr>
                <w:rFonts w:ascii="Arial" w:cs="Arial" w:eastAsia="Arial" w:hAnsi="Arial"/>
                <w:sz w:val="18"/>
                <w:szCs w:val="18"/>
                <w:color w:val="auto"/>
                <w:w w:val="87"/>
              </w:rPr>
              <w:t>4.1</w:t>
            </w:r>
          </w:p>
        </w:tc>
        <w:tc>
          <w:tcPr>
            <w:tcW w:w="412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Form of Common Stock Certificate of Five Star Bancorp</w:t>
              </w:r>
            </w:hyperlink>
          </w:p>
        </w:tc>
        <w:tc>
          <w:tcPr>
            <w:tcW w:w="280" w:type="dxa"/>
            <w:vAlign w:val="bottom"/>
            <w:gridSpan w:val="3"/>
          </w:tcPr>
          <w:p>
            <w:pPr>
              <w:spacing w:after="0"/>
              <w:rPr>
                <w:sz w:val="16"/>
                <w:szCs w:val="16"/>
                <w:color w:val="auto"/>
              </w:rPr>
            </w:pPr>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333-255143</w:t>
            </w:r>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320" w:type="dxa"/>
            <w:vAlign w:val="bottom"/>
          </w:tcPr>
          <w:p>
            <w:pPr>
              <w:jc w:val="center"/>
              <w:ind w:left="170"/>
              <w:spacing w:after="0" w:line="190" w:lineRule="exact"/>
              <w:rPr>
                <w:sz w:val="20"/>
                <w:szCs w:val="20"/>
                <w:color w:val="auto"/>
              </w:rPr>
            </w:pPr>
            <w:r>
              <w:rPr>
                <w:rFonts w:ascii="Arial" w:cs="Arial" w:eastAsia="Arial" w:hAnsi="Arial"/>
                <w:sz w:val="18"/>
                <w:szCs w:val="18"/>
                <w:color w:val="auto"/>
                <w:w w:val="95"/>
              </w:rPr>
              <w:t>April 26, 2021</w:t>
            </w: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10.1</w:t>
            </w:r>
          </w:p>
        </w:tc>
        <w:tc>
          <w:tcPr>
            <w:tcW w:w="3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S Corporation Termination and Tax Sharing</w:t>
              </w:r>
            </w:hyperlink>
          </w:p>
        </w:tc>
        <w:tc>
          <w:tcPr>
            <w:tcW w:w="60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320" w:type="dxa"/>
            <w:vAlign w:val="bottom"/>
          </w:tcPr>
          <w:p>
            <w:pPr>
              <w:jc w:val="center"/>
              <w:ind w:left="170"/>
              <w:spacing w:after="0" w:line="196" w:lineRule="exact"/>
              <w:rPr>
                <w:sz w:val="20"/>
                <w:szCs w:val="20"/>
                <w:color w:val="auto"/>
              </w:rPr>
            </w:pPr>
            <w:r>
              <w:rPr>
                <w:rFonts w:ascii="Arial" w:cs="Arial" w:eastAsia="Arial" w:hAnsi="Arial"/>
                <w:sz w:val="18"/>
                <w:szCs w:val="18"/>
                <w:color w:val="auto"/>
                <w:w w:val="96"/>
              </w:rPr>
              <w:t>April 9, 2021</w:t>
            </w:r>
          </w:p>
        </w:tc>
      </w:tr>
      <w:tr>
        <w:trPr>
          <w:trHeight w:val="196"/>
        </w:trPr>
        <w:tc>
          <w:tcPr>
            <w:tcW w:w="780" w:type="dxa"/>
            <w:vAlign w:val="bottom"/>
          </w:tcPr>
          <w:p>
            <w:pPr>
              <w:spacing w:after="0"/>
              <w:rPr>
                <w:sz w:val="17"/>
                <w:szCs w:val="17"/>
                <w:color w:val="auto"/>
              </w:rPr>
            </w:pPr>
          </w:p>
        </w:tc>
        <w:tc>
          <w:tcPr>
            <w:tcW w:w="4400" w:type="dxa"/>
            <w:vAlign w:val="bottom"/>
            <w:gridSpan w:val="1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Agreement</w:t>
              </w:r>
            </w:hyperlink>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10.2</w:t>
            </w:r>
          </w:p>
        </w:tc>
        <w:tc>
          <w:tcPr>
            <w:tcW w:w="4400" w:type="dxa"/>
            <w:vAlign w:val="bottom"/>
            <w:gridSpan w:val="1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Five Star Bancorp 2021 Equity Incentive Plan</w:t>
              </w:r>
            </w:hyperlink>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320" w:type="dxa"/>
            <w:vAlign w:val="bottom"/>
          </w:tcPr>
          <w:p>
            <w:pPr>
              <w:jc w:val="center"/>
              <w:ind w:left="170"/>
              <w:spacing w:after="0" w:line="196" w:lineRule="exact"/>
              <w:rPr>
                <w:sz w:val="20"/>
                <w:szCs w:val="20"/>
                <w:color w:val="auto"/>
              </w:rPr>
            </w:pPr>
            <w:r>
              <w:rPr>
                <w:rFonts w:ascii="Arial" w:cs="Arial" w:eastAsia="Arial" w:hAnsi="Arial"/>
                <w:sz w:val="18"/>
                <w:szCs w:val="18"/>
                <w:color w:val="auto"/>
                <w:w w:val="95"/>
              </w:rPr>
              <w:t>April 26, 2021</w:t>
            </w: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10.3</w:t>
            </w:r>
          </w:p>
        </w:tc>
        <w:tc>
          <w:tcPr>
            <w:tcW w:w="332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of Restricted Stock Vesting Agreement</w:t>
              </w:r>
            </w:hyperlink>
          </w:p>
        </w:tc>
        <w:tc>
          <w:tcPr>
            <w:tcW w:w="1080" w:type="dxa"/>
            <w:vAlign w:val="bottom"/>
            <w:gridSpan w:val="9"/>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320" w:type="dxa"/>
            <w:vAlign w:val="bottom"/>
          </w:tcPr>
          <w:p>
            <w:pPr>
              <w:jc w:val="center"/>
              <w:ind w:left="170"/>
              <w:spacing w:after="0" w:line="196" w:lineRule="exact"/>
              <w:rPr>
                <w:sz w:val="20"/>
                <w:szCs w:val="20"/>
                <w:color w:val="auto"/>
              </w:rPr>
            </w:pPr>
            <w:r>
              <w:rPr>
                <w:rFonts w:ascii="Arial" w:cs="Arial" w:eastAsia="Arial" w:hAnsi="Arial"/>
                <w:sz w:val="18"/>
                <w:szCs w:val="18"/>
                <w:color w:val="auto"/>
                <w:w w:val="96"/>
              </w:rPr>
              <w:t>April 9, 2021</w:t>
            </w:r>
          </w:p>
        </w:tc>
      </w:tr>
      <w:tr>
        <w:trPr>
          <w:trHeight w:val="20"/>
        </w:trPr>
        <w:tc>
          <w:tcPr>
            <w:tcW w:w="7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31.1</w:t>
            </w:r>
          </w:p>
        </w:tc>
        <w:tc>
          <w:tcPr>
            <w:tcW w:w="41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Certification of Chief Executive Officer pursuant to Rule</w:t>
              </w:r>
            </w:hyperlink>
          </w:p>
        </w:tc>
        <w:tc>
          <w:tcPr>
            <w:tcW w:w="2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400" w:type="dxa"/>
            <w:vAlign w:val="bottom"/>
            <w:gridSpan w:val="15"/>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13a-14(a)/15d-14(a), as adopted pursuant to Section 302 of</w:t>
              </w:r>
            </w:hyperlink>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the Sarbanes-Oxley Act of 2002</w:t>
              </w:r>
            </w:hyperlink>
          </w:p>
        </w:tc>
        <w:tc>
          <w:tcPr>
            <w:tcW w:w="1920" w:type="dxa"/>
            <w:vAlign w:val="bottom"/>
            <w:tcBorders>
              <w:top w:val="single" w:sz="8" w:color="0000EE"/>
            </w:tcBorders>
            <w:gridSpan w:val="9"/>
          </w:tcPr>
          <w:p>
            <w:pPr>
              <w:spacing w:after="0"/>
              <w:rPr>
                <w:sz w:val="17"/>
                <w:szCs w:val="17"/>
                <w:color w:val="auto"/>
              </w:rPr>
            </w:pPr>
          </w:p>
        </w:tc>
        <w:tc>
          <w:tcPr>
            <w:tcW w:w="1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31.2</w:t>
            </w:r>
          </w:p>
        </w:tc>
        <w:tc>
          <w:tcPr>
            <w:tcW w:w="4400" w:type="dxa"/>
            <w:vAlign w:val="bottom"/>
            <w:gridSpan w:val="1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Financial Officer pursuant to Rule</w:t>
              </w:r>
            </w:hyperlink>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400" w:type="dxa"/>
            <w:vAlign w:val="bottom"/>
            <w:gridSpan w:val="15"/>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13a-14(a)/15d-14(a), as adopted pursuant to Section 302 of</w:t>
              </w:r>
            </w:hyperlink>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the Sarbanes-Oxley Act of 2002</w:t>
              </w:r>
            </w:hyperlink>
          </w:p>
        </w:tc>
        <w:tc>
          <w:tcPr>
            <w:tcW w:w="1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32.1</w:t>
            </w:r>
          </w:p>
        </w:tc>
        <w:tc>
          <w:tcPr>
            <w:tcW w:w="39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Certification of Chief Executive Officer pursuant to 18</w:t>
              </w:r>
            </w:hyperlink>
          </w:p>
        </w:tc>
        <w:tc>
          <w:tcPr>
            <w:tcW w:w="4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U.S.C. Section 1350, as adopted pursuant to Section 906 of</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the Sarbanes-Oxley Act of 2002</w:t>
              </w:r>
            </w:hyperlink>
          </w:p>
        </w:tc>
        <w:tc>
          <w:tcPr>
            <w:tcW w:w="206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32.2</w:t>
            </w:r>
          </w:p>
        </w:tc>
        <w:tc>
          <w:tcPr>
            <w:tcW w:w="4400" w:type="dxa"/>
            <w:vAlign w:val="bottom"/>
            <w:gridSpan w:val="1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Certification of Chief Financial Officer pursuant to 18</w:t>
              </w:r>
            </w:hyperlink>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9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U.S.C. Section 1350, as adopted by Section 906 of the</w:t>
              </w:r>
            </w:hyperlink>
          </w:p>
        </w:tc>
        <w:tc>
          <w:tcPr>
            <w:tcW w:w="4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Sarbanes-Oxley Act of 2002</w:t>
              </w:r>
            </w:hyperlink>
          </w:p>
        </w:tc>
        <w:tc>
          <w:tcPr>
            <w:tcW w:w="234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7"/>
        </w:trPr>
        <w:tc>
          <w:tcPr>
            <w:tcW w:w="780" w:type="dxa"/>
            <w:vAlign w:val="bottom"/>
          </w:tcPr>
          <w:p>
            <w:pPr>
              <w:jc w:val="center"/>
              <w:ind w:right="370"/>
              <w:spacing w:after="0"/>
              <w:rPr>
                <w:sz w:val="20"/>
                <w:szCs w:val="20"/>
                <w:color w:val="auto"/>
              </w:rPr>
            </w:pPr>
            <w:r>
              <w:rPr>
                <w:rFonts w:ascii="Arial" w:cs="Arial" w:eastAsia="Arial" w:hAnsi="Arial"/>
                <w:sz w:val="18"/>
                <w:szCs w:val="18"/>
                <w:color w:val="auto"/>
                <w:w w:val="93"/>
              </w:rPr>
              <w:t>101</w:t>
            </w:r>
          </w:p>
        </w:tc>
        <w:tc>
          <w:tcPr>
            <w:tcW w:w="4400" w:type="dxa"/>
            <w:vAlign w:val="bottom"/>
            <w:gridSpan w:val="15"/>
          </w:tcPr>
          <w:p>
            <w:pPr>
              <w:spacing w:after="0"/>
              <w:rPr>
                <w:sz w:val="20"/>
                <w:szCs w:val="20"/>
                <w:color w:val="auto"/>
              </w:rPr>
            </w:pPr>
            <w:r>
              <w:rPr>
                <w:rFonts w:ascii="Arial" w:cs="Arial" w:eastAsia="Arial" w:hAnsi="Arial"/>
                <w:sz w:val="18"/>
                <w:szCs w:val="18"/>
                <w:color w:val="auto"/>
              </w:rPr>
              <w:t>Inline XBRL Interactive Data</w:t>
            </w: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1260" w:right="4480" w:hanging="759"/>
        <w:spacing w:after="0" w:line="260"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in Exhibit 101)</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Filed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Filed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Filed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Filed</w:t>
      </w:r>
    </w:p>
    <w:p>
      <w:pPr>
        <w:sectPr>
          <w:pgSz w:w="11900" w:h="16838" w:orient="portrait"/>
          <w:cols w:equalWidth="0" w:num="2">
            <w:col w:w="9720" w:space="720"/>
            <w:col w:w="560"/>
          </w:cols>
          <w:pgMar w:left="320" w:top="688" w:right="579"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Five Star Bancorp</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17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280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r>
      <w:tr>
        <w:trPr>
          <w:trHeight w:val="195"/>
        </w:trPr>
        <w:tc>
          <w:tcPr>
            <w:tcW w:w="1720" w:type="dxa"/>
            <w:vAlign w:val="bottom"/>
          </w:tcPr>
          <w:p>
            <w:pPr>
              <w:spacing w:after="0"/>
              <w:rPr>
                <w:sz w:val="16"/>
                <w:szCs w:val="16"/>
                <w:color w:val="auto"/>
              </w:rPr>
            </w:pPr>
          </w:p>
        </w:tc>
        <w:tc>
          <w:tcPr>
            <w:tcW w:w="236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80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James Beckwith</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President &amp;</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17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280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Heather Luck</w:t>
            </w:r>
          </w:p>
        </w:tc>
      </w:tr>
      <w:tr>
        <w:trPr>
          <w:trHeight w:val="195"/>
        </w:trPr>
        <w:tc>
          <w:tcPr>
            <w:tcW w:w="1720" w:type="dxa"/>
            <w:vAlign w:val="bottom"/>
          </w:tcPr>
          <w:p>
            <w:pPr>
              <w:spacing w:after="0"/>
              <w:rPr>
                <w:sz w:val="16"/>
                <w:szCs w:val="16"/>
                <w:color w:val="auto"/>
              </w:rPr>
            </w:pPr>
          </w:p>
        </w:tc>
        <w:tc>
          <w:tcPr>
            <w:tcW w:w="236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800" w:type="dxa"/>
            <w:vAlign w:val="bottom"/>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Heather Luck</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Senior Vice President &amp;</w:t>
            </w: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53"/>
        </w:trPr>
        <w:tc>
          <w:tcPr>
            <w:tcW w:w="172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tcPr>
          <w:p>
            <w:pPr>
              <w:spacing w:after="0"/>
              <w:rPr>
                <w:sz w:val="24"/>
                <w:szCs w:val="24"/>
                <w:color w:val="auto"/>
              </w:rPr>
            </w:pPr>
          </w:p>
        </w:tc>
        <w:tc>
          <w:tcPr>
            <w:tcW w:w="2800" w:type="dxa"/>
            <w:vAlign w:val="bottom"/>
            <w:tcBorders>
              <w:bottom w:val="single" w:sz="8" w:color="DCDCDC"/>
            </w:tcBorders>
          </w:tcPr>
          <w:p>
            <w:pPr>
              <w:jc w:val="right"/>
              <w:ind w:right="1030"/>
              <w:spacing w:after="0"/>
              <w:rPr>
                <w:sz w:val="20"/>
                <w:szCs w:val="20"/>
                <w:color w:val="auto"/>
              </w:rPr>
            </w:pPr>
            <w:r>
              <w:rPr>
                <w:rFonts w:ascii="Arial" w:cs="Arial" w:eastAsia="Arial" w:hAnsi="Arial"/>
                <w:sz w:val="18"/>
                <w:szCs w:val="18"/>
                <w:color w:val="auto"/>
              </w:rPr>
              <w:t>100</w:t>
            </w:r>
          </w:p>
        </w:tc>
        <w:tc>
          <w:tcPr>
            <w:tcW w:w="4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2" w:name="page103"/>
    <w:bookmarkEnd w:id="102"/>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Beckwith, certify that:</w:t>
      </w:r>
    </w:p>
    <w:p>
      <w:pPr>
        <w:spacing w:after="0" w:line="225" w:lineRule="exact"/>
        <w:rPr>
          <w:sz w:val="20"/>
          <w:szCs w:val="20"/>
          <w:color w:val="auto"/>
        </w:rPr>
      </w:pPr>
    </w:p>
    <w:p>
      <w:pPr>
        <w:ind w:left="420" w:hanging="331"/>
        <w:spacing w:after="0"/>
        <w:tabs>
          <w:tab w:leader="none" w:pos="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2"/>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0" w:hanging="318"/>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11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48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4500" w:type="dxa"/>
            <w:vAlign w:val="bottom"/>
          </w:tcPr>
          <w:p>
            <w:pPr>
              <w:spacing w:after="0"/>
              <w:rPr>
                <w:sz w:val="20"/>
                <w:szCs w:val="20"/>
                <w:color w:val="auto"/>
              </w:rPr>
            </w:pPr>
            <w:r>
              <w:rPr>
                <w:rFonts w:ascii="Arial" w:cs="Arial" w:eastAsia="Arial" w:hAnsi="Arial"/>
                <w:sz w:val="18"/>
                <w:szCs w:val="18"/>
                <w:color w:val="auto"/>
              </w:rPr>
              <w:t>James Beckwith</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120" w:type="dxa"/>
            <w:vAlign w:val="bottom"/>
          </w:tcPr>
          <w:p>
            <w:pPr>
              <w:spacing w:after="0"/>
              <w:rPr>
                <w:sz w:val="21"/>
                <w:szCs w:val="21"/>
                <w:color w:val="auto"/>
              </w:rPr>
            </w:pPr>
          </w:p>
        </w:tc>
      </w:tr>
      <w:tr>
        <w:trPr>
          <w:trHeight w:val="372"/>
        </w:trPr>
        <w:tc>
          <w:tcPr>
            <w:tcW w:w="114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45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Luck, certify that:</w:t>
      </w:r>
    </w:p>
    <w:p>
      <w:pPr>
        <w:spacing w:after="0" w:line="225" w:lineRule="exact"/>
        <w:rPr>
          <w:sz w:val="20"/>
          <w:szCs w:val="20"/>
          <w:color w:val="auto"/>
        </w:rPr>
      </w:pPr>
    </w:p>
    <w:p>
      <w:pPr>
        <w:ind w:left="420" w:hanging="331"/>
        <w:spacing w:after="0"/>
        <w:tabs>
          <w:tab w:leader="none" w:pos="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18"/>
        <w:spacing w:after="0" w:line="263"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0" w:hanging="318"/>
        <w:spacing w:after="0" w:line="308"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1120" w:type="dxa"/>
            <w:vAlign w:val="bottom"/>
          </w:tcPr>
          <w:p>
            <w:pPr>
              <w:spacing w:after="0"/>
              <w:rPr>
                <w:sz w:val="20"/>
                <w:szCs w:val="20"/>
                <w:color w:val="auto"/>
              </w:rPr>
            </w:pP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Heather Luck</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48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4500" w:type="dxa"/>
            <w:vAlign w:val="bottom"/>
          </w:tcPr>
          <w:p>
            <w:pPr>
              <w:spacing w:after="0"/>
              <w:rPr>
                <w:sz w:val="20"/>
                <w:szCs w:val="20"/>
                <w:color w:val="auto"/>
              </w:rPr>
            </w:pPr>
            <w:r>
              <w:rPr>
                <w:rFonts w:ascii="Arial" w:cs="Arial" w:eastAsia="Arial" w:hAnsi="Arial"/>
                <w:sz w:val="18"/>
                <w:szCs w:val="18"/>
                <w:color w:val="auto"/>
              </w:rPr>
              <w:t>Heather Luck</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c>
          <w:tcPr>
            <w:tcW w:w="1120" w:type="dxa"/>
            <w:vAlign w:val="bottom"/>
          </w:tcPr>
          <w:p>
            <w:pPr>
              <w:spacing w:after="0"/>
              <w:rPr>
                <w:sz w:val="21"/>
                <w:szCs w:val="21"/>
                <w:color w:val="auto"/>
              </w:rPr>
            </w:pPr>
          </w:p>
        </w:tc>
      </w:tr>
      <w:tr>
        <w:trPr>
          <w:trHeight w:val="371"/>
        </w:trPr>
        <w:tc>
          <w:tcPr>
            <w:tcW w:w="114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45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June 30, 2021,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11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48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4500" w:type="dxa"/>
            <w:vAlign w:val="bottom"/>
          </w:tcPr>
          <w:p>
            <w:pPr>
              <w:spacing w:after="0"/>
              <w:rPr>
                <w:sz w:val="20"/>
                <w:szCs w:val="20"/>
                <w:color w:val="auto"/>
              </w:rPr>
            </w:pPr>
            <w:r>
              <w:rPr>
                <w:rFonts w:ascii="Arial" w:cs="Arial" w:eastAsia="Arial" w:hAnsi="Arial"/>
                <w:sz w:val="18"/>
                <w:szCs w:val="18"/>
                <w:color w:val="auto"/>
              </w:rPr>
              <w:t>James Beckwith</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&amp;</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21"/>
                <w:szCs w:val="21"/>
                <w:color w:val="auto"/>
              </w:rPr>
            </w:pPr>
          </w:p>
        </w:tc>
      </w:tr>
      <w:tr>
        <w:trPr>
          <w:trHeight w:val="371"/>
        </w:trPr>
        <w:tc>
          <w:tcPr>
            <w:tcW w:w="114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45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June 30, 2021,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August 13, 2021</w:t>
            </w:r>
          </w:p>
        </w:tc>
        <w:tc>
          <w:tcPr>
            <w:tcW w:w="11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Heather Luck</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480" w:type="dxa"/>
            <w:vAlign w:val="bottom"/>
            <w:gridSpan w:val="2"/>
          </w:tcPr>
          <w:p>
            <w:pPr>
              <w:jc w:val="center"/>
              <w:ind w:right="1140"/>
              <w:spacing w:after="0"/>
              <w:rPr>
                <w:sz w:val="20"/>
                <w:szCs w:val="20"/>
                <w:color w:val="auto"/>
              </w:rPr>
            </w:pPr>
            <w:r>
              <w:rPr>
                <w:rFonts w:ascii="Arial" w:cs="Arial" w:eastAsia="Arial" w:hAnsi="Arial"/>
                <w:sz w:val="18"/>
                <w:szCs w:val="18"/>
                <w:color w:val="auto"/>
                <w:w w:val="89"/>
              </w:rPr>
              <w:t>Date</w:t>
            </w:r>
          </w:p>
        </w:tc>
        <w:tc>
          <w:tcPr>
            <w:tcW w:w="4500" w:type="dxa"/>
            <w:vAlign w:val="bottom"/>
          </w:tcPr>
          <w:p>
            <w:pPr>
              <w:spacing w:after="0"/>
              <w:rPr>
                <w:sz w:val="20"/>
                <w:szCs w:val="20"/>
                <w:color w:val="auto"/>
              </w:rPr>
            </w:pPr>
            <w:r>
              <w:rPr>
                <w:rFonts w:ascii="Arial" w:cs="Arial" w:eastAsia="Arial" w:hAnsi="Arial"/>
                <w:sz w:val="18"/>
                <w:szCs w:val="18"/>
                <w:color w:val="auto"/>
              </w:rPr>
              <w:t>Heather Luck</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1"/>
                <w:szCs w:val="21"/>
                <w:color w:val="auto"/>
              </w:rPr>
            </w:pPr>
          </w:p>
        </w:tc>
      </w:tr>
      <w:tr>
        <w:trPr>
          <w:trHeight w:val="372"/>
        </w:trPr>
        <w:tc>
          <w:tcPr>
            <w:tcW w:w="114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45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bullet"/>
      <w:start w:val="1"/>
    </w:lvl>
  </w:abstractNum>
  <w:abstractNum w:abstractNumId="6">
    <w:nsid w:val="2443A858"/>
    <w:multiLevelType w:val="hybridMultilevel"/>
    <w:lvl w:ilvl="0">
      <w:lvlJc w:val="left"/>
      <w:lvlText w:val="2"/>
      <w:numFmt w:val="bullet"/>
      <w:start w:val="1"/>
    </w:lvl>
  </w:abstractNum>
  <w:abstractNum w:abstractNumId="7">
    <w:nsid w:val="2D1D5AE9"/>
    <w:multiLevelType w:val="hybridMultilevel"/>
    <w:lvl w:ilvl="0">
      <w:lvlJc w:val="left"/>
      <w:lvlText w:val="3"/>
      <w:numFmt w:val="bullet"/>
      <w:start w:val="1"/>
    </w:lvl>
  </w:abstractNum>
  <w:abstractNum w:abstractNumId="8">
    <w:nsid w:val="6763845E"/>
    <w:multiLevelType w:val="hybridMultilevel"/>
    <w:lvl w:ilvl="0">
      <w:lvlJc w:val="left"/>
      <w:lvlText w:val="4"/>
      <w:numFmt w:val="bullet"/>
      <w:start w:val="1"/>
    </w:lvl>
  </w:abstractNum>
  <w:abstractNum w:abstractNumId="9">
    <w:nsid w:val="75A2A8D4"/>
    <w:multiLevelType w:val="hybridMultilevel"/>
    <w:lvl w:ilvl="0">
      <w:lvlJc w:val="left"/>
      <w:lvlText w:val="1"/>
      <w:numFmt w:val="bullet"/>
      <w:start w:val="1"/>
    </w:lvl>
  </w:abstractNum>
  <w:abstractNum w:abstractNumId="10">
    <w:nsid w:val="8EDBDAB"/>
    <w:multiLevelType w:val="hybridMultilevel"/>
    <w:lvl w:ilvl="0">
      <w:lvlJc w:val="left"/>
      <w:lvlText w:val="2"/>
      <w:numFmt w:val="bullet"/>
      <w:start w:val="1"/>
    </w:lvl>
  </w:abstractNum>
  <w:abstractNum w:abstractNumId="11">
    <w:nsid w:val="79838CB2"/>
    <w:multiLevelType w:val="hybridMultilevel"/>
    <w:lvl w:ilvl="0">
      <w:lvlJc w:val="left"/>
      <w:lvlText w:val="3"/>
      <w:numFmt w:val="bullet"/>
      <w:start w:val="1"/>
    </w:lvl>
  </w:abstractNum>
  <w:abstractNum w:abstractNumId="12">
    <w:nsid w:val="4353D0CD"/>
    <w:multiLevelType w:val="hybridMultilevel"/>
    <w:lvl w:ilvl="0">
      <w:lvlJc w:val="left"/>
      <w:lvlText w:val="4"/>
      <w:numFmt w:val="bullet"/>
      <w:start w:val="1"/>
    </w:lvl>
  </w:abstractNum>
  <w:abstractNum w:abstractNumId="13">
    <w:nsid w:val="B03E0C6"/>
    <w:multiLevelType w:val="hybridMultilevel"/>
    <w:lvl w:ilvl="0">
      <w:lvlJc w:val="left"/>
      <w:lvlText w:val="5"/>
      <w:numFmt w:val="bullet"/>
      <w:start w:val="1"/>
    </w:lvl>
  </w:abstractNum>
  <w:abstractNum w:abstractNumId="14">
    <w:nsid w:val="189A769B"/>
    <w:multiLevelType w:val="hybridMultilevel"/>
    <w:lvl w:ilvl="0">
      <w:lvlJc w:val="left"/>
      <w:lvlText w:val="1"/>
      <w:numFmt w:val="bullet"/>
      <w:start w:val="1"/>
    </w:lvl>
  </w:abstractNum>
  <w:abstractNum w:abstractNumId="15">
    <w:nsid w:val="54E49EB4"/>
    <w:multiLevelType w:val="hybridMultilevel"/>
    <w:lvl w:ilvl="0">
      <w:lvlJc w:val="left"/>
      <w:lvlText w:val="2"/>
      <w:numFmt w:val="bullet"/>
      <w:start w:val="1"/>
    </w:lvl>
  </w:abstractNum>
  <w:abstractNum w:abstractNumId="16">
    <w:nsid w:val="71F32454"/>
    <w:multiLevelType w:val="hybridMultilevel"/>
    <w:lvl w:ilvl="0">
      <w:lvlJc w:val="left"/>
      <w:lvlText w:val="3"/>
      <w:numFmt w:val="bullet"/>
      <w:start w:val="1"/>
    </w:lvl>
  </w:abstractNum>
  <w:abstractNum w:abstractNumId="17">
    <w:nsid w:val="2CA88611"/>
    <w:multiLevelType w:val="hybridMultilevel"/>
    <w:lvl w:ilvl="0">
      <w:lvlJc w:val="left"/>
      <w:lvlText w:val="4"/>
      <w:numFmt w:val="bullet"/>
      <w:start w:val="1"/>
    </w:lvl>
  </w:abstractNum>
  <w:abstractNum w:abstractNumId="18">
    <w:nsid w:val="836C40E"/>
    <w:multiLevelType w:val="hybridMultilevel"/>
    <w:lvl w:ilvl="0">
      <w:lvlJc w:val="left"/>
      <w:lvlText w:val="5"/>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68"/>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upperLetter"/>
      <w:start w:val="68"/>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decimal"/>
      <w:start w:val="104"/>
    </w:lvl>
  </w:abstractNum>
  <w:abstractNum w:abstractNumId="32">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3">
    <w:nsid w:val="5072367"/>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4">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
    <w:nsid w:val="77465F0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07" Type="http://schemas.openxmlformats.org/officeDocument/2006/relationships/hyperlink" Target="http://www.sec.gov/Archives/edgar/data/1275168/000155278121000243/e21250_ex4-1.htm" TargetMode="External"/><Relationship Id="rId108" Type="http://schemas.openxmlformats.org/officeDocument/2006/relationships/hyperlink" Target="http://www.sec.gov/Archives/edgar/data/1275168/000155278121000190/e21201_ex10-1.htm" TargetMode="External"/><Relationship Id="rId109" Type="http://schemas.openxmlformats.org/officeDocument/2006/relationships/hyperlink" Target="http://www.sec.gov/Archives/edgar/data/1275168/000155278121000243/e21250_ex10-4.htm" TargetMode="External"/><Relationship Id="rId110" Type="http://schemas.openxmlformats.org/officeDocument/2006/relationships/hyperlink" Target="https://www.sec.gov/Archives/edgar/data/1275168/000155278121000190/e2120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2021-08-13T14:32:25Z</dcterms:created>
  <dcterms:modified xsi:type="dcterms:W3CDTF">2021-08-13T14:32:25Z</dcterms:modified>
</cp:coreProperties>
</file>