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6fe17bce2b4045fdbfb22289a8eb59bd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drawing>
          <wp:inline distT="0" distB="0" distL="0" distR="0">
            <wp:extent cx="32004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7524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6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6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 to ________</w:t>
      </w:r>
    </w:p>
    <w:p>
      <w:pPr>
        <w:pStyle w:val="TextBody"/>
        <w:bidi w:val="0"/>
        <w:spacing w:lineRule="auto" w:line="288" w:before="60" w:after="283"/>
        <w:jc w:val="center"/>
        <w:rPr/>
      </w:pPr>
      <w:r>
        <w:rPr>
          <w:rFonts w:ascii="Times New Roman;serif" w:hAnsi="Times New Roman;serif"/>
          <w:b w:val="false"/>
          <w:color w:val="000000"/>
          <w:sz w:val="20"/>
        </w:rPr>
        <w:t xml:space="preserve">Commission File Number </w:t>
      </w:r>
      <w:r>
        <w:rPr>
          <w:rFonts w:ascii="Times New Roman;serif" w:hAnsi="Times New Roman;serif"/>
          <w:b w:val="false"/>
          <w:color w:val="000000"/>
          <w:sz w:val="20"/>
          <w:u w:val="single"/>
        </w:rPr>
        <w:t>001-40379</w:t>
      </w:r>
    </w:p>
    <w:p>
      <w:pPr>
        <w:pStyle w:val="TextBody"/>
        <w:bidi w:val="0"/>
        <w:spacing w:lineRule="auto" w:line="288" w:before="180" w:after="283"/>
        <w:jc w:val="center"/>
        <w:rPr>
          <w:rFonts w:ascii="Times New Roman;serif" w:hAnsi="Times New Roman;serif"/>
          <w:b/>
          <w:color w:val="000000"/>
          <w:sz w:val="40"/>
        </w:rPr>
      </w:pPr>
      <w:r>
        <w:rPr>
          <w:rFonts w:ascii="Times New Roman;serif" w:hAnsi="Times New Roman;serif"/>
          <w:b/>
          <w:color w:val="000000"/>
          <w:sz w:val="40"/>
        </w:rPr>
        <w:t>FIVE STAR BANCORP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187"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45"/>
        <w:gridCol w:w="845"/>
        <w:gridCol w:w="1205"/>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75-3100966</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60" w:after="283"/>
        <w:jc w:val="center"/>
        <w:rPr>
          <w:rFonts w:ascii="Times New Roman;serif" w:hAnsi="Times New Roman;serif"/>
          <w:b/>
          <w:color w:val="000000"/>
          <w:sz w:val="20"/>
          <w:u w:val="single"/>
        </w:rPr>
      </w:pPr>
      <w:r>
        <w:rPr>
          <w:rFonts w:ascii="Times New Roman;serif" w:hAnsi="Times New Roman;serif"/>
          <w:b/>
          <w:color w:val="000000"/>
          <w:sz w:val="20"/>
          <w:u w:val="single"/>
        </w:rPr>
        <w:t>3100 Zinfandel Drive, Suite 100 Rancho Cordova, CA 95670</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 (Zip Code)</w:t>
      </w:r>
    </w:p>
    <w:p>
      <w:pPr>
        <w:pStyle w:val="TextBody"/>
        <w:bidi w:val="0"/>
        <w:spacing w:lineRule="auto" w:line="288" w:before="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u w:val="single"/>
        </w:rPr>
        <w:t>(916) 626-5000</w:t>
      </w:r>
    </w:p>
    <w:p>
      <w:pPr>
        <w:pStyle w:val="TextBody"/>
        <w:bidi w:val="0"/>
        <w:spacing w:lineRule="auto" w:line="288" w:before="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08" w:type="dxa"/>
        <w:jc w:val="center"/>
        <w:tblInd w:w="0" w:type="dxa"/>
        <w:tblLayout w:type="fixed"/>
        <w:tblCellMar>
          <w:top w:w="28" w:type="dxa"/>
          <w:left w:w="28" w:type="dxa"/>
          <w:bottom w:w="28" w:type="dxa"/>
          <w:right w:w="28" w:type="dxa"/>
        </w:tblCellMar>
      </w:tblPr>
      <w:tblGrid>
        <w:gridCol w:w="1162"/>
        <w:gridCol w:w="1017"/>
        <w:gridCol w:w="1030"/>
        <w:gridCol w:w="464"/>
        <w:gridCol w:w="464"/>
        <w:gridCol w:w="466"/>
        <w:gridCol w:w="1085"/>
        <w:gridCol w:w="1085"/>
        <w:gridCol w:w="1535"/>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3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FSBC</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lef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283"/>
        <w:jc w:val="both"/>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60" w:after="283"/>
        <w:jc w:val="lef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August 3, 2026, there were 24,536,614 shares of the registrant’s common stock, no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6fe17bce2b4045fdbfb22289a8eb5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420" w:after="283"/>
        <w:jc w:val="center"/>
        <w:rPr>
          <w:rFonts w:ascii="Times New Roman;serif" w:hAnsi="Times New Roman;serif"/>
          <w:b/>
          <w:color w:val="000000"/>
          <w:sz w:val="20"/>
        </w:rPr>
      </w:pPr>
      <w:r>
        <w:rPr>
          <w:rFonts w:ascii="Times New Roman;serif" w:hAnsi="Times New Roman;serif"/>
          <w:b/>
          <w:color w:val="000000"/>
          <w:sz w:val="20"/>
        </w:rPr>
        <w:t>FIVE STAR BANCORP AND SUBSIDIARY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Report on Form 10-Q</w:t>
      </w:r>
    </w:p>
    <w:p>
      <w:pPr>
        <w:pStyle w:val="TextBody"/>
        <w:bidi w:val="0"/>
        <w:spacing w:lineRule="auto" w:line="288" w:before="0" w:after="360"/>
        <w:jc w:val="center"/>
        <w:rPr>
          <w:rFonts w:ascii="Times New Roman;serif" w:hAnsi="Times New Roman;serif"/>
          <w:b w:val="false"/>
          <w:color w:val="000000"/>
          <w:sz w:val="20"/>
        </w:rPr>
      </w:pPr>
      <w:r>
        <w:rPr>
          <w:rFonts w:ascii="Times New Roman;serif" w:hAnsi="Times New Roman;serif"/>
          <w:b w:val="false"/>
          <w:color w:val="000000"/>
          <w:sz w:val="20"/>
        </w:rPr>
        <w:t>June 30, 2026</w:t>
      </w:r>
    </w:p>
    <w:tbl>
      <w:tblPr>
        <w:tblW w:w="8666" w:type="dxa"/>
        <w:jc w:val="left"/>
        <w:tblInd w:w="0" w:type="dxa"/>
        <w:tblLayout w:type="fixed"/>
        <w:tblCellMar>
          <w:top w:w="28" w:type="dxa"/>
          <w:left w:w="28" w:type="dxa"/>
          <w:bottom w:w="28" w:type="dxa"/>
          <w:right w:w="28" w:type="dxa"/>
        </w:tblCellMar>
      </w:tblPr>
      <w:tblGrid>
        <w:gridCol w:w="338"/>
        <w:gridCol w:w="294"/>
        <w:gridCol w:w="298"/>
        <w:gridCol w:w="2453"/>
        <w:gridCol w:w="2453"/>
        <w:gridCol w:w="2458"/>
        <w:gridCol w:w="109"/>
        <w:gridCol w:w="109"/>
        <w:gridCol w:w="154"/>
      </w:tblGrid>
      <w:tr>
        <w:trPr/>
        <w:tc>
          <w:tcPr>
            <w:tcW w:w="3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13">
              <w:r>
                <w:rPr>
                  <w:rStyle w:val="InternetLink"/>
                  <w:rFonts w:ascii="Times New Roman;serif" w:hAnsi="Times New Roman;serif"/>
                  <w:b/>
                  <w:strike w:val="false"/>
                  <w:dstrike w:val="false"/>
                  <w:color w:val="000000"/>
                  <w:sz w:val="20"/>
                  <w:u w:val="none"/>
                  <w:effect w:val="non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13">
              <w:r>
                <w:rPr>
                  <w:rStyle w:val="InternetLink"/>
                  <w:rFonts w:ascii="Times New Roman;serif" w:hAnsi="Times New Roman;serif"/>
                  <w:b/>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13">
              <w:r>
                <w:rPr>
                  <w:rStyle w:val="InternetLink"/>
                  <w:rFonts w:ascii="Times New Roman;serif" w:hAnsi="Times New Roman;serif"/>
                  <w:b/>
                  <w:strike w:val="false"/>
                  <w:dstrike w:val="false"/>
                  <w:color w:val="000000"/>
                  <w:sz w:val="20"/>
                  <w:u w:val="none"/>
                  <w:effect w:val="none"/>
                </w:rPr>
                <w:t>1</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16">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16">
              <w:r>
                <w:rPr>
                  <w:rStyle w:val="InternetLink"/>
                  <w:rFonts w:ascii="Times New Roman;serif" w:hAnsi="Times New Roman;serif"/>
                  <w:b w:val="false"/>
                  <w:strike w:val="false"/>
                  <w:dstrike w:val="false"/>
                  <w:color w:val="000000"/>
                  <w:sz w:val="20"/>
                  <w:u w:val="none"/>
                  <w:effect w:val="none"/>
                </w:rPr>
                <w:t>1</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19">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19">
              <w:r>
                <w:rPr>
                  <w:rStyle w:val="InternetLink"/>
                  <w:rFonts w:ascii="Times New Roman;serif" w:hAnsi="Times New Roman;serif"/>
                  <w:b w:val="false"/>
                  <w:strike w:val="false"/>
                  <w:dstrike w:val="false"/>
                  <w:color w:val="000000"/>
                  <w:sz w:val="20"/>
                  <w:u w:val="none"/>
                  <w:effect w:val="none"/>
                </w:rPr>
                <w:t>1</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2">
              <w:r>
                <w:rPr>
                  <w:rStyle w:val="InternetLink"/>
                  <w:rFonts w:ascii="Times New Roman;serif" w:hAnsi="Times New Roman;serif"/>
                  <w:b w:val="false"/>
                  <w:color w:val="0000FF"/>
                  <w:sz w:val="20"/>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2">
              <w:r>
                <w:rPr>
                  <w:rStyle w:val="InternetLink"/>
                  <w:rFonts w:ascii="Times New Roman;serif" w:hAnsi="Times New Roman;serif"/>
                  <w:b w:val="false"/>
                  <w:strike w:val="false"/>
                  <w:dstrike w:val="false"/>
                  <w:color w:val="000000"/>
                  <w:sz w:val="20"/>
                  <w:u w:val="none"/>
                  <w:effect w:val="none"/>
                </w:rPr>
                <w:t>2</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5">
              <w:r>
                <w:rPr>
                  <w:rStyle w:val="InternetLink"/>
                  <w:rFonts w:ascii="Times New Roman;serif" w:hAnsi="Times New Roman;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5">
              <w:r>
                <w:rPr>
                  <w:rStyle w:val="InternetLink"/>
                  <w:rFonts w:ascii="Times New Roman;serif" w:hAnsi="Times New Roman;serif"/>
                  <w:b w:val="false"/>
                  <w:strike w:val="false"/>
                  <w:dstrike w:val="false"/>
                  <w:color w:val="000000"/>
                  <w:sz w:val="20"/>
                  <w:u w:val="none"/>
                  <w:effect w:val="none"/>
                </w:rPr>
                <w:t>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8">
              <w:r>
                <w:rPr>
                  <w:rStyle w:val="InternetLink"/>
                  <w:rFonts w:ascii="Times New Roman;serif" w:hAnsi="Times New Roman;serif"/>
                  <w:b w:val="false"/>
                  <w:color w:val="0000FF"/>
                  <w:sz w:val="20"/>
                  <w:u w:val="single"/>
                </w:rPr>
                <w:t>Consolidated Statements of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8">
              <w:r>
                <w:rPr>
                  <w:rStyle w:val="InternetLink"/>
                  <w:rFonts w:ascii="Times New Roman;serif" w:hAnsi="Times New Roman;serif"/>
                  <w:b w:val="false"/>
                  <w:strike w:val="false"/>
                  <w:dstrike w:val="false"/>
                  <w:color w:val="000000"/>
                  <w:sz w:val="20"/>
                  <w:u w:val="none"/>
                  <w:effect w:val="none"/>
                </w:rPr>
                <w:t>4</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34">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34">
              <w:r>
                <w:rPr>
                  <w:rStyle w:val="InternetLink"/>
                  <w:rFonts w:ascii="Times New Roman;serif" w:hAnsi="Times New Roman;serif"/>
                  <w:b w:val="false"/>
                  <w:strike w:val="false"/>
                  <w:dstrike w:val="false"/>
                  <w:color w:val="000000"/>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37">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37">
              <w:r>
                <w:rPr>
                  <w:rStyle w:val="InternetLink"/>
                  <w:rFonts w:ascii="Times New Roman;serif" w:hAnsi="Times New Roman;serif"/>
                  <w:b w:val="false"/>
                  <w:strike w:val="false"/>
                  <w:dstrike w:val="false"/>
                  <w:color w:val="000000"/>
                  <w:sz w:val="20"/>
                  <w:u w:val="none"/>
                  <w:effect w:val="none"/>
                </w:rPr>
                <w:t>8</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91">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91">
              <w:r>
                <w:rPr>
                  <w:rStyle w:val="InternetLink"/>
                  <w:rFonts w:ascii="Times New Roman;serif" w:hAnsi="Times New Roman;serif"/>
                  <w:b w:val="false"/>
                  <w:strike w:val="false"/>
                  <w:dstrike w:val="false"/>
                  <w:color w:val="000000"/>
                  <w:sz w:val="20"/>
                  <w:u w:val="none"/>
                  <w:effect w:val="none"/>
                </w:rPr>
                <w:t>34</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23">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23">
              <w:r>
                <w:rPr>
                  <w:rStyle w:val="InternetLink"/>
                  <w:rFonts w:ascii="Times New Roman;serif" w:hAnsi="Times New Roman;serif"/>
                  <w:b w:val="false"/>
                  <w:color w:val="0000FF"/>
                  <w:sz w:val="20"/>
                  <w:u w:val="single"/>
                </w:rPr>
                <w:t>Quantitative and Qualitative Disclosure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23">
              <w:r>
                <w:rPr>
                  <w:rStyle w:val="InternetLink"/>
                  <w:rFonts w:ascii="Times New Roman;serif" w:hAnsi="Times New Roman;serif"/>
                  <w:b w:val="false"/>
                  <w:strike w:val="false"/>
                  <w:dstrike w:val="false"/>
                  <w:color w:val="000000"/>
                  <w:sz w:val="20"/>
                  <w:u w:val="none"/>
                  <w:effect w:val="none"/>
                </w:rPr>
                <w:t>71</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26">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26">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26">
              <w:r>
                <w:rPr>
                  <w:rStyle w:val="InternetLink"/>
                  <w:rFonts w:ascii="Times New Roman;serif" w:hAnsi="Times New Roman;serif"/>
                  <w:b w:val="false"/>
                  <w:strike w:val="false"/>
                  <w:dstrike w:val="false"/>
                  <w:color w:val="000000"/>
                  <w:sz w:val="20"/>
                  <w:u w:val="none"/>
                  <w:effect w:val="none"/>
                </w:rPr>
                <w:t>72</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29">
              <w:r>
                <w:rPr>
                  <w:rStyle w:val="InternetLink"/>
                  <w:rFonts w:ascii="Times New Roman;serif" w:hAnsi="Times New Roman;serif"/>
                  <w:b/>
                  <w:strike w:val="false"/>
                  <w:dstrike w:val="false"/>
                  <w:color w:val="000000"/>
                  <w:sz w:val="20"/>
                  <w:u w:val="none"/>
                  <w:effect w:val="non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29">
              <w:r>
                <w:rPr>
                  <w:rStyle w:val="InternetLink"/>
                  <w:rFonts w:ascii="Times New Roman;serif" w:hAnsi="Times New Roman;serif"/>
                  <w:b/>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29">
              <w:r>
                <w:rPr>
                  <w:rStyle w:val="InternetLink"/>
                  <w:rFonts w:ascii="Times New Roman;serif" w:hAnsi="Times New Roman;serif"/>
                  <w:b/>
                  <w:strike w:val="false"/>
                  <w:dstrike w:val="false"/>
                  <w:color w:val="000000"/>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32">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32">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32">
              <w:r>
                <w:rPr>
                  <w:rStyle w:val="InternetLink"/>
                  <w:rFonts w:ascii="Times New Roman;serif" w:hAnsi="Times New Roman;serif"/>
                  <w:b w:val="false"/>
                  <w:strike w:val="false"/>
                  <w:dstrike w:val="false"/>
                  <w:color w:val="000000"/>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35">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35">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35">
              <w:r>
                <w:rPr>
                  <w:rStyle w:val="InternetLink"/>
                  <w:rFonts w:ascii="Times New Roman;serif" w:hAnsi="Times New Roman;serif"/>
                  <w:b w:val="false"/>
                  <w:strike w:val="false"/>
                  <w:dstrike w:val="false"/>
                  <w:color w:val="000000"/>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38">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38">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38">
              <w:r>
                <w:rPr>
                  <w:rStyle w:val="InternetLink"/>
                  <w:rFonts w:ascii="Times New Roman;serif" w:hAnsi="Times New Roman;serif"/>
                  <w:b w:val="false"/>
                  <w:strike w:val="false"/>
                  <w:dstrike w:val="false"/>
                  <w:color w:val="000000"/>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41">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41">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41">
              <w:r>
                <w:rPr>
                  <w:rStyle w:val="InternetLink"/>
                  <w:rFonts w:ascii="Times New Roman;serif" w:hAnsi="Times New Roman;serif"/>
                  <w:b w:val="false"/>
                  <w:strike w:val="false"/>
                  <w:dstrike w:val="false"/>
                  <w:color w:val="000000"/>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44">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44">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44">
              <w:r>
                <w:rPr>
                  <w:rStyle w:val="InternetLink"/>
                  <w:rFonts w:ascii="Times New Roman;serif" w:hAnsi="Times New Roman;serif"/>
                  <w:b w:val="false"/>
                  <w:strike w:val="false"/>
                  <w:dstrike w:val="false"/>
                  <w:color w:val="000000"/>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47">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47">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47">
              <w:r>
                <w:rPr>
                  <w:rStyle w:val="InternetLink"/>
                  <w:rFonts w:ascii="Times New Roman;serif" w:hAnsi="Times New Roman;serif"/>
                  <w:b w:val="false"/>
                  <w:strike w:val="false"/>
                  <w:dstrike w:val="false"/>
                  <w:color w:val="000000"/>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50">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50">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50">
              <w:r>
                <w:rPr>
                  <w:rStyle w:val="InternetLink"/>
                  <w:rFonts w:ascii="Times New Roman;serif" w:hAnsi="Times New Roman;serif"/>
                  <w:b w:val="false"/>
                  <w:strike w:val="false"/>
                  <w:dstrike w:val="false"/>
                  <w:color w:val="000000"/>
                  <w:sz w:val="20"/>
                  <w:u w:val="none"/>
                  <w:effect w:val="none"/>
                </w:rPr>
                <w:t>74</w:t>
              </w:r>
            </w:hyperlink>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4"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6fe17bce2b4045fdbfb22289a8eb59bd_253">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fe17bce2b4045fdbfb22289a8eb59bd_253">
              <w:r>
                <w:rPr>
                  <w:rStyle w:val="InternetLink"/>
                  <w:rFonts w:ascii="Times New Roman;serif" w:hAnsi="Times New Roman;serif"/>
                  <w:b w:val="false"/>
                  <w:strike w:val="false"/>
                  <w:dstrike w:val="false"/>
                  <w:color w:val="000000"/>
                  <w:sz w:val="20"/>
                  <w:u w:val="none"/>
                  <w:effect w:val="none"/>
                </w:rPr>
                <w:t>75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6fe17bce2b4045fdbfb22289a8eb5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Glossary of Acronyms, Abbreviations, and Terms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terms identified below are used in various sections of this Form 10-Q, including the section entitled “Management’s Discussion and Analysis of Financial Condition and Results of Operations” in Item 2 and the unaudited Consolidated Financial Statements and Notes to the Financial Statements in Item 1 of this Form 10-Q.</w:t>
      </w:r>
    </w:p>
    <w:tbl>
      <w:tblPr>
        <w:tblW w:w="10205" w:type="dxa"/>
        <w:jc w:val="left"/>
        <w:tblInd w:w="0" w:type="dxa"/>
        <w:tblLayout w:type="fixed"/>
        <w:tblCellMar>
          <w:top w:w="28" w:type="dxa"/>
          <w:left w:w="28" w:type="dxa"/>
          <w:bottom w:w="28" w:type="dxa"/>
          <w:right w:w="28" w:type="dxa"/>
        </w:tblCellMar>
      </w:tblPr>
      <w:tblGrid>
        <w:gridCol w:w="684"/>
        <w:gridCol w:w="557"/>
        <w:gridCol w:w="563"/>
        <w:gridCol w:w="1231"/>
        <w:gridCol w:w="1231"/>
        <w:gridCol w:w="1234"/>
        <w:gridCol w:w="109"/>
        <w:gridCol w:w="109"/>
        <w:gridCol w:w="109"/>
        <w:gridCol w:w="260"/>
        <w:gridCol w:w="260"/>
        <w:gridCol w:w="261"/>
        <w:gridCol w:w="1256"/>
        <w:gridCol w:w="966"/>
        <w:gridCol w:w="1375"/>
      </w:tblGrid>
      <w:tr>
        <w:trPr/>
        <w:tc>
          <w:tcPr>
            <w:tcW w:w="68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Annual Report on Form 10-K</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Company’s Annual Report on Form 10-K for the 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w:t>
            </w:r>
          </w:p>
        </w:tc>
        <w:tc>
          <w:tcPr>
            <w:tcW w:w="3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Federal Home Loan Mortgage Corporation</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w:t>
            </w:r>
          </w:p>
        </w:tc>
        <w:tc>
          <w:tcPr>
            <w:tcW w:w="3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Federal National Mortgage Association</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U.S.</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Bancorp</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Five Star Bancorp and its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w:t>
            </w:r>
          </w:p>
        </w:tc>
        <w:tc>
          <w:tcPr>
            <w:tcW w:w="3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National Mortgage Association</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Five Star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w:t>
            </w:r>
          </w:p>
        </w:tc>
        <w:tc>
          <w:tcPr>
            <w:tcW w:w="3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Government Sponsored Entity</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Basel III</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capital framework and rules for U.S. banking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w:t>
            </w:r>
          </w:p>
        </w:tc>
        <w:tc>
          <w:tcPr>
            <w:tcW w:w="3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Initial Public Offering</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BOLI</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Bank-Owned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LM</w:t>
            </w:r>
          </w:p>
        </w:tc>
        <w:tc>
          <w:tcPr>
            <w:tcW w:w="3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Loan modification made to borrower experiencing financial difficulty</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CECL</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Current Expected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NII</w:t>
            </w:r>
          </w:p>
        </w:tc>
        <w:tc>
          <w:tcPr>
            <w:tcW w:w="3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Interest Income</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CFPB</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Consumer Financial Protection Bureau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w:t>
            </w:r>
          </w:p>
        </w:tc>
        <w:tc>
          <w:tcPr>
            <w:tcW w:w="3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CME</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Chicago Mercantile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w:t>
            </w:r>
          </w:p>
        </w:tc>
        <w:tc>
          <w:tcPr>
            <w:tcW w:w="3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Performance-based Restricted Stock Unit</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w:t>
            </w:r>
          </w:p>
        </w:tc>
        <w:tc>
          <w:tcPr>
            <w:tcW w:w="3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Restricted Stock Award</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Economic Value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ROAA</w:t>
            </w:r>
          </w:p>
        </w:tc>
        <w:tc>
          <w:tcPr>
            <w:tcW w:w="3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Return on Average Assets, annualized</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ROAE</w:t>
            </w:r>
          </w:p>
        </w:tc>
        <w:tc>
          <w:tcPr>
            <w:tcW w:w="3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Return on Average Equity, annualized</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Federal Deposit Insurance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Small Business Administration</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Reserve</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Board of Governors of the Federal Reserve System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FFIEC</w:t>
            </w:r>
          </w:p>
        </w:tc>
        <w:tc>
          <w:tcPr>
            <w:tcW w:w="3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Federal Financial Institutions Examination Council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w:t>
            </w:r>
          </w:p>
        </w:tc>
        <w:tc>
          <w:tcPr>
            <w:tcW w:w="3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Federal Home Loan Bank of 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6fe17bce2b4045fdbfb22289a8eb59b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FIVE STAR BANCORP AND SUBSIDIARY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4"/>
        <w:gridCol w:w="2069"/>
        <w:gridCol w:w="2076"/>
        <w:gridCol w:w="109"/>
        <w:gridCol w:w="109"/>
        <w:gridCol w:w="109"/>
        <w:gridCol w:w="196"/>
        <w:gridCol w:w="886"/>
        <w:gridCol w:w="109"/>
        <w:gridCol w:w="109"/>
        <w:gridCol w:w="109"/>
        <w:gridCol w:w="109"/>
        <w:gridCol w:w="217"/>
        <w:gridCol w:w="981"/>
        <w:gridCol w:w="173"/>
      </w:tblGrid>
      <w:tr>
        <w:trPr/>
        <w:tc>
          <w:tcPr>
            <w:tcW w:w="284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685,074 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506,851 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in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Securities available-for-sale, at fair value, net of allowance for credit losses of $0 at June 30, 2026 and December 31, 2025 (amortized cost of $103,308 and $107,197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94,699 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Securities held-to-maturity, at amortized cost, net of allowance for credit losses of $20 at June 30, 2026 and December 31, 2025 (fair value of $1,927 and $1,995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4,074,929 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Loans held for investment, net of allowance for 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4,472,346 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4,030,520 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1" w:name="i0f6bc7a91b2640208addbacb0d5aa253_12-0-1"/>
            <w:bookmarkEnd w:id="1"/>
            <w:r>
              <w:rPr>
                <w:rFonts w:ascii="Times New Roman;serif" w:hAnsi="Times New Roman;serif"/>
                <w:b w:val="false"/>
                <w:color w:val="000000"/>
                <w:sz w:val="18"/>
              </w:rPr>
              <w:t>Federal Home Loan Bank of San Francisco (“FHLB”)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 right-of-use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Bank-owned life insurance,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receivable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5,377,062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4,754,861</w:t>
            </w:r>
            <w:r>
              <w:rPr>
                <w:color w:val="000000"/>
              </w:rPr>
              <w:t>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1,084,537 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3,116,547 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4,799,383 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4,201,084 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4,903,291 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4,309,029 </w:t>
            </w:r>
          </w:p>
        </w:tc>
        <w:tc>
          <w:tcPr>
            <w:tcW w:w="17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no par value; 10,000,000 shares authorized; zero issued and outstanding at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no par value; 100,000,000 shares authorized; 21,402,864 shares issued and outstanding at June 30, 2026; 21,367,387 shares issued and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445,832 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Total liabilities and shareholders</w:t>
            </w:r>
            <w:r>
              <w:rPr>
                <w:color w:val="000000"/>
              </w:rPr>
              <w:t xml:space="preserve">’ </w:t>
            </w:r>
            <w:r>
              <w:rPr>
                <w:rFonts w:ascii="Times New Roman;serif" w:hAnsi="Times New Roman;serif"/>
                <w:b/>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5,377,062</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4,754,861</w:t>
            </w:r>
            <w:r>
              <w:rPr>
                <w:color w:val="000000"/>
              </w:rPr>
              <w:t> </w:t>
            </w:r>
          </w:p>
        </w:tc>
        <w:tc>
          <w:tcPr>
            <w:tcW w:w="17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FIVE STAR BANCORP AND SUBSIDIARY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38"/>
        <w:gridCol w:w="1400"/>
        <w:gridCol w:w="1409"/>
        <w:gridCol w:w="109"/>
        <w:gridCol w:w="109"/>
        <w:gridCol w:w="109"/>
        <w:gridCol w:w="211"/>
        <w:gridCol w:w="736"/>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55"/>
      </w:tblGrid>
      <w:tr>
        <w:trPr/>
        <w:tc>
          <w:tcPr>
            <w:tcW w:w="163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br/>
              <w:t>June 30,</w:t>
            </w:r>
          </w:p>
        </w:tc>
      </w:tr>
      <w:tr>
        <w:trPr/>
        <w:tc>
          <w:tcPr>
            <w:tcW w:w="4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Interest and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 including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108,947 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Nontaxable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Interest-bearing deposits in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interest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72,327 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60,580 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139,674 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117,667 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26,244 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24,065 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50,134 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47,175 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43,833 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66,092 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sale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FHLB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on bank-owned life insurance (“BOLI”)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3,169 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Data processing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Federal Deposit Insurance Corporation (“FDIC”)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Advertising and promotional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19,616 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15,726 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30,771 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19,399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14,508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38,020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27,619</w:t>
            </w:r>
            <w:r>
              <w:rPr>
                <w:color w:val="000000"/>
              </w:rPr>
              <w:t>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FIVE STAR BANCORP AND SUBSIDIARY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88"/>
        <w:gridCol w:w="1417"/>
        <w:gridCol w:w="1422"/>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5"/>
      </w:tblGrid>
      <w:tr>
        <w:trPr/>
        <w:tc>
          <w:tcPr>
            <w:tcW w:w="178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unrealized holding gain (loss) on securities available-for-sale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Income tax expense related to items of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20,099</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14,196</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37,748</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28,032</w:t>
            </w:r>
            <w:r>
              <w:rPr>
                <w:color w:val="000000"/>
              </w:rPr>
              <w:t> </w:t>
            </w:r>
          </w:p>
        </w:tc>
        <w:tc>
          <w:tcPr>
            <w:tcW w:w="15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FIVE STAR BANCORP AND SUBSIDIARY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83"/>
        <w:gridCol w:w="427"/>
        <w:gridCol w:w="430"/>
        <w:gridCol w:w="109"/>
        <w:gridCol w:w="109"/>
        <w:gridCol w:w="109"/>
        <w:gridCol w:w="547"/>
        <w:gridCol w:w="549"/>
        <w:gridCol w:w="228"/>
        <w:gridCol w:w="109"/>
        <w:gridCol w:w="109"/>
        <w:gridCol w:w="109"/>
        <w:gridCol w:w="211"/>
        <w:gridCol w:w="841"/>
        <w:gridCol w:w="109"/>
        <w:gridCol w:w="109"/>
        <w:gridCol w:w="109"/>
        <w:gridCol w:w="109"/>
        <w:gridCol w:w="223"/>
        <w:gridCol w:w="892"/>
        <w:gridCol w:w="115"/>
        <w:gridCol w:w="109"/>
        <w:gridCol w:w="109"/>
        <w:gridCol w:w="109"/>
        <w:gridCol w:w="342"/>
        <w:gridCol w:w="1197"/>
        <w:gridCol w:w="179"/>
        <w:gridCol w:w="109"/>
        <w:gridCol w:w="109"/>
        <w:gridCol w:w="109"/>
        <w:gridCol w:w="260"/>
        <w:gridCol w:w="1039"/>
        <w:gridCol w:w="198"/>
      </w:tblGrid>
      <w:tr>
        <w:trPr/>
        <w:tc>
          <w:tcPr>
            <w:tcW w:w="78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21,329,235 </w:t>
            </w:r>
          </w:p>
        </w:tc>
        <w:tc>
          <w:tcPr>
            <w:tcW w:w="2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302,788 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115,309 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w:t>
            </w:r>
          </w:p>
        </w:tc>
        <w:tc>
          <w:tcPr>
            <w:tcW w:w="17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406,451 </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paid ($0.20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21,360,991</w:t>
            </w:r>
            <w:r>
              <w:rPr>
                <w:color w:val="000000"/>
              </w:rPr>
              <w:t> </w:t>
            </w:r>
          </w:p>
        </w:tc>
        <w:tc>
          <w:tcPr>
            <w:tcW w:w="2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303,155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125,545</w:t>
            </w:r>
            <w:r>
              <w:rPr>
                <w:color w:val="000000"/>
              </w:rPr>
              <w:t>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(11,958)</w:t>
            </w:r>
          </w:p>
        </w:tc>
        <w:tc>
          <w:tcPr>
            <w:tcW w:w="17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416,742</w:t>
            </w:r>
            <w:r>
              <w:rPr>
                <w:color w:val="000000"/>
              </w:rPr>
              <w:t> </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21,376,153 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paid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21,402,864</w:t>
            </w:r>
            <w:r>
              <w:rPr>
                <w:color w:val="000000"/>
              </w:rPr>
              <w:t> </w:t>
            </w:r>
          </w:p>
        </w:tc>
        <w:tc>
          <w:tcPr>
            <w:tcW w:w="22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304,868</w:t>
            </w: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178,318</w:t>
            </w:r>
            <w:r>
              <w:rPr>
                <w:color w:val="000000"/>
              </w:rPr>
              <w:t> </w:t>
            </w:r>
          </w:p>
        </w:tc>
        <w:tc>
          <w:tcPr>
            <w:tcW w:w="11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(9,415)</w:t>
            </w:r>
          </w:p>
        </w:tc>
        <w:tc>
          <w:tcPr>
            <w:tcW w:w="17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473,771</w:t>
            </w:r>
            <w:r>
              <w:rPr>
                <w:color w:val="000000"/>
              </w:rPr>
              <w:t> </w:t>
            </w:r>
          </w:p>
        </w:tc>
        <w:tc>
          <w:tcPr>
            <w:tcW w:w="19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FIVE STAR BANCORP AND SUBSIDIARY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83"/>
        <w:gridCol w:w="427"/>
        <w:gridCol w:w="430"/>
        <w:gridCol w:w="109"/>
        <w:gridCol w:w="109"/>
        <w:gridCol w:w="109"/>
        <w:gridCol w:w="547"/>
        <w:gridCol w:w="549"/>
        <w:gridCol w:w="228"/>
        <w:gridCol w:w="109"/>
        <w:gridCol w:w="109"/>
        <w:gridCol w:w="109"/>
        <w:gridCol w:w="211"/>
        <w:gridCol w:w="841"/>
        <w:gridCol w:w="109"/>
        <w:gridCol w:w="109"/>
        <w:gridCol w:w="109"/>
        <w:gridCol w:w="109"/>
        <w:gridCol w:w="223"/>
        <w:gridCol w:w="892"/>
        <w:gridCol w:w="115"/>
        <w:gridCol w:w="109"/>
        <w:gridCol w:w="109"/>
        <w:gridCol w:w="109"/>
        <w:gridCol w:w="342"/>
        <w:gridCol w:w="1197"/>
        <w:gridCol w:w="179"/>
        <w:gridCol w:w="109"/>
        <w:gridCol w:w="109"/>
        <w:gridCol w:w="109"/>
        <w:gridCol w:w="260"/>
        <w:gridCol w:w="1039"/>
        <w:gridCol w:w="198"/>
      </w:tblGrid>
      <w:tr>
        <w:trPr/>
        <w:tc>
          <w:tcPr>
            <w:tcW w:w="78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21,319,083 </w:t>
            </w:r>
          </w:p>
        </w:tc>
        <w:tc>
          <w:tcPr>
            <w:tcW w:w="2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302,531 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106,464 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w:t>
            </w:r>
          </w:p>
        </w:tc>
        <w:tc>
          <w:tcPr>
            <w:tcW w:w="17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396,624 </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paid ($0.40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21,360,991</w:t>
            </w:r>
            <w:r>
              <w:rPr>
                <w:color w:val="000000"/>
              </w:rPr>
              <w:t> </w:t>
            </w:r>
          </w:p>
        </w:tc>
        <w:tc>
          <w:tcPr>
            <w:tcW w:w="2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303,155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125,545</w:t>
            </w:r>
            <w:r>
              <w:rPr>
                <w:color w:val="000000"/>
              </w:rPr>
              <w:t> </w:t>
            </w:r>
          </w:p>
        </w:tc>
        <w:tc>
          <w:tcPr>
            <w:tcW w:w="1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(11,958)</w:t>
            </w:r>
          </w:p>
        </w:tc>
        <w:tc>
          <w:tcPr>
            <w:tcW w:w="17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416,742</w:t>
            </w:r>
            <w:r>
              <w:rPr>
                <w:color w:val="000000"/>
              </w:rPr>
              <w:t> </w:t>
            </w:r>
          </w:p>
        </w:tc>
        <w:tc>
          <w:tcPr>
            <w:tcW w:w="19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21,367,387 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stock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paid ($0.50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21,402,864</w:t>
            </w:r>
            <w:r>
              <w:rPr>
                <w:color w:val="000000"/>
              </w:rPr>
              <w:t> </w:t>
            </w:r>
          </w:p>
        </w:tc>
        <w:tc>
          <w:tcPr>
            <w:tcW w:w="2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304,868</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178,318</w:t>
            </w:r>
            <w:r>
              <w:rPr>
                <w:color w:val="000000"/>
              </w:rPr>
              <w:t> </w:t>
            </w:r>
          </w:p>
        </w:tc>
        <w:tc>
          <w:tcPr>
            <w:tcW w:w="11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(9,415)</w:t>
            </w:r>
          </w:p>
        </w:tc>
        <w:tc>
          <w:tcPr>
            <w:tcW w:w="17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473,771</w:t>
            </w:r>
            <w:r>
              <w:rPr>
                <w:color w:val="000000"/>
              </w:rPr>
              <w:t> </w:t>
            </w:r>
          </w:p>
        </w:tc>
        <w:tc>
          <w:tcPr>
            <w:tcW w:w="1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FIVE STAR BANCORP AND SUBSIDIARY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40" w:type="dxa"/>
        <w:jc w:val="center"/>
        <w:tblInd w:w="0" w:type="dxa"/>
        <w:tblLayout w:type="fixed"/>
        <w:tblCellMar>
          <w:top w:w="28" w:type="dxa"/>
          <w:left w:w="28" w:type="dxa"/>
          <w:bottom w:w="28" w:type="dxa"/>
          <w:right w:w="28" w:type="dxa"/>
        </w:tblCellMar>
      </w:tblPr>
      <w:tblGrid>
        <w:gridCol w:w="2433"/>
        <w:gridCol w:w="2141"/>
        <w:gridCol w:w="2145"/>
        <w:gridCol w:w="109"/>
        <w:gridCol w:w="109"/>
        <w:gridCol w:w="109"/>
        <w:gridCol w:w="211"/>
        <w:gridCol w:w="841"/>
        <w:gridCol w:w="109"/>
        <w:gridCol w:w="109"/>
        <w:gridCol w:w="109"/>
        <w:gridCol w:w="109"/>
        <w:gridCol w:w="211"/>
        <w:gridCol w:w="841"/>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deferred loan fees and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premiums and discounts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subordinated note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low income housing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on 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transferable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Loans originated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sale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proceeds from 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Losses (earnings) on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changes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receivable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42,606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33,262</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Maturities, prepayments, and calls of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call for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received from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call for low income housing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 in time deposits in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 originations, net of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real estate sale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(451,995)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(229,885)</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 in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587,612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328,090</w:t>
            </w: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178,223 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131,467 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352,343 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685,074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483,810</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7940" w:type="dxa"/>
        <w:jc w:val="center"/>
        <w:tblInd w:w="0" w:type="dxa"/>
        <w:tblLayout w:type="fixed"/>
        <w:tblCellMar>
          <w:top w:w="28" w:type="dxa"/>
          <w:left w:w="28" w:type="dxa"/>
          <w:bottom w:w="28" w:type="dxa"/>
          <w:right w:w="28" w:type="dxa"/>
        </w:tblCellMar>
      </w:tblPr>
      <w:tblGrid>
        <w:gridCol w:w="1868"/>
        <w:gridCol w:w="1644"/>
        <w:gridCol w:w="1647"/>
        <w:gridCol w:w="109"/>
        <w:gridCol w:w="109"/>
        <w:gridCol w:w="109"/>
        <w:gridCol w:w="211"/>
        <w:gridCol w:w="721"/>
        <w:gridCol w:w="109"/>
        <w:gridCol w:w="109"/>
        <w:gridCol w:w="109"/>
        <w:gridCol w:w="109"/>
        <w:gridCol w:w="211"/>
        <w:gridCol w:w="721"/>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Six Months Ended June 30,</w:t>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Income taxes paid:</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US 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Other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6,802 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 of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Transfer from loans held for sale to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(loss) gain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exchanged for ROUA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ROUA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commitment for low income housing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consolidated financial statements.</w:t>
      </w:r>
    </w:p>
    <w:p>
      <w:pPr>
        <w:pStyle w:val="TextBody"/>
        <w:bidi w:val="0"/>
        <w:spacing w:lineRule="auto" w:line="288" w:before="240" w:after="283"/>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Income taxes are presented by significant jurisdictions beginning in 2026 as required by ASU No. 2023-09, </w:t>
      </w:r>
      <w:r>
        <w:rPr>
          <w:rFonts w:ascii="Times New Roman;serif" w:hAnsi="Times New Roman;serif"/>
          <w:b w:val="false"/>
          <w:i/>
          <w:color w:val="000000"/>
          <w:sz w:val="20"/>
        </w:rPr>
        <w:t>Income Taxes (Topic 740) - Improvements to Income Tax Disclosures</w:t>
      </w:r>
      <w:r>
        <w:rPr>
          <w:color w:val="000000"/>
        </w:rPr>
        <w:t xml:space="preserve"> </w:t>
      </w:r>
      <w:r>
        <w:rPr>
          <w:rFonts w:ascii="Times New Roman;serif" w:hAnsi="Times New Roman;serif"/>
          <w:b w:val="false"/>
          <w:color w:val="000000"/>
          <w:sz w:val="20"/>
        </w:rPr>
        <w:t>(“ASU 2023-09”). This standard has been applied on a prospective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color w:val="000000"/>
          <w:sz w:val="20"/>
        </w:rPr>
        <w:t>NOTES TO CONSOLIDATED FINANCIAL STATEMENTS</w:t>
      </w:r>
      <w:r>
        <w:rPr>
          <w:color w:val="000000"/>
        </w:rPr>
        <w:t xml:space="preserve"> </w:t>
      </w: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Basis of Presentation and Summary of Significant Accounting Policies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 Organization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Five Star Bank (the “Bank”) was chartered on October 26, 1999 and began operations on December 20, 1999. Five Star Bancorp (“Bancorp” or the “Company”) was incorporated on September 16, 2002 and subsequently obtained approval from the Board of Governors of the Federal Reserve System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through the Bank, provides a broad range of banking products and services to customers who are predominately small and medium-sized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nine branch offices in Roseville, Natomas, Rancho Cordova, Redding, Elk Grove, Chico, Yuba City, San Francisco, and Walnut Creek, with a tenth branch opening in Lodi in July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 Basis of Financial Statement Presentation and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accounting principles generally accepted in the United States of America (“GAAP”) as contained within the Financial Accounting Standards Board’s (“FASB”) Accounting Standards Codification (“ASC”), including Accounting Standards Updates (“ASU”), and the rules and regulations of the Securities and Exchange Commission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2025, and the notes thereto, included in the Company’s Annual Report on Form 10-K (the “2025 Annual Report on Form 10-K”), which was filed with the SEC on February 27,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include Bancorp and its wholly owned subsidiary, the Bank. All significant intercompany transactions and balances are eliminated in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results of operations that may be expected for any other interim period or for the year ending December 31,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accounting and reporting policies conform to GAAP and to general practices within the banking industry.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 Segments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one reportable operating segment: banking. The banking segment derives its revenues through the Bank, which provides a broad range of banking products and services to customers who are predominantly small and middle-market businesses, professionals, and individuals primarily in the Northern California region. The Company manages the business activities on a consolidated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metrics are used by the CODM to make key operating decisions, such as determination of the rate at which the Company seeks to grow, loan and deposit pricing, and the allocation of budget for non-interest expenses. Net income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used to monitor budget versus actual results. Discrete financial information is not available other than on a Company-wide basis.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 Emerging Growth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qualifies as an emerging growth company as defined in the Jumpstart Our Business Startups Act of 2012 (the “JOBS Act”), and, as such, may take advantage of specified reduced reporting requirements and deferred adoption dates for accounting standards, and is relieved of other significant requirements that are otherwise generally applicable to other public companies. The Company will remain an emerging growth company until the last day of the fiscal year following the fifth anniversary of its initial public offering (“IPO”) date of May 5, 2021, unless one of the following occurs: (i) total annual gross revenues are $1.235 billion or more; (ii) the Company issues more than $1.0 billion in non-convertible debt; or (iii) the Company becomes a large accelerated filer with a public float of more than $0.7 billion, as measured at June 30 annually.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 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significant accounting policies are included in Note 1, Basis of Presentation in the notes to our audited consolidated financial statements included in the 2025 Annual Report on Form 10-K.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 Recently Issued Accounting Standards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information reflects recent accounting standards that have been adopted or are pending adoption by the Company.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 Our early adoption of ASU 2023-09 was voluntary and does not represent an irrevocable election to opt out of the extended transition period for all standards. The accounting standards discussed below indicate effective dates for the Company as an emerging growth company using the extended transition period.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Adopted in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which enhances the transparency and decision usefulness of income tax disclosures. ASU 2023-09 requires disaggregated information about a reporting entity’s effective tax rate reconciliation as well as information on income taxes paid. Entities are also required to disclose income/(loss) from continuing operations before income tax expense/(benefit) disaggregated between domestic and foreign operations, as well as income tax expense/(benefit) from continuing operations disaggregated by federal, state, and foreign operations. ASU 2023-09 is effective for fiscal years beginning after December 15, 2025, including interim periods within those fiscal years, for emerging growth companies that have elected not to opt out of the extended transition period. The Company elected to early adopt ASU 2023-09 for the fiscal year ended December 31, 2025, which did not have a significant impact on the Company’s consolidated financial statements. The Company’s early adoption of ASU 2023-09 was voluntary and does not represent an irrevocable election to opt out of the extended transition period for all standards. The Company has updated its income tax disclosures in accordance with ASU 2023-09, which primarily enhances transparency regarding income tax expense and related items.</w:t>
      </w:r>
    </w:p>
    <w:p>
      <w:pPr>
        <w:pStyle w:val="TextBody"/>
        <w:bidi w:val="0"/>
        <w:spacing w:lineRule="auto" w:line="288" w:before="240" w:after="283"/>
        <w:jc w:val="both"/>
        <w:rPr/>
      </w:pPr>
      <w:r>
        <w:rPr>
          <w:rFonts w:ascii="Times New Roman;serif" w:hAnsi="Times New Roman;serif"/>
          <w:b w:val="false"/>
          <w:color w:val="000000"/>
          <w:sz w:val="20"/>
        </w:rPr>
        <w:t xml:space="preserve">In March 2024, the FASB issued ASU 2024-02, </w:t>
      </w:r>
      <w:r>
        <w:rPr>
          <w:rFonts w:ascii="Times New Roman;serif" w:hAnsi="Times New Roman;serif"/>
          <w:b w:val="false"/>
          <w:i/>
          <w:color w:val="000000"/>
          <w:sz w:val="20"/>
        </w:rPr>
        <w:t>Codification Improvements - Amendments to Remove References to the Concepts Statements</w:t>
      </w:r>
      <w:r>
        <w:rPr>
          <w:color w:val="000000"/>
        </w:rPr>
        <w:t xml:space="preserve"> </w:t>
      </w:r>
      <w:r>
        <w:rPr>
          <w:rFonts w:ascii="Times New Roman;serif" w:hAnsi="Times New Roman;serif"/>
          <w:b w:val="false"/>
          <w:color w:val="000000"/>
          <w:sz w:val="20"/>
        </w:rPr>
        <w:t>(“ASU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2026 for emerging growth companies electing not to opt out of the extended transition period and has not had a significant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Issued But Not Yet Adopted</w:t>
      </w:r>
    </w:p>
    <w:p>
      <w:pPr>
        <w:pStyle w:val="TextBody"/>
        <w:bidi w:val="0"/>
        <w:spacing w:lineRule="auto" w:line="288" w:before="240" w:after="283"/>
        <w:jc w:val="both"/>
        <w:rPr/>
      </w:pPr>
      <w:r>
        <w:rPr>
          <w:rFonts w:ascii="Times New Roman;serif" w:hAnsi="Times New Roman;serif"/>
          <w:b w:val="false"/>
          <w:color w:val="000000"/>
          <w:sz w:val="20"/>
        </w:rPr>
        <w:t xml:space="preserve">In October 2023, the FASB issued ASU No. 2023-06, </w:t>
      </w:r>
      <w:r>
        <w:rPr>
          <w:rFonts w:ascii="Times New Roman;serif" w:hAnsi="Times New Roman;serif"/>
          <w:b w:val="false"/>
          <w:i/>
          <w:color w:val="000000"/>
          <w:sz w:val="20"/>
        </w:rPr>
        <w:t xml:space="preserve">Disclosure Improvements - Codification Amendments in Response to the SEC’s Disclosure Update and Simplification Initiative </w:t>
      </w:r>
      <w:r>
        <w:rPr>
          <w:rFonts w:ascii="Times New Roman;serif" w:hAnsi="Times New Roman;serif"/>
          <w:b w:val="false"/>
          <w:color w:val="000000"/>
          <w:sz w:val="20"/>
        </w:rPr>
        <w:t>(“ASU 2023-06”), amending disclosure or presentation requirements related to various subtopics in the FASB’s ASC. ASU 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pStyle w:val="TextBody"/>
        <w:bidi w:val="0"/>
        <w:spacing w:lineRule="auto" w:line="288" w:before="240" w:after="283"/>
        <w:jc w:val="both"/>
        <w:rPr/>
      </w:pPr>
      <w:r>
        <w:rPr>
          <w:rFonts w:ascii="Times New Roman;serif" w:hAnsi="Times New Roman;serif"/>
          <w:b w:val="false"/>
          <w:color w:val="000000"/>
          <w:sz w:val="20"/>
        </w:rPr>
        <w:t xml:space="preserve">On November 4, 2024, the FASB issued ASU 2024-03,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(“Subtopic 220-40”)</w:t>
      </w:r>
      <w:r>
        <w:rPr>
          <w:rFonts w:ascii="Times New Roman;serif" w:hAnsi="Times New Roman;serif"/>
          <w:b w:val="false"/>
          <w:i/>
          <w:color w:val="000000"/>
          <w:sz w:val="20"/>
        </w:rPr>
        <w:t>: Disaggregation of Income Statement Expenses</w:t>
      </w:r>
      <w:r>
        <w:rPr>
          <w:color w:val="000000"/>
        </w:rPr>
        <w:t xml:space="preserve"> </w:t>
      </w:r>
      <w:r>
        <w:rPr>
          <w:rFonts w:ascii="Times New Roman;serif" w:hAnsi="Times New Roman;serif"/>
          <w:b w:val="false"/>
          <w:color w:val="000000"/>
          <w:sz w:val="20"/>
        </w:rPr>
        <w:t xml:space="preserve">(“ASU 2024-03”) and in January 2025 the FASB issued ASU 2025-01,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This standard responds to investor input by requiring public companies to disclose, in interim and annual reporting periods, additional 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 Reclassifications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Fair Value of Assets and Liabilities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Hierarchy and Fair Value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require the Company to maximize the use of observable inputs and minimize the use of unobservable inputs when measuring fair value. The standard describes three levels of inputs that may be used to measure fair value:</w:t>
      </w:r>
    </w:p>
    <w:p>
      <w:pPr>
        <w:pStyle w:val="TextBody"/>
        <w:bidi w:val="0"/>
        <w:spacing w:lineRule="auto" w:line="288" w:before="240" w:after="283"/>
        <w:jc w:val="both"/>
        <w:rPr/>
      </w:pPr>
      <w:r>
        <w:rPr>
          <w:rFonts w:ascii="Times New Roman;serif" w:hAnsi="Times New Roman;serif"/>
          <w:b w:val="false"/>
          <w:color w:val="000000"/>
          <w:sz w:val="20"/>
          <w:u w:val="single"/>
        </w:rPr>
        <w:t>Level 1</w:t>
      </w:r>
      <w:r>
        <w:rPr>
          <w:rFonts w:ascii="Times New Roman;serif" w:hAnsi="Times New Roman;serif"/>
          <w:b w:val="false"/>
          <w:color w:val="000000"/>
          <w:sz w:val="20"/>
        </w:rPr>
        <w:t>: Quoted prices (unadjusted) for identical assets or liabilities in active markets that the Company has the ability to access as of the measurement date.</w:t>
      </w:r>
    </w:p>
    <w:p>
      <w:pPr>
        <w:pStyle w:val="TextBody"/>
        <w:bidi w:val="0"/>
        <w:spacing w:lineRule="auto" w:line="288" w:before="240" w:after="283"/>
        <w:jc w:val="both"/>
        <w:rPr/>
      </w:pPr>
      <w:r>
        <w:rPr>
          <w:rFonts w:ascii="Times New Roman;serif" w:hAnsi="Times New Roman;serif"/>
          <w:b w:val="false"/>
          <w:color w:val="000000"/>
          <w:sz w:val="20"/>
          <w:u w:val="single"/>
        </w:rPr>
        <w:t>Level 2</w:t>
      </w:r>
      <w:r>
        <w:rPr>
          <w:rFonts w:ascii="Times New Roman;serif" w:hAnsi="Times New Roman;serif"/>
          <w:b w:val="false"/>
          <w:color w:val="000000"/>
          <w:sz w:val="20"/>
        </w:rPr>
        <w:t>: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240" w:after="283"/>
        <w:jc w:val="both"/>
        <w:rPr/>
      </w:pPr>
      <w:r>
        <w:rPr>
          <w:rFonts w:ascii="Times New Roman;serif" w:hAnsi="Times New Roman;serif"/>
          <w:b w:val="false"/>
          <w:color w:val="000000"/>
          <w:sz w:val="20"/>
          <w:u w:val="single"/>
        </w:rPr>
        <w:t>Level 3</w:t>
      </w:r>
      <w:r>
        <w:rPr>
          <w:rFonts w:ascii="Times New Roman;serif" w:hAnsi="Times New Roman;serif"/>
          <w:b w:val="false"/>
          <w:color w:val="000000"/>
          <w:sz w:val="20"/>
        </w:rPr>
        <w:t>: Significant unobservable inputs that reflect the Company’s own assumptions about the assumptions that market participants would use in pricing an asset or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2.1 summarizes the Company’s assets and liabilities required to be recorded at fair value on a recurring basis.</w:t>
      </w:r>
    </w:p>
    <w:tbl>
      <w:tblPr>
        <w:tblW w:w="10205" w:type="dxa"/>
        <w:jc w:val="left"/>
        <w:tblInd w:w="0" w:type="dxa"/>
        <w:tblLayout w:type="fixed"/>
        <w:tblCellMar>
          <w:top w:w="28" w:type="dxa"/>
          <w:left w:w="28" w:type="dxa"/>
          <w:bottom w:w="28" w:type="dxa"/>
          <w:right w:w="28" w:type="dxa"/>
        </w:tblCellMar>
      </w:tblPr>
      <w:tblGrid>
        <w:gridCol w:w="867"/>
        <w:gridCol w:w="762"/>
        <w:gridCol w:w="767"/>
        <w:gridCol w:w="109"/>
        <w:gridCol w:w="109"/>
        <w:gridCol w:w="109"/>
        <w:gridCol w:w="215"/>
        <w:gridCol w:w="736"/>
        <w:gridCol w:w="111"/>
        <w:gridCol w:w="109"/>
        <w:gridCol w:w="109"/>
        <w:gridCol w:w="109"/>
        <w:gridCol w:w="311"/>
        <w:gridCol w:w="598"/>
        <w:gridCol w:w="162"/>
        <w:gridCol w:w="109"/>
        <w:gridCol w:w="109"/>
        <w:gridCol w:w="109"/>
        <w:gridCol w:w="239"/>
        <w:gridCol w:w="817"/>
        <w:gridCol w:w="123"/>
        <w:gridCol w:w="109"/>
        <w:gridCol w:w="109"/>
        <w:gridCol w:w="109"/>
        <w:gridCol w:w="387"/>
        <w:gridCol w:w="746"/>
        <w:gridCol w:w="201"/>
        <w:gridCol w:w="109"/>
        <w:gridCol w:w="109"/>
        <w:gridCol w:w="109"/>
        <w:gridCol w:w="446"/>
        <w:gridCol w:w="446"/>
        <w:gridCol w:w="636"/>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2.1: Fair Value on a Recurring Basis</w:t>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Measurement Categories: Changes in Fair Value Recorded In</w:t>
            </w:r>
            <w:r>
              <w:rPr>
                <w:rFonts w:ascii="Times New Roman;serif" w:hAnsi="Times New Roman;serif"/>
                <w:b w:val="false"/>
                <w:color w:val="000000"/>
                <w:sz w:val="13"/>
              </w:rPr>
              <w:t>1</w:t>
            </w:r>
          </w:p>
        </w:tc>
      </w:tr>
      <w:tr>
        <w:trPr/>
        <w:tc>
          <w:tcPr>
            <w:tcW w:w="239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 mortgage-backed securities, obligations of states and political subdivisions, collateralized mortgage obligations, and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OCI</w:t>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 mortgage-backed securities, obligations of states and political subdivisions, collateralized mortgage obligations, and 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OCI</w:t>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3"/>
        </w:rPr>
        <w:t>1</w:t>
      </w:r>
      <w:r>
        <w:rPr>
          <w:rFonts w:ascii="Times New Roman;serif" w:hAnsi="Times New Roman;serif"/>
          <w:b w:val="false"/>
          <w:color w:val="000000"/>
          <w:sz w:val="20"/>
        </w:rPr>
        <w:t>Other comprehensive income (“OCI”) or net income (“NI”).</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June 30, 2026 and December 31, 2025, there were no Level 1 available-for-sale securities and no transfers between Level 1 and Level 2 classifications for assets or liabilities measured at fair value on a recurring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June 30, 2026 and December 31, 2025, the carrying amount of assets measured at fair value on a non-recurring basis was immaterial to the Company.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Disclosures about Fair Value of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2.2 is a summary of fair value estimates for financial instruments as of June 30, 2026 and December 31, 2025. The carrying amounts in Table 2.2 are recorded in the consolidated balance sheets under the indicated captions. Further, management has not disclosed the fair value of financial instruments specifically excluded from disclosure requirements, such as BOLI.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4"/>
        <w:gridCol w:w="458"/>
        <w:gridCol w:w="365"/>
        <w:gridCol w:w="109"/>
        <w:gridCol w:w="109"/>
        <w:gridCol w:w="109"/>
        <w:gridCol w:w="214"/>
        <w:gridCol w:w="841"/>
        <w:gridCol w:w="110"/>
        <w:gridCol w:w="109"/>
        <w:gridCol w:w="109"/>
        <w:gridCol w:w="109"/>
        <w:gridCol w:w="211"/>
        <w:gridCol w:w="826"/>
        <w:gridCol w:w="109"/>
        <w:gridCol w:w="109"/>
        <w:gridCol w:w="109"/>
        <w:gridCol w:w="109"/>
        <w:gridCol w:w="313"/>
        <w:gridCol w:w="313"/>
        <w:gridCol w:w="314"/>
        <w:gridCol w:w="109"/>
        <w:gridCol w:w="109"/>
        <w:gridCol w:w="109"/>
        <w:gridCol w:w="214"/>
        <w:gridCol w:w="841"/>
        <w:gridCol w:w="110"/>
        <w:gridCol w:w="109"/>
        <w:gridCol w:w="109"/>
        <w:gridCol w:w="109"/>
        <w:gridCol w:w="211"/>
        <w:gridCol w:w="826"/>
        <w:gridCol w:w="109"/>
        <w:gridCol w:w="109"/>
        <w:gridCol w:w="109"/>
        <w:gridCol w:w="109"/>
        <w:gridCol w:w="288"/>
        <w:gridCol w:w="288"/>
        <w:gridCol w:w="418"/>
      </w:tblGrid>
      <w:tr>
        <w:trPr/>
        <w:tc>
          <w:tcPr>
            <w:tcW w:w="8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2.2: Fair Value Estimates for Financial Instruments</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Hierarchy</w:t>
            </w:r>
          </w:p>
        </w:tc>
      </w:tr>
      <w:tr>
        <w:trPr/>
        <w:tc>
          <w:tcPr>
            <w:tcW w:w="168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in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used the following methods and assumptions to estimate the fair value of its financial instruments at June 30, 2026 and December 31, 2025:</w:t>
      </w:r>
    </w:p>
    <w:p>
      <w:pPr>
        <w:pStyle w:val="TextBody"/>
        <w:bidi w:val="0"/>
        <w:spacing w:lineRule="auto" w:line="288" w:before="240" w:after="283"/>
        <w:jc w:val="both"/>
        <w:rPr/>
      </w:pPr>
      <w:r>
        <w:rPr>
          <w:rFonts w:ascii="Times New Roman;serif" w:hAnsi="Times New Roman;serif"/>
          <w:b w:val="false"/>
          <w:color w:val="000000"/>
          <w:sz w:val="20"/>
          <w:u w:val="single"/>
        </w:rPr>
        <w:t>Cash and cash equivalents and time deposits in banks</w:t>
      </w:r>
      <w:r>
        <w:rPr>
          <w:rFonts w:ascii="Times New Roman;serif" w:hAnsi="Times New Roman;serif"/>
          <w:b w:val="false"/>
          <w:color w:val="000000"/>
          <w:sz w:val="20"/>
        </w:rPr>
        <w:t>: The carrying amount is estimated to be fair value due to the liquid nature of the assets and their short-term maturities.</w:t>
      </w:r>
    </w:p>
    <w:p>
      <w:pPr>
        <w:pStyle w:val="TextBody"/>
        <w:bidi w:val="0"/>
        <w:spacing w:lineRule="auto" w:line="288" w:before="240" w:after="283"/>
        <w:jc w:val="both"/>
        <w:rPr/>
      </w:pPr>
      <w:r>
        <w:rPr>
          <w:rFonts w:ascii="Times New Roman;serif" w:hAnsi="Times New Roman;serif"/>
          <w:b w:val="false"/>
          <w:color w:val="000000"/>
          <w:sz w:val="20"/>
          <w:u w:val="single"/>
        </w:rPr>
        <w:t>Investment securities</w:t>
      </w:r>
      <w:r>
        <w:rPr>
          <w:rFonts w:ascii="Times New Roman;serif" w:hAnsi="Times New Roman;serif"/>
          <w:b w:val="false"/>
          <w:color w:val="000000"/>
          <w:sz w:val="20"/>
        </w:rPr>
        <w:t>: See discussion above for the methods and assumptions used by the Company to estimate the fair value of available-for-sale investment securities. The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pStyle w:val="TextBody"/>
        <w:bidi w:val="0"/>
        <w:spacing w:lineRule="auto" w:line="288" w:before="240" w:after="283"/>
        <w:jc w:val="both"/>
        <w:rPr/>
      </w:pPr>
      <w:r>
        <w:rPr>
          <w:rFonts w:ascii="Times New Roman;serif" w:hAnsi="Times New Roman;serif"/>
          <w:b w:val="false"/>
          <w:color w:val="000000"/>
          <w:sz w:val="20"/>
          <w:u w:val="single"/>
        </w:rPr>
        <w:t>Loans held for investment, net of allowance for credit losses</w:t>
      </w:r>
      <w:r>
        <w:rPr>
          <w:rFonts w:ascii="Times New Roman;serif" w:hAnsi="Times New Roman;serif"/>
          <w:b w:val="false"/>
          <w:color w:val="000000"/>
          <w:sz w:val="20"/>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pStyle w:val="TextBody"/>
        <w:bidi w:val="0"/>
        <w:spacing w:lineRule="auto" w:line="288" w:before="240" w:after="283"/>
        <w:jc w:val="both"/>
        <w:rPr/>
      </w:pPr>
      <w:r>
        <w:rPr>
          <w:rFonts w:ascii="Times New Roman;serif" w:hAnsi="Times New Roman;serif"/>
          <w:b w:val="false"/>
          <w:color w:val="000000"/>
          <w:sz w:val="20"/>
          <w:u w:val="single"/>
        </w:rPr>
        <w:t>Commitments to extend credit</w:t>
      </w:r>
      <w:r>
        <w:rPr>
          <w:rFonts w:ascii="Times New Roman;serif" w:hAnsi="Times New Roman;serif"/>
          <w:b w:val="false"/>
          <w:color w:val="000000"/>
          <w:sz w:val="20"/>
        </w:rPr>
        <w:t>: These are primarily for adjustable rate loans, and there are no differences between the committed amounts and their fair values. Commitments to fund fixed rate loans are at rates which approximate fair value at each reporting date.</w:t>
      </w:r>
    </w:p>
    <w:p>
      <w:pPr>
        <w:pStyle w:val="TextBody"/>
        <w:bidi w:val="0"/>
        <w:spacing w:lineRule="auto" w:line="288" w:before="240" w:after="283"/>
        <w:jc w:val="both"/>
        <w:rPr/>
      </w:pPr>
      <w:r>
        <w:rPr>
          <w:rFonts w:ascii="Times New Roman;serif" w:hAnsi="Times New Roman;serif"/>
          <w:b w:val="false"/>
          <w:color w:val="000000"/>
          <w:sz w:val="20"/>
          <w:u w:val="single"/>
        </w:rPr>
        <w:t>Time deposits</w:t>
      </w:r>
      <w:r>
        <w:rPr>
          <w:rFonts w:ascii="Times New Roman;serif" w:hAnsi="Times New Roman;serif"/>
          <w:b w:val="false"/>
          <w:color w:val="000000"/>
          <w:sz w:val="20"/>
        </w:rPr>
        <w:t>: The fair value is estimated using a discounted cash flow analysis that uses interest rates offered at each reporting date by the Company for certificates with similar remaining maturities, resulting in a Level 2 classification.</w:t>
      </w:r>
    </w:p>
    <w:p>
      <w:pPr>
        <w:pStyle w:val="TextBody"/>
        <w:bidi w:val="0"/>
        <w:spacing w:lineRule="auto" w:line="288" w:before="240" w:after="283"/>
        <w:jc w:val="both"/>
        <w:rPr/>
      </w:pPr>
      <w:r>
        <w:rPr>
          <w:rFonts w:ascii="Times New Roman;serif" w:hAnsi="Times New Roman;serif"/>
          <w:b w:val="false"/>
          <w:color w:val="000000"/>
          <w:sz w:val="20"/>
          <w:u w:val="single"/>
        </w:rPr>
        <w:t>Subordinated notes</w:t>
      </w:r>
      <w:r>
        <w:rPr>
          <w:rFonts w:ascii="Times New Roman;serif" w:hAnsi="Times New Roman;serif"/>
          <w:b w:val="false"/>
          <w:color w:val="000000"/>
          <w:sz w:val="20"/>
        </w:rPr>
        <w:t>: The fair value is estimated by discounting the future cash flow using the current three-month Chicago Mercantile Exchange (“CME”) Term Secured Overnight Financing Rate (“SOFR”). The Company’s subordinated notes are not registered securities and were issued through private placements, resulting in a Level 3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Investment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investment securities portfolio includes obligations of states and political subdivisions, securities issued by U.S. federal government agencies, such as the U.S. Small Business Administration (the “SBA”), and securities issued by U.S. Government Sponsored Entities (“GSEs”), such as the Federal National Mortgage Association (the “FNMA”), the Federal Home Loan Mortgage Corporation (the “FHLMC”), and the FHLB. The Company also invests in residential and commercial mortgage-backed securities, collateralized mortgage obligations issued or guaranteed by GSEs, and corporate bonds, as reflected in Tables 3.1 and 3.2.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amortized cost and fair value related to securities held-to-maturity as of June 30, 2026 and December 31, 2025 is presented in Table 3.1. Securities held-to-maturity, at amortized cost, had a $20.0 thousand allowance for credit losses as of June 30, 2026 and December 31, 2025.</w:t>
      </w:r>
    </w:p>
    <w:tbl>
      <w:tblPr>
        <w:tblW w:w="9210" w:type="dxa"/>
        <w:jc w:val="left"/>
        <w:tblInd w:w="0" w:type="dxa"/>
        <w:tblLayout w:type="fixed"/>
        <w:tblCellMar>
          <w:top w:w="28" w:type="dxa"/>
          <w:left w:w="28" w:type="dxa"/>
          <w:bottom w:w="28" w:type="dxa"/>
          <w:right w:w="28" w:type="dxa"/>
        </w:tblCellMar>
      </w:tblPr>
      <w:tblGrid>
        <w:gridCol w:w="1428"/>
        <w:gridCol w:w="1257"/>
        <w:gridCol w:w="1260"/>
        <w:gridCol w:w="109"/>
        <w:gridCol w:w="109"/>
        <w:gridCol w:w="109"/>
        <w:gridCol w:w="310"/>
        <w:gridCol w:w="908"/>
        <w:gridCol w:w="162"/>
        <w:gridCol w:w="109"/>
        <w:gridCol w:w="109"/>
        <w:gridCol w:w="109"/>
        <w:gridCol w:w="211"/>
        <w:gridCol w:w="406"/>
        <w:gridCol w:w="109"/>
        <w:gridCol w:w="109"/>
        <w:gridCol w:w="109"/>
        <w:gridCol w:w="109"/>
        <w:gridCol w:w="211"/>
        <w:gridCol w:w="541"/>
        <w:gridCol w:w="109"/>
        <w:gridCol w:w="109"/>
        <w:gridCol w:w="109"/>
        <w:gridCol w:w="109"/>
        <w:gridCol w:w="213"/>
        <w:gridCol w:w="622"/>
        <w:gridCol w:w="155"/>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210"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3.1: Securities Held-to-Maturity</w:t>
            </w:r>
          </w:p>
        </w:tc>
      </w:tr>
      <w:tr>
        <w:trPr/>
        <w:tc>
          <w:tcPr>
            <w:tcW w:w="39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9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6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5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allowance for credit losses on held-to-maturity securities, at amortized cost, was $20.0 thousand. The Company did not record an allowance for credit losses on available-for-sale securities, at fair value, as of June 30, 2026 or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amortized cost and fair value related to securities available-for-sale as of June 30, 2026 and December 31, 2025 is presented in Table 3.2. Securities available-for-sale did not have an allowance for credit losses as of June 30, 2026 or December 31, 2025.</w:t>
      </w:r>
    </w:p>
    <w:tbl>
      <w:tblPr>
        <w:tblW w:w="9621" w:type="dxa"/>
        <w:jc w:val="left"/>
        <w:tblInd w:w="0" w:type="dxa"/>
        <w:tblLayout w:type="fixed"/>
        <w:tblCellMar>
          <w:top w:w="28" w:type="dxa"/>
          <w:left w:w="28" w:type="dxa"/>
          <w:bottom w:w="28" w:type="dxa"/>
          <w:right w:w="28" w:type="dxa"/>
        </w:tblCellMar>
      </w:tblPr>
      <w:tblGrid>
        <w:gridCol w:w="1428"/>
        <w:gridCol w:w="1257"/>
        <w:gridCol w:w="1260"/>
        <w:gridCol w:w="109"/>
        <w:gridCol w:w="109"/>
        <w:gridCol w:w="109"/>
        <w:gridCol w:w="254"/>
        <w:gridCol w:w="995"/>
        <w:gridCol w:w="131"/>
        <w:gridCol w:w="109"/>
        <w:gridCol w:w="109"/>
        <w:gridCol w:w="109"/>
        <w:gridCol w:w="211"/>
        <w:gridCol w:w="466"/>
        <w:gridCol w:w="109"/>
        <w:gridCol w:w="109"/>
        <w:gridCol w:w="109"/>
        <w:gridCol w:w="109"/>
        <w:gridCol w:w="211"/>
        <w:gridCol w:w="796"/>
        <w:gridCol w:w="109"/>
        <w:gridCol w:w="109"/>
        <w:gridCol w:w="109"/>
        <w:gridCol w:w="109"/>
        <w:gridCol w:w="211"/>
        <w:gridCol w:w="72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21"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3.2: Securities Available-for-Sale</w:t>
            </w:r>
          </w:p>
        </w:tc>
      </w:tr>
      <w:tr>
        <w:trPr/>
        <w:tc>
          <w:tcPr>
            <w:tcW w:w="39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Unrealized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9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103,308 </w:t>
            </w:r>
          </w:p>
        </w:tc>
        <w:tc>
          <w:tcPr>
            <w:tcW w:w="13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107,197 </w:t>
            </w:r>
          </w:p>
        </w:tc>
        <w:tc>
          <w:tcPr>
            <w:tcW w:w="1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94,699 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investment securities by contractual maturity at June 30, 2026 and December 31, 2025 are shown in Table 3.3. Expected maturities may differ from contractual maturities if the issuers of the securities have the right to call or prepay obligations with or without call or prepayment penalties.</w:t>
      </w:r>
    </w:p>
    <w:tbl>
      <w:tblPr>
        <w:tblW w:w="12390" w:type="dxa"/>
        <w:jc w:val="left"/>
        <w:tblInd w:w="0" w:type="dxa"/>
        <w:tblLayout w:type="fixed"/>
        <w:tblCellMar>
          <w:top w:w="28" w:type="dxa"/>
          <w:left w:w="28" w:type="dxa"/>
          <w:bottom w:w="28" w:type="dxa"/>
          <w:right w:w="28" w:type="dxa"/>
        </w:tblCellMar>
      </w:tblPr>
      <w:tblGrid>
        <w:gridCol w:w="948"/>
        <w:gridCol w:w="306"/>
        <w:gridCol w:w="307"/>
        <w:gridCol w:w="109"/>
        <w:gridCol w:w="109"/>
        <w:gridCol w:w="109"/>
        <w:gridCol w:w="216"/>
        <w:gridCol w:w="632"/>
        <w:gridCol w:w="113"/>
        <w:gridCol w:w="109"/>
        <w:gridCol w:w="109"/>
        <w:gridCol w:w="109"/>
        <w:gridCol w:w="211"/>
        <w:gridCol w:w="616"/>
        <w:gridCol w:w="109"/>
        <w:gridCol w:w="109"/>
        <w:gridCol w:w="109"/>
        <w:gridCol w:w="109"/>
        <w:gridCol w:w="211"/>
        <w:gridCol w:w="826"/>
        <w:gridCol w:w="109"/>
        <w:gridCol w:w="109"/>
        <w:gridCol w:w="109"/>
        <w:gridCol w:w="109"/>
        <w:gridCol w:w="211"/>
        <w:gridCol w:w="721"/>
        <w:gridCol w:w="109"/>
        <w:gridCol w:w="109"/>
        <w:gridCol w:w="109"/>
        <w:gridCol w:w="109"/>
        <w:gridCol w:w="216"/>
        <w:gridCol w:w="632"/>
        <w:gridCol w:w="113"/>
        <w:gridCol w:w="109"/>
        <w:gridCol w:w="109"/>
        <w:gridCol w:w="109"/>
        <w:gridCol w:w="211"/>
        <w:gridCol w:w="616"/>
        <w:gridCol w:w="109"/>
        <w:gridCol w:w="109"/>
        <w:gridCol w:w="109"/>
        <w:gridCol w:w="109"/>
        <w:gridCol w:w="211"/>
        <w:gridCol w:w="826"/>
        <w:gridCol w:w="109"/>
        <w:gridCol w:w="109"/>
        <w:gridCol w:w="109"/>
        <w:gridCol w:w="109"/>
        <w:gridCol w:w="211"/>
        <w:gridCol w:w="721"/>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90" w:type="dxa"/>
            <w:gridSpan w:val="5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3.3: Contractual Maturities - Investment Securities</w:t>
            </w:r>
          </w:p>
        </w:tc>
      </w:tr>
      <w:tr>
        <w:trPr/>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w:t>
            </w:r>
          </w:p>
        </w:tc>
      </w:tr>
      <w:tr>
        <w:trPr/>
        <w:tc>
          <w:tcPr>
            <w:tcW w:w="15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156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but within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years through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not due at a single 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94,699 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purchases or sales of investment securities during the three and six months ended June 30, 2026 or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40" w:type="dxa"/>
        <w:jc w:val="left"/>
        <w:tblInd w:w="0" w:type="dxa"/>
        <w:tblLayout w:type="fixed"/>
        <w:tblCellMar>
          <w:top w:w="28" w:type="dxa"/>
          <w:left w:w="28" w:type="dxa"/>
          <w:bottom w:w="28" w:type="dxa"/>
          <w:right w:w="28" w:type="dxa"/>
        </w:tblCellMar>
      </w:tblPr>
      <w:tblGrid>
        <w:gridCol w:w="2188"/>
        <w:gridCol w:w="1926"/>
        <w:gridCol w:w="1930"/>
        <w:gridCol w:w="121"/>
        <w:gridCol w:w="121"/>
        <w:gridCol w:w="121"/>
        <w:gridCol w:w="252"/>
        <w:gridCol w:w="863"/>
        <w:gridCol w:w="130"/>
        <w:gridCol w:w="121"/>
        <w:gridCol w:w="121"/>
        <w:gridCol w:w="121"/>
        <w:gridCol w:w="335"/>
        <w:gridCol w:w="1146"/>
        <w:gridCol w:w="244"/>
      </w:tblGrid>
      <w:tr>
        <w:trPr/>
        <w:tc>
          <w:tcPr>
            <w:tcW w:w="218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740"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3.4: Pledged Investment Securities</w:t>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604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to:</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State of California, securing deposits of public funds and borrowings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Federal Reserve Discount Window, increasing borrowing capacity</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pledged investment securities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85,685 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89,669 </w:t>
            </w:r>
          </w:p>
        </w:tc>
        <w:tc>
          <w:tcPr>
            <w:tcW w:w="2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Table 3.5 details the gross unrealized losses and fair values aggregated by investment category and length of time that individual available-for-sale securities have been in a continuous unrealized loss position at June 30, 2026 and December 31, 2025.</w:t>
      </w:r>
    </w:p>
    <w:tbl>
      <w:tblPr>
        <w:tblW w:w="10205" w:type="dxa"/>
        <w:jc w:val="left"/>
        <w:tblInd w:w="0" w:type="dxa"/>
        <w:tblLayout w:type="fixed"/>
        <w:tblCellMar>
          <w:top w:w="28" w:type="dxa"/>
          <w:left w:w="28" w:type="dxa"/>
          <w:bottom w:w="28" w:type="dxa"/>
          <w:right w:w="28" w:type="dxa"/>
        </w:tblCellMar>
      </w:tblPr>
      <w:tblGrid>
        <w:gridCol w:w="998"/>
        <w:gridCol w:w="447"/>
        <w:gridCol w:w="435"/>
        <w:gridCol w:w="109"/>
        <w:gridCol w:w="109"/>
        <w:gridCol w:w="109"/>
        <w:gridCol w:w="211"/>
        <w:gridCol w:w="616"/>
        <w:gridCol w:w="109"/>
        <w:gridCol w:w="109"/>
        <w:gridCol w:w="109"/>
        <w:gridCol w:w="109"/>
        <w:gridCol w:w="318"/>
        <w:gridCol w:w="568"/>
        <w:gridCol w:w="165"/>
        <w:gridCol w:w="109"/>
        <w:gridCol w:w="109"/>
        <w:gridCol w:w="109"/>
        <w:gridCol w:w="211"/>
        <w:gridCol w:w="721"/>
        <w:gridCol w:w="109"/>
        <w:gridCol w:w="109"/>
        <w:gridCol w:w="109"/>
        <w:gridCol w:w="109"/>
        <w:gridCol w:w="219"/>
        <w:gridCol w:w="776"/>
        <w:gridCol w:w="113"/>
        <w:gridCol w:w="109"/>
        <w:gridCol w:w="109"/>
        <w:gridCol w:w="109"/>
        <w:gridCol w:w="214"/>
        <w:gridCol w:w="733"/>
        <w:gridCol w:w="110"/>
        <w:gridCol w:w="110"/>
        <w:gridCol w:w="110"/>
        <w:gridCol w:w="110"/>
        <w:gridCol w:w="219"/>
        <w:gridCol w:w="775"/>
        <w:gridCol w:w="173"/>
      </w:tblGrid>
      <w:tr>
        <w:trPr/>
        <w:tc>
          <w:tcPr>
            <w:tcW w:w="99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3.5: Securities Available-for-Sale in Continuous Unrealized Loss Positions</w:t>
            </w:r>
          </w:p>
        </w:tc>
      </w:tr>
      <w:tr>
        <w:trPr/>
        <w:tc>
          <w:tcPr>
            <w:tcW w:w="18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Total securities in a loss position </w:t>
            </w:r>
          </w:p>
        </w:tc>
      </w:tr>
      <w:tr>
        <w:trPr/>
        <w:tc>
          <w:tcPr>
            <w:tcW w:w="18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Unrealized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Unrealized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Unrealized Loss </w:t>
            </w:r>
          </w:p>
        </w:tc>
      </w:tr>
      <w:tr>
        <w:trPr/>
        <w:tc>
          <w:tcPr>
            <w:tcW w:w="188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temporarily impaired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85,947 </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(12,906)</w:t>
            </w:r>
          </w:p>
        </w:tc>
        <w:tc>
          <w:tcPr>
            <w:tcW w:w="17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temporarily impaired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w:t>
            </w:r>
          </w:p>
        </w:tc>
        <w:tc>
          <w:tcPr>
            <w:tcW w:w="1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90,317 </w:t>
            </w:r>
          </w:p>
        </w:tc>
        <w:tc>
          <w:tcPr>
            <w:tcW w:w="11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w:t>
            </w:r>
          </w:p>
        </w:tc>
        <w:tc>
          <w:tcPr>
            <w:tcW w:w="17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145 and 147 available-for-sale securities in unrealized loss positions at June 30, 2026 and December 31, 2025, respectively. As of June 30, 2026, the investment portfolio included 143 investment securities that had been in a continuous loss position for twelve months or more and two investment securities that had been in a loss position for less than twelve months.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was one held-to-maturity security in a continuous unrealized loss position at both June 30, 2026 and December 31, 2025, which at December 31, 2025 had been in a continuous loss position for more than twelve months.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Obligations issued or guaranteed by government agencies such as the Government National Mortgage Association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investment in obligations of states and political subdivisions is deemed credit worthy after management’s comprehensive analysis of the issuers’ latest financial information, credit ratings by major credit agencies, and/or credit enhancements.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Non-Marketable Securities</w:t>
      </w:r>
    </w:p>
    <w:p>
      <w:pPr>
        <w:pStyle w:val="TextBody"/>
        <w:bidi w:val="0"/>
        <w:spacing w:lineRule="auto" w:line="288" w:before="0" w:after="240"/>
        <w:jc w:val="both"/>
        <w:rPr/>
      </w:pPr>
      <w:r>
        <w:rPr>
          <w:rFonts w:ascii="Times New Roman;serif" w:hAnsi="Times New Roman;serif"/>
          <w:b w:val="false"/>
          <w:color w:val="000000"/>
          <w:sz w:val="20"/>
          <w:u w:val="single"/>
        </w:rPr>
        <w:t>FHLB capital stock</w:t>
      </w:r>
      <w:r>
        <w:rPr>
          <w:rFonts w:ascii="Times New Roman;serif" w:hAnsi="Times New Roman;serif"/>
          <w:b w:val="false"/>
          <w:color w:val="000000"/>
          <w:sz w:val="20"/>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both June 30, 2026 and December 31, 2025.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June 30, 2026 or December 31, 2025.</w:t>
      </w:r>
    </w:p>
    <w:p>
      <w:pPr>
        <w:pStyle w:val="TextBody"/>
        <w:bidi w:val="0"/>
        <w:spacing w:lineRule="auto" w:line="288" w:before="0" w:after="240"/>
        <w:jc w:val="both"/>
        <w:rPr/>
      </w:pPr>
      <w:r>
        <w:rPr>
          <w:rFonts w:ascii="Times New Roman;serif" w:hAnsi="Times New Roman;serif"/>
          <w:b w:val="false"/>
          <w:color w:val="000000"/>
          <w:sz w:val="20"/>
          <w:u w:val="single"/>
        </w:rPr>
        <w:t>Equity investments</w:t>
      </w:r>
      <w:r>
        <w:rPr>
          <w:rFonts w:ascii="Times New Roman;serif" w:hAnsi="Times New Roman;serif"/>
          <w:b w:val="false"/>
          <w:color w:val="000000"/>
          <w:sz w:val="20"/>
        </w:rPr>
        <w:t>: The Company is a limited partner and has committed to and is invested in a limited number of venture-backed capital funds and accounts for these investments under the equity method of accounting, as its ownership is greater than 3% of each fund. The Company held $15.2 million and $12.1 million of equity investments at June 30, 2026 and December 31, 2025, respectively, included in “Interest receivable and other assets” in the unaudited consolidated balance sheets. The Company’s share of earnings and losses from these investments is included in “</w:t>
      </w:r>
      <w:r>
        <w:rPr>
          <w:rFonts w:ascii="Times New Roman;serif" w:hAnsi="Times New Roman;serif"/>
          <w:b w:val="false"/>
          <w:color w:val="000000"/>
          <w:sz w:val="19"/>
        </w:rPr>
        <w:t>Other</w:t>
      </w:r>
      <w:r>
        <w:rPr>
          <w:color w:val="000000"/>
        </w:rPr>
        <w:t xml:space="preserve"> </w:t>
      </w:r>
      <w:r>
        <w:rPr>
          <w:rFonts w:ascii="Times New Roman;serif" w:hAnsi="Times New Roman;serif"/>
          <w:b w:val="false"/>
          <w:color w:val="000000"/>
          <w:sz w:val="20"/>
        </w:rPr>
        <w:t>non-interest income” in the consolidated statements of income. The Company’s share of net losses from these investments was $0.3 million for the six months ended June 30, 2026. The Company’s share of net earnings from these investments was $0.4 million for the six months ended June 30, 2025. No individual investment is material to the Company’s consolidated financial statements. Based on management’s analysis of each fund’s financial condition and certain qualitative factors, management determined that the equity investments were not impaired at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Loans and 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tbl>
      <w:tblPr>
        <w:tblW w:w="8640" w:type="dxa"/>
        <w:jc w:val="left"/>
        <w:tblInd w:w="0" w:type="dxa"/>
        <w:tblLayout w:type="fixed"/>
        <w:tblCellMar>
          <w:top w:w="28" w:type="dxa"/>
          <w:left w:w="28" w:type="dxa"/>
          <w:bottom w:w="28" w:type="dxa"/>
          <w:right w:w="28" w:type="dxa"/>
        </w:tblCellMar>
      </w:tblPr>
      <w:tblGrid>
        <w:gridCol w:w="1798"/>
        <w:gridCol w:w="1582"/>
        <w:gridCol w:w="1585"/>
        <w:gridCol w:w="109"/>
        <w:gridCol w:w="109"/>
        <w:gridCol w:w="109"/>
        <w:gridCol w:w="211"/>
        <w:gridCol w:w="976"/>
        <w:gridCol w:w="109"/>
        <w:gridCol w:w="109"/>
        <w:gridCol w:w="109"/>
        <w:gridCol w:w="109"/>
        <w:gridCol w:w="271"/>
        <w:gridCol w:w="1256"/>
        <w:gridCol w:w="198"/>
      </w:tblGrid>
      <w:tr>
        <w:trPr/>
        <w:tc>
          <w:tcPr>
            <w:tcW w:w="179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8640"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4.1: Loans Outstanding</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9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3,305,713 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4,521,929 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4,077,019 </w:t>
            </w:r>
          </w:p>
        </w:tc>
        <w:tc>
          <w:tcPr>
            <w:tcW w:w="19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loan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4,074,929 </w:t>
            </w:r>
          </w:p>
        </w:tc>
        <w:tc>
          <w:tcPr>
            <w:tcW w:w="19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4,472,346 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4,030,520 </w:t>
            </w:r>
          </w:p>
        </w:tc>
        <w:tc>
          <w:tcPr>
            <w:tcW w:w="1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Underwriting</w:t>
      </w:r>
    </w:p>
    <w:p>
      <w:pPr>
        <w:pStyle w:val="TextBody"/>
        <w:bidi w:val="0"/>
        <w:spacing w:lineRule="auto" w:line="288" w:before="240" w:after="283"/>
        <w:jc w:val="both"/>
        <w:rPr/>
      </w:pPr>
      <w:r>
        <w:rPr>
          <w:rFonts w:ascii="Times New Roman;serif" w:hAnsi="Times New Roman;serif"/>
          <w:b w:val="false"/>
          <w:color w:val="000000"/>
          <w:sz w:val="20"/>
          <w:u w:val="single"/>
        </w:rPr>
        <w:t>Real estate loans</w:t>
      </w:r>
      <w:r>
        <w:rPr>
          <w:rFonts w:ascii="Times New Roman;serif" w:hAnsi="Times New Roman;serif"/>
          <w:b w:val="false"/>
          <w:color w:val="000000"/>
          <w:sz w:val="20"/>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pStyle w:val="TextBody"/>
        <w:bidi w:val="0"/>
        <w:spacing w:lineRule="auto" w:line="288" w:before="240" w:after="283"/>
        <w:jc w:val="both"/>
        <w:rPr/>
      </w:pPr>
      <w:r>
        <w:rPr>
          <w:rFonts w:ascii="Times New Roman;serif" w:hAnsi="Times New Roman;serif"/>
          <w:b w:val="false"/>
          <w:color w:val="000000"/>
          <w:sz w:val="20"/>
          <w:u w:val="single"/>
        </w:rPr>
        <w:t>Construction loans</w:t>
      </w:r>
      <w:r>
        <w:rPr>
          <w:rFonts w:ascii="Times New Roman;serif" w:hAnsi="Times New Roman;serif"/>
          <w:b w:val="false"/>
          <w:color w:val="000000"/>
          <w:sz w:val="20"/>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pStyle w:val="TextBody"/>
        <w:bidi w:val="0"/>
        <w:spacing w:lineRule="auto" w:line="288" w:before="240" w:after="283"/>
        <w:jc w:val="both"/>
        <w:rPr/>
      </w:pPr>
      <w:r>
        <w:rPr>
          <w:rFonts w:ascii="Times New Roman;serif" w:hAnsi="Times New Roman;serif"/>
          <w:b w:val="false"/>
          <w:color w:val="000000"/>
          <w:sz w:val="20"/>
          <w:u w:val="single"/>
        </w:rPr>
        <w:t>Residential real estate loans</w:t>
      </w:r>
      <w:r>
        <w:rPr>
          <w:rFonts w:ascii="Times New Roman;serif" w:hAnsi="Times New Roman;serif"/>
          <w:b w:val="false"/>
          <w:color w:val="000000"/>
          <w:sz w:val="20"/>
        </w:rPr>
        <w:t xml:space="preserve">: Residential real estate loans are underwritten based upon the borrower’s income, credit history, and collateral. To monitor and manage residential loan risk, policies and procedures are developed and modified,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pStyle w:val="TextBody"/>
        <w:bidi w:val="0"/>
        <w:spacing w:lineRule="auto" w:line="288" w:before="240" w:after="283"/>
        <w:jc w:val="both"/>
        <w:rPr/>
      </w:pPr>
      <w:r>
        <w:rPr>
          <w:rFonts w:ascii="Times New Roman;serif" w:hAnsi="Times New Roman;serif"/>
          <w:b w:val="false"/>
          <w:color w:val="000000"/>
          <w:sz w:val="20"/>
          <w:u w:val="single"/>
        </w:rPr>
        <w:t>Farmland loans</w:t>
      </w:r>
      <w:r>
        <w:rPr>
          <w:rFonts w:ascii="Times New Roman;serif" w:hAnsi="Times New Roman;serif"/>
          <w:b w:val="false"/>
          <w:color w:val="000000"/>
          <w:sz w:val="20"/>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changes in business cycles, and adverse weather conditions.</w:t>
      </w:r>
    </w:p>
    <w:p>
      <w:pPr>
        <w:pStyle w:val="TextBody"/>
        <w:bidi w:val="0"/>
        <w:spacing w:lineRule="auto" w:line="288" w:before="240" w:after="283"/>
        <w:jc w:val="both"/>
        <w:rPr/>
      </w:pPr>
      <w:r>
        <w:rPr>
          <w:rFonts w:ascii="Times New Roman;serif" w:hAnsi="Times New Roman;serif"/>
          <w:b w:val="false"/>
          <w:color w:val="000000"/>
          <w:sz w:val="20"/>
          <w:u w:val="single"/>
        </w:rPr>
        <w:t>Commercial loans</w:t>
      </w:r>
      <w:r>
        <w:rPr>
          <w:rFonts w:ascii="Times New Roman;serif" w:hAnsi="Times New Roman;serif"/>
          <w:b w:val="false"/>
          <w:color w:val="000000"/>
          <w:sz w:val="20"/>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pStyle w:val="TextBody"/>
        <w:bidi w:val="0"/>
        <w:spacing w:lineRule="auto" w:line="288" w:before="240" w:after="283"/>
        <w:jc w:val="both"/>
        <w:rPr/>
      </w:pPr>
      <w:r>
        <w:rPr>
          <w:rFonts w:ascii="Times New Roman;serif" w:hAnsi="Times New Roman;serif"/>
          <w:b w:val="false"/>
          <w:color w:val="000000"/>
          <w:sz w:val="20"/>
          <w:u w:val="single"/>
        </w:rPr>
        <w:t>Consumer loans</w:t>
      </w:r>
      <w:r>
        <w:rPr>
          <w:rFonts w:ascii="Times New Roman;serif" w:hAnsi="Times New Roman;serif"/>
          <w:b w:val="false"/>
          <w:color w:val="000000"/>
          <w:sz w:val="20"/>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Credit Quality Indicators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a loan risk rating system to measure and monitor the quality of the loan portfolio. All loans are assigned a risk rating from the inception of the loan until the loan is paid off. The primary loan grades are as follows:</w:t>
      </w:r>
    </w:p>
    <w:p>
      <w:pPr>
        <w:pStyle w:val="TextBody"/>
        <w:bidi w:val="0"/>
        <w:spacing w:lineRule="auto" w:line="288" w:before="240" w:after="283"/>
        <w:jc w:val="both"/>
        <w:rPr/>
      </w:pPr>
      <w:r>
        <w:rPr>
          <w:rFonts w:ascii="Times New Roman;serif" w:hAnsi="Times New Roman;serif"/>
          <w:b w:val="false"/>
          <w:color w:val="000000"/>
          <w:sz w:val="20"/>
          <w:u w:val="single"/>
        </w:rPr>
        <w:t>Loans rated pass</w:t>
      </w:r>
      <w:r>
        <w:rPr>
          <w:rFonts w:ascii="Times New Roman;serif" w:hAnsi="Times New Roman;serif"/>
          <w:b w:val="false"/>
          <w:color w:val="000000"/>
          <w:sz w:val="20"/>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pStyle w:val="TextBody"/>
        <w:bidi w:val="0"/>
        <w:spacing w:lineRule="auto" w:line="288" w:before="240" w:after="283"/>
        <w:jc w:val="both"/>
        <w:rPr/>
      </w:pPr>
      <w:r>
        <w:rPr>
          <w:rFonts w:ascii="Times New Roman;serif" w:hAnsi="Times New Roman;serif"/>
          <w:b w:val="false"/>
          <w:color w:val="000000"/>
          <w:sz w:val="20"/>
          <w:u w:val="single"/>
        </w:rPr>
        <w:t>Loans rated watch</w:t>
      </w:r>
      <w:r>
        <w:rPr>
          <w:rFonts w:ascii="Times New Roman;serif" w:hAnsi="Times New Roman;serif"/>
          <w:b w:val="false"/>
          <w:color w:val="000000"/>
          <w:sz w:val="20"/>
        </w:rPr>
        <w:t>: These are loans that have developed an element of uncertainty, potentially reflecting deficient loan quality and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pStyle w:val="TextBody"/>
        <w:bidi w:val="0"/>
        <w:spacing w:lineRule="auto" w:line="288" w:before="240" w:after="283"/>
        <w:jc w:val="both"/>
        <w:rPr/>
      </w:pPr>
      <w:r>
        <w:rPr>
          <w:rFonts w:ascii="Times New Roman;serif" w:hAnsi="Times New Roman;serif"/>
          <w:b w:val="false"/>
          <w:color w:val="000000"/>
          <w:sz w:val="20"/>
          <w:u w:val="single"/>
        </w:rPr>
        <w:t>Loans rated special mention</w:t>
      </w:r>
      <w:r>
        <w:rPr>
          <w:rFonts w:ascii="Times New Roman;serif" w:hAnsi="Times New Roman;serif"/>
          <w:b w:val="false"/>
          <w:color w:val="000000"/>
          <w:sz w:val="20"/>
        </w:rPr>
        <w:t>: These are loans that exhibit or have an emerging credit weaknesses that warrants management’s close attention but do not yet demonstrate the well-defined weaknesses associated with a substandard classification. Credits in this category may include loans with documentation deficiencies that affect the Company’s legal position, covenant non-compliance expected to be resolved within six months, or other developing concerns that could cause deterioration in the borrower’s financial condition or repayment capacity if not corrected. Special mention is a transitional rating, and credits should generally be upgraded or downgraded within six months unless there is appropriate justification for remaining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color w:val="000000"/>
          <w:sz w:val="20"/>
          <w:u w:val="single"/>
        </w:rPr>
        <w:t>Loans rated substandard</w:t>
      </w:r>
      <w:r>
        <w:rPr>
          <w:rFonts w:ascii="Times New Roman;serif" w:hAnsi="Times New Roman;serif"/>
          <w:b w:val="false"/>
          <w:color w:val="000000"/>
          <w:sz w:val="20"/>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pStyle w:val="TextBody"/>
        <w:bidi w:val="0"/>
        <w:spacing w:lineRule="auto" w:line="288" w:before="240" w:after="283"/>
        <w:jc w:val="both"/>
        <w:rPr/>
      </w:pPr>
      <w:r>
        <w:rPr>
          <w:rFonts w:ascii="Times New Roman;serif" w:hAnsi="Times New Roman;serif"/>
          <w:b w:val="false"/>
          <w:color w:val="000000"/>
          <w:sz w:val="20"/>
          <w:u w:val="single"/>
        </w:rPr>
        <w:t>Loans rated doubtful</w:t>
      </w:r>
      <w:r>
        <w:rPr>
          <w:rFonts w:ascii="Times New Roman;serif" w:hAnsi="Times New Roman;serif"/>
          <w:b w:val="false"/>
          <w:color w:val="000000"/>
          <w:sz w:val="20"/>
        </w:rPr>
        <w:t>: These are loans for which the collection or liquidation of the entire debt is highly questionable or improbable. Typically, the possibility of loss is extremely high. The losses on these loans are deferred until all pending factors have been addressed.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4.2 presents the amortized cost basis of the Company’s loans by origination year, where origination is defined as the later of origination or renewal date, and credit quality indicator as of the periods indicated.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3388" w:type="dxa"/>
        <w:jc w:val="left"/>
        <w:tblInd w:w="0" w:type="dxa"/>
        <w:tblLayout w:type="fixed"/>
        <w:tblCellMar>
          <w:top w:w="28" w:type="dxa"/>
          <w:left w:w="28" w:type="dxa"/>
          <w:bottom w:w="28" w:type="dxa"/>
          <w:right w:w="28" w:type="dxa"/>
        </w:tblCellMar>
      </w:tblPr>
      <w:tblGrid>
        <w:gridCol w:w="422"/>
        <w:gridCol w:w="290"/>
        <w:gridCol w:w="264"/>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222"/>
        <w:gridCol w:w="478"/>
        <w:gridCol w:w="126"/>
        <w:gridCol w:w="109"/>
        <w:gridCol w:w="109"/>
        <w:gridCol w:w="109"/>
        <w:gridCol w:w="196"/>
        <w:gridCol w:w="871"/>
        <w:gridCol w:w="154"/>
      </w:tblGrid>
      <w:tr>
        <w:trPr/>
        <w:tc>
          <w:tcPr>
            <w:tcW w:w="42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88" w:type="dxa"/>
            <w:gridSpan w:val="5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4.2: Loans by Risk Category and Vintage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Amortized Cost Basis by Origination Year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Revolving Converted 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9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430,784 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655,215 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406,740 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259,840 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848,710 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974,516 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3,594,001 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123,674 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59,875 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111,709 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259,939 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41,287 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70,794 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143,724 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374,719 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618,777 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867,623 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610,671 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349,814 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883,341 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1,043,327 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145,778 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2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4,519,681 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investment by risk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618,777 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867,623 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610,671 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349,814 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883,341 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1,043,327 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145,778 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4,519,681 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13253" w:type="dxa"/>
        <w:jc w:val="left"/>
        <w:tblInd w:w="0" w:type="dxa"/>
        <w:tblLayout w:type="fixed"/>
        <w:tblCellMar>
          <w:top w:w="28" w:type="dxa"/>
          <w:left w:w="28" w:type="dxa"/>
          <w:bottom w:w="28" w:type="dxa"/>
          <w:right w:w="28" w:type="dxa"/>
        </w:tblCellMar>
      </w:tblPr>
      <w:tblGrid>
        <w:gridCol w:w="422"/>
        <w:gridCol w:w="290"/>
        <w:gridCol w:w="264"/>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27"/>
        <w:gridCol w:w="471"/>
        <w:gridCol w:w="128"/>
        <w:gridCol w:w="109"/>
        <w:gridCol w:w="109"/>
        <w:gridCol w:w="109"/>
        <w:gridCol w:w="196"/>
        <w:gridCol w:w="871"/>
        <w:gridCol w:w="154"/>
      </w:tblGrid>
      <w:tr>
        <w:trPr/>
        <w:tc>
          <w:tcPr>
            <w:tcW w:w="42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53" w:type="dxa"/>
            <w:gridSpan w:val="5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4.2: Loans by Risk Category and Vintage (continued)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Amortized Cost Basis by Origination Year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Revolving Converted 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9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671,311 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287,752 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869,497 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600,570 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443,720 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3,302,761 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96,423 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37,600 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59,584 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108,399 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252,805 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40,453 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275,608 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864,219 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655,065 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384,497 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908,364 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632,288 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493,440 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137,056 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4,074,929 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3,913,247 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864,219 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655,065 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384,497 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908,364 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632,288 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493,440 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137,056 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4,074,929 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which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4.3 presents the Company’s gross charge-offs by origination year and class, where origination is defined as the later of origination or renewal date, for the periods indicated.</w:t>
      </w:r>
    </w:p>
    <w:tbl>
      <w:tblPr>
        <w:tblW w:w="10713" w:type="dxa"/>
        <w:jc w:val="left"/>
        <w:tblInd w:w="0" w:type="dxa"/>
        <w:tblLayout w:type="fixed"/>
        <w:tblCellMar>
          <w:top w:w="28" w:type="dxa"/>
          <w:left w:w="28" w:type="dxa"/>
          <w:bottom w:w="28" w:type="dxa"/>
          <w:right w:w="28" w:type="dxa"/>
        </w:tblCellMar>
      </w:tblPr>
      <w:tblGrid>
        <w:gridCol w:w="407"/>
        <w:gridCol w:w="290"/>
        <w:gridCol w:w="264"/>
        <w:gridCol w:w="109"/>
        <w:gridCol w:w="109"/>
        <w:gridCol w:w="109"/>
        <w:gridCol w:w="196"/>
        <w:gridCol w:w="406"/>
        <w:gridCol w:w="109"/>
        <w:gridCol w:w="109"/>
        <w:gridCol w:w="109"/>
        <w:gridCol w:w="109"/>
        <w:gridCol w:w="196"/>
        <w:gridCol w:w="33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27"/>
        <w:gridCol w:w="471"/>
        <w:gridCol w:w="128"/>
        <w:gridCol w:w="109"/>
        <w:gridCol w:w="109"/>
        <w:gridCol w:w="109"/>
        <w:gridCol w:w="227"/>
        <w:gridCol w:w="471"/>
        <w:gridCol w:w="128"/>
        <w:gridCol w:w="109"/>
        <w:gridCol w:w="109"/>
        <w:gridCol w:w="109"/>
        <w:gridCol w:w="196"/>
        <w:gridCol w:w="55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13" w:type="dxa"/>
            <w:gridSpan w:val="5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4.3: Gross Charge-Offs by Vintage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Gross Charge-Offs by Origination Year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Revolving Converted 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03" w:type="dxa"/>
        <w:jc w:val="left"/>
        <w:tblInd w:w="0" w:type="dxa"/>
        <w:tblLayout w:type="fixed"/>
        <w:tblCellMar>
          <w:top w:w="28" w:type="dxa"/>
          <w:left w:w="28" w:type="dxa"/>
          <w:bottom w:w="28" w:type="dxa"/>
          <w:right w:w="28" w:type="dxa"/>
        </w:tblCellMar>
      </w:tblPr>
      <w:tblGrid>
        <w:gridCol w:w="407"/>
        <w:gridCol w:w="290"/>
        <w:gridCol w:w="264"/>
        <w:gridCol w:w="109"/>
        <w:gridCol w:w="109"/>
        <w:gridCol w:w="109"/>
        <w:gridCol w:w="196"/>
        <w:gridCol w:w="40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27"/>
        <w:gridCol w:w="471"/>
        <w:gridCol w:w="128"/>
        <w:gridCol w:w="109"/>
        <w:gridCol w:w="109"/>
        <w:gridCol w:w="109"/>
        <w:gridCol w:w="227"/>
        <w:gridCol w:w="471"/>
        <w:gridCol w:w="128"/>
        <w:gridCol w:w="109"/>
        <w:gridCol w:w="109"/>
        <w:gridCol w:w="109"/>
        <w:gridCol w:w="196"/>
        <w:gridCol w:w="55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Gross Charge-Offs by Origination Year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Revolving Converted to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4.4 shows the age analysis of past due loans by class as of the dates shown.</w:t>
      </w:r>
    </w:p>
    <w:tbl>
      <w:tblPr>
        <w:tblW w:w="10205" w:type="dxa"/>
        <w:jc w:val="left"/>
        <w:tblInd w:w="0" w:type="dxa"/>
        <w:tblLayout w:type="fixed"/>
        <w:tblCellMar>
          <w:top w:w="28" w:type="dxa"/>
          <w:left w:w="28" w:type="dxa"/>
          <w:bottom w:w="28" w:type="dxa"/>
          <w:right w:w="28" w:type="dxa"/>
        </w:tblCellMar>
      </w:tblPr>
      <w:tblGrid>
        <w:gridCol w:w="671"/>
        <w:gridCol w:w="529"/>
        <w:gridCol w:w="449"/>
        <w:gridCol w:w="109"/>
        <w:gridCol w:w="109"/>
        <w:gridCol w:w="109"/>
        <w:gridCol w:w="215"/>
        <w:gridCol w:w="630"/>
        <w:gridCol w:w="111"/>
        <w:gridCol w:w="109"/>
        <w:gridCol w:w="109"/>
        <w:gridCol w:w="109"/>
        <w:gridCol w:w="230"/>
        <w:gridCol w:w="444"/>
        <w:gridCol w:w="119"/>
        <w:gridCol w:w="109"/>
        <w:gridCol w:w="109"/>
        <w:gridCol w:w="109"/>
        <w:gridCol w:w="274"/>
        <w:gridCol w:w="607"/>
        <w:gridCol w:w="141"/>
        <w:gridCol w:w="109"/>
        <w:gridCol w:w="109"/>
        <w:gridCol w:w="109"/>
        <w:gridCol w:w="228"/>
        <w:gridCol w:w="667"/>
        <w:gridCol w:w="118"/>
        <w:gridCol w:w="109"/>
        <w:gridCol w:w="109"/>
        <w:gridCol w:w="109"/>
        <w:gridCol w:w="211"/>
        <w:gridCol w:w="976"/>
        <w:gridCol w:w="109"/>
        <w:gridCol w:w="109"/>
        <w:gridCol w:w="109"/>
        <w:gridCol w:w="109"/>
        <w:gridCol w:w="236"/>
        <w:gridCol w:w="1096"/>
        <w:gridCol w:w="182"/>
      </w:tblGrid>
      <w:tr>
        <w:trPr/>
        <w:tc>
          <w:tcPr>
            <w:tcW w:w="67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4.4: Age Analysis of Past Due Loans by Class</w:t>
            </w:r>
          </w:p>
        </w:tc>
      </w:tr>
      <w:tr>
        <w:trPr/>
        <w:tc>
          <w:tcPr>
            <w:tcW w:w="16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30-59 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60-89 Days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Greater Than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Loans Receivable</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3,594,001 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4,518,028 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18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3,302,761 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4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4,073,142 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4,074,929 </w:t>
            </w:r>
          </w:p>
        </w:tc>
        <w:tc>
          <w:tcPr>
            <w:tcW w:w="18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loans greater than 90 days past due and still accruing interest income as of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Table 4.5 presents the amortized cost basis of the Company’s collateral dependent loans by class as of the periods indicated. These loans were individually evaluated for credit loss in accordance with the Company’s allowance for credit losses methodology.</w:t>
      </w:r>
    </w:p>
    <w:tbl>
      <w:tblPr>
        <w:tblW w:w="5287" w:type="dxa"/>
        <w:jc w:val="left"/>
        <w:tblInd w:w="0" w:type="dxa"/>
        <w:tblLayout w:type="fixed"/>
        <w:tblCellMar>
          <w:top w:w="28" w:type="dxa"/>
          <w:left w:w="28" w:type="dxa"/>
          <w:bottom w:w="28" w:type="dxa"/>
          <w:right w:w="28" w:type="dxa"/>
        </w:tblCellMar>
      </w:tblPr>
      <w:tblGrid>
        <w:gridCol w:w="467"/>
        <w:gridCol w:w="411"/>
        <w:gridCol w:w="412"/>
        <w:gridCol w:w="146"/>
        <w:gridCol w:w="146"/>
        <w:gridCol w:w="146"/>
        <w:gridCol w:w="283"/>
        <w:gridCol w:w="967"/>
        <w:gridCol w:w="146"/>
        <w:gridCol w:w="146"/>
        <w:gridCol w:w="146"/>
        <w:gridCol w:w="146"/>
        <w:gridCol w:w="371"/>
        <w:gridCol w:w="1084"/>
        <w:gridCol w:w="270"/>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287"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4.5: Collateral Dependent Loans by Class</w:t>
            </w:r>
          </w:p>
        </w:tc>
      </w:tr>
      <w:tr>
        <w:trPr/>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2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13,094 </w:t>
            </w:r>
          </w:p>
        </w:tc>
        <w:tc>
          <w:tcPr>
            <w:tcW w:w="14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27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residential real estate loans in process of foreclosure at June 30, 2026 or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Modifications to loans for borrowers experiencing financial difficulty may include interest rate reductions, principal or interest forgiveness, forbearances, term extensions, and other actions intended to minimize economic loss and to avoid foreclosure or repossession of collateral.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Table 4.6 presents the amortized cost basis of loans by class that were modified due to financial difficulty during the periods indicated. </w:t>
      </w:r>
    </w:p>
    <w:tbl>
      <w:tblPr>
        <w:tblW w:w="10205" w:type="dxa"/>
        <w:jc w:val="left"/>
        <w:tblInd w:w="0" w:type="dxa"/>
        <w:tblLayout w:type="fixed"/>
        <w:tblCellMar>
          <w:top w:w="28" w:type="dxa"/>
          <w:left w:w="28" w:type="dxa"/>
          <w:bottom w:w="28" w:type="dxa"/>
          <w:right w:w="28" w:type="dxa"/>
        </w:tblCellMar>
      </w:tblPr>
      <w:tblGrid>
        <w:gridCol w:w="467"/>
        <w:gridCol w:w="386"/>
        <w:gridCol w:w="377"/>
        <w:gridCol w:w="145"/>
        <w:gridCol w:w="145"/>
        <w:gridCol w:w="145"/>
        <w:gridCol w:w="418"/>
        <w:gridCol w:w="751"/>
        <w:gridCol w:w="200"/>
        <w:gridCol w:w="200"/>
        <w:gridCol w:w="200"/>
        <w:gridCol w:w="200"/>
        <w:gridCol w:w="447"/>
        <w:gridCol w:w="447"/>
        <w:gridCol w:w="1089"/>
        <w:gridCol w:w="145"/>
        <w:gridCol w:w="145"/>
        <w:gridCol w:w="145"/>
        <w:gridCol w:w="348"/>
        <w:gridCol w:w="1018"/>
        <w:gridCol w:w="179"/>
        <w:gridCol w:w="179"/>
        <w:gridCol w:w="179"/>
        <w:gridCol w:w="179"/>
        <w:gridCol w:w="438"/>
        <w:gridCol w:w="413"/>
        <w:gridCol w:w="1220"/>
      </w:tblGrid>
      <w:tr>
        <w:trPr/>
        <w:tc>
          <w:tcPr>
            <w:tcW w:w="4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4.6: Amortized Cost Basis of Loans Modified due to Financial Difficulty</w:t>
            </w:r>
          </w:p>
        </w:tc>
      </w:tr>
      <w:tr>
        <w:trPr/>
        <w:tc>
          <w:tcPr>
            <w:tcW w:w="12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June 30, 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June 30, 2025</w:t>
            </w:r>
          </w:p>
        </w:tc>
      </w:tr>
      <w:tr>
        <w:trPr/>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Payment Change</w:t>
            </w:r>
          </w:p>
        </w:tc>
        <w:tc>
          <w:tcPr>
            <w:tcW w:w="6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Total % of Loans Receivable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Payment Change</w:t>
            </w:r>
          </w:p>
        </w:tc>
        <w:tc>
          <w:tcPr>
            <w:tcW w:w="5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Total % of Loans Receivable</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7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six months ended June 30, 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six months ended June 30, 2025</w:t>
            </w:r>
          </w:p>
        </w:tc>
      </w:tr>
      <w:tr>
        <w:trPr/>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Payment Change</w:t>
            </w:r>
          </w:p>
        </w:tc>
        <w:tc>
          <w:tcPr>
            <w:tcW w:w="6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Total % of Loans Receivable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Payment Change</w:t>
            </w:r>
          </w:p>
        </w:tc>
        <w:tc>
          <w:tcPr>
            <w:tcW w:w="5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Total % of Loans Receivable</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7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Table 4.7 presents the financial effect of loans by class that were modified due to financial difficulty during the periods indicated.</w:t>
      </w:r>
    </w:p>
    <w:tbl>
      <w:tblPr>
        <w:tblW w:w="10205" w:type="dxa"/>
        <w:jc w:val="left"/>
        <w:tblInd w:w="0" w:type="dxa"/>
        <w:tblLayout w:type="fixed"/>
        <w:tblCellMar>
          <w:top w:w="28" w:type="dxa"/>
          <w:left w:w="28" w:type="dxa"/>
          <w:bottom w:w="28" w:type="dxa"/>
          <w:right w:w="28" w:type="dxa"/>
        </w:tblCellMar>
      </w:tblPr>
      <w:tblGrid>
        <w:gridCol w:w="621"/>
        <w:gridCol w:w="546"/>
        <w:gridCol w:w="444"/>
        <w:gridCol w:w="175"/>
        <w:gridCol w:w="175"/>
        <w:gridCol w:w="175"/>
        <w:gridCol w:w="548"/>
        <w:gridCol w:w="548"/>
        <w:gridCol w:w="549"/>
        <w:gridCol w:w="175"/>
        <w:gridCol w:w="175"/>
        <w:gridCol w:w="175"/>
        <w:gridCol w:w="470"/>
        <w:gridCol w:w="385"/>
        <w:gridCol w:w="333"/>
        <w:gridCol w:w="175"/>
        <w:gridCol w:w="175"/>
        <w:gridCol w:w="175"/>
        <w:gridCol w:w="1231"/>
        <w:gridCol w:w="1231"/>
        <w:gridCol w:w="1724"/>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4.7: Financial Effect of Loans Modified due to Financial Difficulty</w:t>
            </w:r>
          </w:p>
        </w:tc>
      </w:tr>
      <w:tr>
        <w:trPr/>
        <w:tc>
          <w:tcPr>
            <w:tcW w:w="16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June 30,</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Modification Type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Loan Type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Effect</w:t>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Change/Deferment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Commercial</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Reduced the loan payment owed by the borrower for two months and deferred the full loan payment for one month</w:t>
            </w:r>
          </w:p>
        </w:tc>
      </w:tr>
      <w:tr>
        <w:trPr/>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six months ended June 30,</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Modification Type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Loan Type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Effect</w:t>
            </w:r>
          </w:p>
        </w:tc>
      </w:tr>
      <w:tr>
        <w:trPr/>
        <w:tc>
          <w:tcPr>
            <w:tcW w:w="16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Change/Deferment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Commercial</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Reduced the loan payment owed by the borrower for five months and deferred the full loan payment for one month</w:t>
            </w:r>
          </w:p>
        </w:tc>
      </w:tr>
      <w:tr>
        <w:trPr/>
        <w:tc>
          <w:tcPr>
            <w:tcW w:w="1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4.8 presents the Company’s non-accrual loans by class as of the periods indicated.</w:t>
      </w:r>
    </w:p>
    <w:tbl>
      <w:tblPr>
        <w:tblW w:w="5661" w:type="dxa"/>
        <w:jc w:val="left"/>
        <w:tblInd w:w="0" w:type="dxa"/>
        <w:tblLayout w:type="fixed"/>
        <w:tblCellMar>
          <w:top w:w="28" w:type="dxa"/>
          <w:left w:w="28" w:type="dxa"/>
          <w:bottom w:w="28" w:type="dxa"/>
          <w:right w:w="28" w:type="dxa"/>
        </w:tblCellMar>
      </w:tblPr>
      <w:tblGrid>
        <w:gridCol w:w="738"/>
        <w:gridCol w:w="650"/>
        <w:gridCol w:w="651"/>
        <w:gridCol w:w="109"/>
        <w:gridCol w:w="109"/>
        <w:gridCol w:w="109"/>
        <w:gridCol w:w="252"/>
        <w:gridCol w:w="862"/>
        <w:gridCol w:w="130"/>
        <w:gridCol w:w="109"/>
        <w:gridCol w:w="109"/>
        <w:gridCol w:w="109"/>
        <w:gridCol w:w="371"/>
        <w:gridCol w:w="1083"/>
        <w:gridCol w:w="270"/>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661"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4.8: Non-accrual Loans</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03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1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27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 cy="14605"/>
                <wp:effectExtent l="0" t="0" r="0" b="0"/>
                <wp:wrapNone/>
                <wp:docPr id="29" name="Frame2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 interest income was recognized on non-accrual loans in the three and six months ended June 30, 2026 or June 30, 2025. Non-accrual real estate loans did not have an allowance for credit losses as of June 30, 2026 or December 31, 2025. Non-accrual commercial loans had an immaterial allowance for credit losses as of June 30, 2026 and December 31, 2025. Interest income can be recognized on non-accrual loans in cases where resolution occurs through a sale or full payment is received on the non-accrual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amount of foregone interest income related to non-accrual loans was $94.1 thousand and $148.5 thousand for the three and six months ended June 30, 2026, as compared to $35.6 thousand and $70.9 thousand for the three and six months ended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4.9 discloses activity in the allowance for credit losses for the periods indicated.</w:t>
      </w:r>
    </w:p>
    <w:tbl>
      <w:tblPr>
        <w:tblW w:w="10205" w:type="dxa"/>
        <w:jc w:val="left"/>
        <w:tblInd w:w="0" w:type="dxa"/>
        <w:tblLayout w:type="fixed"/>
        <w:tblCellMar>
          <w:top w:w="28" w:type="dxa"/>
          <w:left w:w="28" w:type="dxa"/>
          <w:bottom w:w="28" w:type="dxa"/>
          <w:right w:w="28" w:type="dxa"/>
        </w:tblCellMar>
      </w:tblPr>
      <w:tblGrid>
        <w:gridCol w:w="822"/>
        <w:gridCol w:w="723"/>
        <w:gridCol w:w="681"/>
        <w:gridCol w:w="109"/>
        <w:gridCol w:w="109"/>
        <w:gridCol w:w="109"/>
        <w:gridCol w:w="286"/>
        <w:gridCol w:w="979"/>
        <w:gridCol w:w="148"/>
        <w:gridCol w:w="109"/>
        <w:gridCol w:w="109"/>
        <w:gridCol w:w="109"/>
        <w:gridCol w:w="109"/>
        <w:gridCol w:w="109"/>
        <w:gridCol w:w="233"/>
        <w:gridCol w:w="697"/>
        <w:gridCol w:w="121"/>
        <w:gridCol w:w="109"/>
        <w:gridCol w:w="109"/>
        <w:gridCol w:w="109"/>
        <w:gridCol w:w="270"/>
        <w:gridCol w:w="596"/>
        <w:gridCol w:w="140"/>
        <w:gridCol w:w="109"/>
        <w:gridCol w:w="109"/>
        <w:gridCol w:w="109"/>
        <w:gridCol w:w="305"/>
        <w:gridCol w:w="890"/>
        <w:gridCol w:w="157"/>
        <w:gridCol w:w="109"/>
        <w:gridCol w:w="109"/>
        <w:gridCol w:w="109"/>
        <w:gridCol w:w="252"/>
        <w:gridCol w:w="864"/>
        <w:gridCol w:w="188"/>
      </w:tblGrid>
      <w:tr>
        <w:trPr/>
        <w:tc>
          <w:tcPr>
            <w:tcW w:w="8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8574" w:type="dxa"/>
            <w:gridSpan w:val="2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4.9: Allowance for Credit Losses</w:t>
            </w:r>
          </w:p>
        </w:tc>
        <w:tc>
          <w:tcPr>
            <w:tcW w:w="1631" w:type="dxa"/>
            <w:gridSpan w:val="6"/>
            <w:tcBorders/>
          </w:tcPr>
          <w:p>
            <w:pPr>
              <w:pStyle w:val="TableContents"/>
              <w:bidi w:val="0"/>
              <w:spacing w:before="0" w:after="283"/>
              <w:jc w:val="left"/>
              <w:rPr>
                <w:sz w:val="4"/>
                <w:szCs w:val="4"/>
              </w:rPr>
            </w:pPr>
            <w:r>
              <w:rPr>
                <w:sz w:val="4"/>
                <w:szCs w:val="4"/>
              </w:rPr>
            </w:r>
          </w:p>
        </w:tc>
      </w:tr>
      <w:tr>
        <w:trPr/>
        <w:tc>
          <w:tcPr>
            <w:tcW w:w="22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Provision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Ending Balance</w:t>
            </w:r>
          </w:p>
        </w:tc>
      </w:tr>
      <w:tr>
        <w:trPr/>
        <w:tc>
          <w:tcPr>
            <w:tcW w:w="396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46,439 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4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47,335 </w:t>
            </w:r>
          </w:p>
        </w:tc>
        <w:tc>
          <w:tcPr>
            <w:tcW w:w="18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39,224 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w:t>
            </w:r>
          </w:p>
        </w:tc>
        <w:tc>
          <w:tcPr>
            <w:tcW w:w="1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40,167 </w:t>
            </w:r>
          </w:p>
        </w:tc>
        <w:tc>
          <w:tcPr>
            <w:tcW w:w="18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2"/>
        <w:gridCol w:w="723"/>
        <w:gridCol w:w="681"/>
        <w:gridCol w:w="109"/>
        <w:gridCol w:w="109"/>
        <w:gridCol w:w="109"/>
        <w:gridCol w:w="286"/>
        <w:gridCol w:w="979"/>
        <w:gridCol w:w="148"/>
        <w:gridCol w:w="109"/>
        <w:gridCol w:w="109"/>
        <w:gridCol w:w="109"/>
        <w:gridCol w:w="109"/>
        <w:gridCol w:w="109"/>
        <w:gridCol w:w="233"/>
        <w:gridCol w:w="697"/>
        <w:gridCol w:w="121"/>
        <w:gridCol w:w="109"/>
        <w:gridCol w:w="109"/>
        <w:gridCol w:w="109"/>
        <w:gridCol w:w="270"/>
        <w:gridCol w:w="596"/>
        <w:gridCol w:w="140"/>
        <w:gridCol w:w="109"/>
        <w:gridCol w:w="109"/>
        <w:gridCol w:w="109"/>
        <w:gridCol w:w="305"/>
        <w:gridCol w:w="890"/>
        <w:gridCol w:w="157"/>
        <w:gridCol w:w="109"/>
        <w:gridCol w:w="109"/>
        <w:gridCol w:w="109"/>
        <w:gridCol w:w="252"/>
        <w:gridCol w:w="864"/>
        <w:gridCol w:w="188"/>
      </w:tblGrid>
      <w:tr>
        <w:trPr/>
        <w:tc>
          <w:tcPr>
            <w:tcW w:w="8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8574" w:type="dxa"/>
            <w:gridSpan w:val="2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4.9: Allowance for Credit Losses (continued)</w:t>
            </w:r>
          </w:p>
        </w:tc>
        <w:tc>
          <w:tcPr>
            <w:tcW w:w="1631" w:type="dxa"/>
            <w:gridSpan w:val="6"/>
            <w:tcBorders/>
          </w:tcPr>
          <w:p>
            <w:pPr>
              <w:pStyle w:val="TableContents"/>
              <w:bidi w:val="0"/>
              <w:spacing w:before="0" w:after="283"/>
              <w:jc w:val="left"/>
              <w:rPr>
                <w:sz w:val="4"/>
                <w:szCs w:val="4"/>
              </w:rPr>
            </w:pPr>
            <w:r>
              <w:rPr>
                <w:sz w:val="4"/>
                <w:szCs w:val="4"/>
              </w:rPr>
            </w:r>
          </w:p>
        </w:tc>
      </w:tr>
      <w:tr>
        <w:trPr/>
        <w:tc>
          <w:tcPr>
            <w:tcW w:w="22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Provision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Ending Balance</w:t>
            </w:r>
          </w:p>
        </w:tc>
      </w:tr>
      <w:tr>
        <w:trPr/>
        <w:tc>
          <w:tcPr>
            <w:tcW w:w="3966" w:type="dxa"/>
            <w:gridSpan w:val="9"/>
            <w:tcBorders/>
            <w:shd w:fill="FFFF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44,409 </w:t>
            </w:r>
          </w:p>
        </w:tc>
        <w:tc>
          <w:tcPr>
            <w:tcW w:w="14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w:t>
            </w:r>
          </w:p>
        </w:tc>
        <w:tc>
          <w:tcPr>
            <w:tcW w:w="12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47,335 </w:t>
            </w:r>
          </w:p>
        </w:tc>
        <w:tc>
          <w:tcPr>
            <w:tcW w:w="18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37,791 </w:t>
            </w:r>
          </w:p>
        </w:tc>
        <w:tc>
          <w:tcPr>
            <w:tcW w:w="14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4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40,167 </w:t>
            </w:r>
          </w:p>
        </w:tc>
        <w:tc>
          <w:tcPr>
            <w:tcW w:w="1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Unfunded Loan Commitment Reserves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tbl>
      <w:tblPr>
        <w:tblW w:w="8971" w:type="dxa"/>
        <w:jc w:val="left"/>
        <w:tblInd w:w="0" w:type="dxa"/>
        <w:tblLayout w:type="fixed"/>
        <w:tblCellMar>
          <w:top w:w="28" w:type="dxa"/>
          <w:left w:w="28" w:type="dxa"/>
          <w:bottom w:w="28" w:type="dxa"/>
          <w:right w:w="28" w:type="dxa"/>
        </w:tblCellMar>
      </w:tblPr>
      <w:tblGrid>
        <w:gridCol w:w="956"/>
        <w:gridCol w:w="841"/>
        <w:gridCol w:w="843"/>
        <w:gridCol w:w="109"/>
        <w:gridCol w:w="109"/>
        <w:gridCol w:w="109"/>
        <w:gridCol w:w="280"/>
        <w:gridCol w:w="820"/>
        <w:gridCol w:w="145"/>
        <w:gridCol w:w="109"/>
        <w:gridCol w:w="109"/>
        <w:gridCol w:w="109"/>
        <w:gridCol w:w="334"/>
        <w:gridCol w:w="738"/>
        <w:gridCol w:w="172"/>
        <w:gridCol w:w="109"/>
        <w:gridCol w:w="109"/>
        <w:gridCol w:w="109"/>
        <w:gridCol w:w="280"/>
        <w:gridCol w:w="820"/>
        <w:gridCol w:w="145"/>
        <w:gridCol w:w="109"/>
        <w:gridCol w:w="109"/>
        <w:gridCol w:w="109"/>
        <w:gridCol w:w="327"/>
        <w:gridCol w:w="723"/>
        <w:gridCol w:w="239"/>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971"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4.10: Unfunded Loan Commitment Reserves</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4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7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4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3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(benefit)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4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7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4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3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Pledged Loans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FHLB line of credit is secured under terms of a collateral agreement by a pledge of certain qualifying loans with unpaid principal balances of $2.3 billion and $2.2 billion at June 30, 2026 and December 31, 2025, respectively. In addition, the Company pledges eligible tenants in common loans, which totaled $1.5 billion and $1.3 billion at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2026 and December 31, 2025, respectively, to secure its borrowing capacity with the Federal Reserve Discount Window. See Note 6, Subordinated Notes and Other Borrowings, for further discussion of these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Note 5: Interest-Bearing Deposits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5.1 shows the composition of interest-bearing deposits as of June 30, 2026 and December 31, 2025.</w:t>
      </w:r>
    </w:p>
    <w:tbl>
      <w:tblPr>
        <w:tblW w:w="6779" w:type="dxa"/>
        <w:jc w:val="left"/>
        <w:tblInd w:w="0" w:type="dxa"/>
        <w:tblLayout w:type="fixed"/>
        <w:tblCellMar>
          <w:top w:w="28" w:type="dxa"/>
          <w:left w:w="28" w:type="dxa"/>
          <w:bottom w:w="28" w:type="dxa"/>
          <w:right w:w="28" w:type="dxa"/>
        </w:tblCellMar>
      </w:tblPr>
      <w:tblGrid>
        <w:gridCol w:w="1123"/>
        <w:gridCol w:w="987"/>
        <w:gridCol w:w="994"/>
        <w:gridCol w:w="109"/>
        <w:gridCol w:w="109"/>
        <w:gridCol w:w="109"/>
        <w:gridCol w:w="211"/>
        <w:gridCol w:w="976"/>
        <w:gridCol w:w="109"/>
        <w:gridCol w:w="109"/>
        <w:gridCol w:w="109"/>
        <w:gridCol w:w="109"/>
        <w:gridCol w:w="271"/>
        <w:gridCol w:w="1256"/>
        <w:gridCol w:w="198"/>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779"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5.1: Interest-Bearing Deposits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1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344,200 </w:t>
            </w:r>
          </w:p>
        </w:tc>
        <w:tc>
          <w:tcPr>
            <w:tcW w:w="19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2,078,567 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accounts, $250 or 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time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204,579 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3,624,977 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3,116,547 </w:t>
            </w:r>
          </w:p>
        </w:tc>
        <w:tc>
          <w:tcPr>
            <w:tcW w:w="1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Time deposits totaled $308.0 million and $554.6 million as of June 30, 2026 and December 31, 2025, respectively. Scheduled maturities of time deposits as of June 30, 2026 for the next five years are shown in Table 5.2.</w:t>
      </w:r>
    </w:p>
    <w:tbl>
      <w:tblPr>
        <w:tblW w:w="5105" w:type="dxa"/>
        <w:jc w:val="left"/>
        <w:tblInd w:w="0" w:type="dxa"/>
        <w:tblLayout w:type="fixed"/>
        <w:tblCellMar>
          <w:top w:w="28" w:type="dxa"/>
          <w:left w:w="28" w:type="dxa"/>
          <w:bottom w:w="28" w:type="dxa"/>
          <w:right w:w="28" w:type="dxa"/>
        </w:tblCellMar>
      </w:tblPr>
      <w:tblGrid>
        <w:gridCol w:w="608"/>
        <w:gridCol w:w="535"/>
        <w:gridCol w:w="536"/>
        <w:gridCol w:w="246"/>
        <w:gridCol w:w="246"/>
        <w:gridCol w:w="246"/>
        <w:gridCol w:w="476"/>
        <w:gridCol w:w="1865"/>
        <w:gridCol w:w="347"/>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1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5.2: Scheduled Maturities of Time Deposits</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281,663 </w:t>
            </w:r>
          </w:p>
        </w:tc>
        <w:tc>
          <w:tcPr>
            <w:tcW w:w="34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time deposits</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307,991 </w:t>
            </w:r>
          </w:p>
        </w:tc>
        <w:tc>
          <w:tcPr>
            <w:tcW w:w="34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June 30, 2026 or December 31, 2025. The composition of network deposits as of June 30, 2026 and December 31, 2025 is shown in Table 5.3.</w:t>
      </w:r>
    </w:p>
    <w:tbl>
      <w:tblPr>
        <w:tblW w:w="5655" w:type="dxa"/>
        <w:jc w:val="left"/>
        <w:tblInd w:w="0" w:type="dxa"/>
        <w:tblLayout w:type="fixed"/>
        <w:tblCellMar>
          <w:top w:w="28" w:type="dxa"/>
          <w:left w:w="28" w:type="dxa"/>
          <w:bottom w:w="28" w:type="dxa"/>
          <w:right w:w="28" w:type="dxa"/>
        </w:tblCellMar>
      </w:tblPr>
      <w:tblGrid>
        <w:gridCol w:w="717"/>
        <w:gridCol w:w="631"/>
        <w:gridCol w:w="632"/>
        <w:gridCol w:w="109"/>
        <w:gridCol w:w="109"/>
        <w:gridCol w:w="109"/>
        <w:gridCol w:w="211"/>
        <w:gridCol w:w="976"/>
        <w:gridCol w:w="109"/>
        <w:gridCol w:w="109"/>
        <w:gridCol w:w="109"/>
        <w:gridCol w:w="109"/>
        <w:gridCol w:w="305"/>
        <w:gridCol w:w="1197"/>
        <w:gridCol w:w="223"/>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65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5.3: Network Deposits</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8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21,488 </w:t>
            </w:r>
          </w:p>
        </w:tc>
        <w:tc>
          <w:tcPr>
            <w:tcW w:w="2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network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1,111,174 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978,644 </w:t>
            </w:r>
          </w:p>
        </w:tc>
        <w:tc>
          <w:tcPr>
            <w:tcW w:w="22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5.4 presents interest expense recognized on interest-bearing deposits for the periods ended June 30, 2026 and 2025.</w:t>
      </w:r>
    </w:p>
    <w:tbl>
      <w:tblPr>
        <w:tblW w:w="10205" w:type="dxa"/>
        <w:jc w:val="left"/>
        <w:tblInd w:w="0" w:type="dxa"/>
        <w:tblLayout w:type="fixed"/>
        <w:tblCellMar>
          <w:top w:w="28" w:type="dxa"/>
          <w:left w:w="28" w:type="dxa"/>
          <w:bottom w:w="28" w:type="dxa"/>
          <w:right w:w="28" w:type="dxa"/>
        </w:tblCellMar>
      </w:tblPr>
      <w:tblGrid>
        <w:gridCol w:w="1428"/>
        <w:gridCol w:w="1255"/>
        <w:gridCol w:w="1264"/>
        <w:gridCol w:w="109"/>
        <w:gridCol w:w="109"/>
        <w:gridCol w:w="109"/>
        <w:gridCol w:w="248"/>
        <w:gridCol w:w="849"/>
        <w:gridCol w:w="128"/>
        <w:gridCol w:w="109"/>
        <w:gridCol w:w="109"/>
        <w:gridCol w:w="109"/>
        <w:gridCol w:w="248"/>
        <w:gridCol w:w="849"/>
        <w:gridCol w:w="128"/>
        <w:gridCol w:w="109"/>
        <w:gridCol w:w="109"/>
        <w:gridCol w:w="109"/>
        <w:gridCol w:w="248"/>
        <w:gridCol w:w="849"/>
        <w:gridCol w:w="128"/>
        <w:gridCol w:w="109"/>
        <w:gridCol w:w="109"/>
        <w:gridCol w:w="109"/>
        <w:gridCol w:w="246"/>
        <w:gridCol w:w="844"/>
        <w:gridCol w:w="185"/>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5.4: Interest Expense Recognized on Interest-Bearing Deposits</w:t>
            </w:r>
          </w:p>
        </w:tc>
      </w:tr>
      <w:tr>
        <w:trPr/>
        <w:tc>
          <w:tcPr>
            <w:tcW w:w="3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394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8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Time accounts, $250 or 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time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on 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25,082 </w:t>
            </w:r>
          </w:p>
        </w:tc>
        <w:tc>
          <w:tcPr>
            <w:tcW w:w="1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47,811 </w:t>
            </w:r>
          </w:p>
        </w:tc>
        <w:tc>
          <w:tcPr>
            <w:tcW w:w="1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44,852 </w:t>
            </w:r>
          </w:p>
        </w:tc>
        <w:tc>
          <w:tcPr>
            <w:tcW w:w="18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Subordinated Notes and Other Borrowings</w:t>
      </w:r>
    </w:p>
    <w:p>
      <w:pPr>
        <w:pStyle w:val="TextBody"/>
        <w:bidi w:val="0"/>
        <w:spacing w:lineRule="auto" w:line="288" w:before="240" w:after="283"/>
        <w:jc w:val="both"/>
        <w:rPr/>
      </w:pPr>
      <w:r>
        <w:rPr>
          <w:rFonts w:ascii="Times New Roman;serif" w:hAnsi="Times New Roman;serif"/>
          <w:b w:val="false"/>
          <w:color w:val="000000"/>
          <w:sz w:val="20"/>
          <w:u w:val="single"/>
        </w:rPr>
        <w:t>Subordinated notes</w:t>
      </w:r>
      <w:r>
        <w:rPr>
          <w:rFonts w:ascii="Times New Roman;serif" w:hAnsi="Times New Roman;serif"/>
          <w:b w:val="false"/>
          <w:color w:val="000000"/>
          <w:sz w:val="20"/>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(7.02% as of June 30, 2026)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$0.6 million has been amortized as of June 30, 2026. The Company reflects debt issuance costs as a direct deduction from the face of the note. The debt issuance costs are amortized into interest expense through the maturity period. At June 30, 2026 and December 31, 2025, the carrying value of the Company’s subordinated notes outstanding was $74.1 million and $74.0 million, respectively.</w:t>
      </w:r>
    </w:p>
    <w:p>
      <w:pPr>
        <w:pStyle w:val="TextBody"/>
        <w:bidi w:val="0"/>
        <w:spacing w:lineRule="auto" w:line="288" w:before="240" w:after="283"/>
        <w:jc w:val="both"/>
        <w:rPr/>
      </w:pPr>
      <w:r>
        <w:rPr>
          <w:rFonts w:ascii="Times New Roman;serif" w:hAnsi="Times New Roman;serif"/>
          <w:b w:val="false"/>
          <w:color w:val="000000"/>
          <w:sz w:val="20"/>
          <w:u w:val="single"/>
        </w:rPr>
        <w:t>Other borrowings</w:t>
      </w:r>
      <w:r>
        <w:rPr>
          <w:rFonts w:ascii="Times New Roman;serif" w:hAnsi="Times New Roman;serif"/>
          <w:b w:val="false"/>
          <w:color w:val="000000"/>
          <w:sz w:val="20"/>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shown in Table 6.1.</w:t>
      </w:r>
    </w:p>
    <w:tbl>
      <w:tblPr>
        <w:tblW w:w="8579" w:type="dxa"/>
        <w:jc w:val="left"/>
        <w:tblInd w:w="0" w:type="dxa"/>
        <w:tblLayout w:type="fixed"/>
        <w:tblCellMar>
          <w:top w:w="28" w:type="dxa"/>
          <w:left w:w="28" w:type="dxa"/>
          <w:bottom w:w="28" w:type="dxa"/>
          <w:right w:w="28" w:type="dxa"/>
        </w:tblCellMar>
      </w:tblPr>
      <w:tblGrid>
        <w:gridCol w:w="1678"/>
        <w:gridCol w:w="1476"/>
        <w:gridCol w:w="1481"/>
        <w:gridCol w:w="124"/>
        <w:gridCol w:w="124"/>
        <w:gridCol w:w="124"/>
        <w:gridCol w:w="240"/>
        <w:gridCol w:w="1112"/>
        <w:gridCol w:w="124"/>
        <w:gridCol w:w="124"/>
        <w:gridCol w:w="124"/>
        <w:gridCol w:w="124"/>
        <w:gridCol w:w="271"/>
        <w:gridCol w:w="1256"/>
        <w:gridCol w:w="197"/>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8579"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6.1: Financing Availability with the FHLB</w:t>
            </w:r>
          </w:p>
        </w:tc>
      </w:tr>
      <w:tr>
        <w:trPr/>
        <w:tc>
          <w:tcPr>
            <w:tcW w:w="463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6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financing ability from the FHLB</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1,629,065 </w:t>
            </w:r>
          </w:p>
        </w:tc>
        <w:tc>
          <w:tcPr>
            <w:tcW w:w="12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1,518,680 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outstanding borrowings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LCs pledged to secure State of California deposits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LCs pledged to secure local agency deposits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LCs issued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1,297,500 </w:t>
            </w:r>
          </w:p>
        </w:tc>
        <w:tc>
          <w:tcPr>
            <w:tcW w:w="12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887,500 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 capacity with the FHLB</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331,565 </w:t>
            </w:r>
          </w:p>
        </w:tc>
        <w:tc>
          <w:tcPr>
            <w:tcW w:w="12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631,180 </w:t>
            </w:r>
          </w:p>
        </w:tc>
        <w:tc>
          <w:tcPr>
            <w:tcW w:w="1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the ability to borrow from the Federal Reserve Discount Window. The borrowings were available at an interest rate of 3.75% as of June 30, 2026. At June 30, 2026 and December 31, 2025, the borrowing capacity under this arrangement was $1.1 billion and $957.4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amounts outstanding at June 30, 2026 or December 31, 2025. The borrowing line is secured by certain liens on the Company’s loans and certain available-for-sale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five unsecured federal funds lines of credit totaling $185.0 million with five of its correspondent banks. The borrowings were available at interest rates ranging from 3.75% to 4.95% as of June 30, 2026. There were no amounts outstanding at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Shareholders’ Equity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 Earnings per Share (“EPS”)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EPS is net income divided by the weighted average number of common shares outstanding during the period less average unvested restricted stock awards (“RSAs”). Diluted EPS includes the dilutive effect of additional potential common shares related to unvested RSAs and unvested performance-based restricted stock awards (“PSUs”)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 PSUs represent the right to receive shares of common stock upon the achievement of specified performance conditions over a defined performance period. Unlike RSAs, PSUs do not carry voting rights or dividend rights prior to vesting, and the number of shares ultimately issued may range from zero to a maximum payout factor depending on the level of performance achieved relative to pre-established targets. PSUs are included in the diluted EPS calculation using the treasury stock method only to the extent the applicable performance conditions have been met or are considered probable of being met as of the end of the reporting period.</w:t>
      </w:r>
    </w:p>
    <w:tbl>
      <w:tblPr>
        <w:tblW w:w="10205" w:type="dxa"/>
        <w:jc w:val="left"/>
        <w:tblInd w:w="0" w:type="dxa"/>
        <w:tblLayout w:type="fixed"/>
        <w:tblCellMar>
          <w:top w:w="28" w:type="dxa"/>
          <w:left w:w="28" w:type="dxa"/>
          <w:bottom w:w="28" w:type="dxa"/>
          <w:right w:w="28" w:type="dxa"/>
        </w:tblCellMar>
      </w:tblPr>
      <w:tblGrid>
        <w:gridCol w:w="1670"/>
        <w:gridCol w:w="1157"/>
        <w:gridCol w:w="1165"/>
        <w:gridCol w:w="109"/>
        <w:gridCol w:w="109"/>
        <w:gridCol w:w="109"/>
        <w:gridCol w:w="252"/>
        <w:gridCol w:w="843"/>
        <w:gridCol w:w="118"/>
        <w:gridCol w:w="109"/>
        <w:gridCol w:w="109"/>
        <w:gridCol w:w="109"/>
        <w:gridCol w:w="252"/>
        <w:gridCol w:w="843"/>
        <w:gridCol w:w="118"/>
        <w:gridCol w:w="109"/>
        <w:gridCol w:w="109"/>
        <w:gridCol w:w="109"/>
        <w:gridCol w:w="252"/>
        <w:gridCol w:w="843"/>
        <w:gridCol w:w="118"/>
        <w:gridCol w:w="109"/>
        <w:gridCol w:w="109"/>
        <w:gridCol w:w="109"/>
        <w:gridCol w:w="250"/>
        <w:gridCol w:w="842"/>
        <w:gridCol w:w="174"/>
      </w:tblGrid>
      <w:tr>
        <w:trPr/>
        <w:tc>
          <w:tcPr>
            <w:tcW w:w="167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7.1: EPS</w:t>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9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399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38,020 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27,619 </w:t>
            </w:r>
          </w:p>
        </w:tc>
        <w:tc>
          <w:tcPr>
            <w:tcW w:w="17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21,273,902 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21,225,831 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21,263,551 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21,217,900 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effects of assumed vesting of restricted and performance-based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43,570 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21,338,903 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21,269,265 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21,331,729 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21,261,470 </w:t>
            </w:r>
          </w:p>
        </w:tc>
        <w:tc>
          <w:tcPr>
            <w:tcW w:w="17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anti-dilutive shares at June 30, 2026 or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 Dividends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board of directors declared on April 16, 2026, and the Company subsequently paid, a cash dividend of $0.25 per share, totaling $5.3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 Stock-Based Incentive Arrangement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stock-based compensation consists of RSAs granted under its historical stock-based incentive arrangement (the “Historical Incentive Plan”) and RSAs and PSUs issued under the Five Star Bancorp 2021 Equity Incentive Plan (the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officers and executives, which vest ratably over three or five years (as defined in the respective agreements), and to 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Beginning in 2025, the Company has granted PSUs under the Equity Incentive Plan to certain executives. Performance is measured over a three-year period and such PSUs cliff vest. Based on the achievement of certain pre-established goals, actual payouts can range from 0% to 150% of the target award. All PSUs were granted at the fair value of common stock at the time of the award. As such, the PSUs are considered variable awards, as the number of shares and fair value are not known at the date of grant. An estimate is made of the number of shares expected to vest based on the probability that the performance criteria will be achieved to determine the amount of compensation expense to be recognized. This estimate is re-evaluated quarterly, and total compensation expense is adjusted for any change in the current period. The estimate of the number of shares expected to vest is also used to accrue for dividends to be paid at the end of the vesting period. As of June 30, 2026, there were 1,277,489 shares available for future grant under the Equity Incentive Plan; this figure reflects shares reserved for RSA grants and shares reserved for outstanding PSU awards at target performance. The actual number of shares to be issued in connection with outstanding PSU awards remains variable and is contingent upon the achievement of the applicable performance conditions at the end of the performance period, and therefore the shares ultimately issued may differ from the target amounts reflected herein.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$0.5 million and $0.4 million of non-cash stock compensation expense for the three months ended June 30, 2026 and June 30, 2025, respectively. The Company recognized $0.9 million and $0.6 million of non-cash stock compensation expense for the six months ended June 30, 2026 and June 30,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$3.1 million of unrecognized compensation expense related to the 120,761 unvested RSAs.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and related expense are expected to be recognized over the weighted average term remaining on the unvested RSAs of 1.74 years as of June 30, 2026. The impact of tax benefits for dividends paid on unvested RSAs on the Company’s unaudited consolidated statements of income for the three and six months ended June 30, 2026 and June 30, 2025 was immaterial.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7.2 summarizes activity related to restricted shares for the periods indicated.</w:t>
      </w:r>
    </w:p>
    <w:tbl>
      <w:tblPr>
        <w:tblW w:w="11544"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413"/>
        <w:gridCol w:w="413"/>
        <w:gridCol w:w="211"/>
        <w:gridCol w:w="109"/>
        <w:gridCol w:w="109"/>
        <w:gridCol w:w="109"/>
        <w:gridCol w:w="211"/>
        <w:gridCol w:w="616"/>
        <w:gridCol w:w="109"/>
        <w:gridCol w:w="109"/>
        <w:gridCol w:w="109"/>
        <w:gridCol w:w="109"/>
        <w:gridCol w:w="413"/>
        <w:gridCol w:w="413"/>
        <w:gridCol w:w="211"/>
        <w:gridCol w:w="109"/>
        <w:gridCol w:w="109"/>
        <w:gridCol w:w="109"/>
        <w:gridCol w:w="211"/>
        <w:gridCol w:w="616"/>
        <w:gridCol w:w="109"/>
        <w:gridCol w:w="109"/>
        <w:gridCol w:w="109"/>
        <w:gridCol w:w="109"/>
        <w:gridCol w:w="413"/>
        <w:gridCol w:w="413"/>
        <w:gridCol w:w="211"/>
        <w:gridCol w:w="109"/>
        <w:gridCol w:w="109"/>
        <w:gridCol w:w="109"/>
        <w:gridCol w:w="211"/>
        <w:gridCol w:w="616"/>
        <w:gridCol w:w="109"/>
        <w:gridCol w:w="109"/>
        <w:gridCol w:w="109"/>
        <w:gridCol w:w="109"/>
        <w:gridCol w:w="413"/>
        <w:gridCol w:w="413"/>
        <w:gridCol w:w="211"/>
        <w:gridCol w:w="109"/>
        <w:gridCol w:w="109"/>
        <w:gridCol w:w="109"/>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4" w:type="dxa"/>
            <w:gridSpan w:val="5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7.2: Unvested RSA Activity</w:t>
            </w:r>
          </w:p>
        </w:tc>
      </w:tr>
      <w:tr>
        <w:trPr/>
        <w:tc>
          <w:tcPr>
            <w:tcW w:w="99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six months ended June 30,</w:t>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Shares </w:t>
            </w:r>
          </w:p>
        </w:tc>
        <w:tc>
          <w:tcPr>
            <w:tcW w:w="327" w:type="dxa"/>
            <w:gridSpan w:val="3"/>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ind w:left="0" w:right="0" w:hanging="120"/>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116,103 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111,786 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124,747 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120,577 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120,761 </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129,448 </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120,761 </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129,448 </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$1.4 million of unrecognized compensation expense related to the 48,900 unvested PSUs (at target).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7.3 summarizes information about unvested PSUs. The weighted average grant date fair value is based on the fair value at the time of grant. The vesting of PSUs is subject to achievement of specified performance targets and continued employment.</w:t>
      </w:r>
    </w:p>
    <w:tbl>
      <w:tblPr>
        <w:tblW w:w="10452"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360"/>
        <w:gridCol w:w="361"/>
        <w:gridCol w:w="211"/>
        <w:gridCol w:w="109"/>
        <w:gridCol w:w="109"/>
        <w:gridCol w:w="109"/>
        <w:gridCol w:w="211"/>
        <w:gridCol w:w="616"/>
        <w:gridCol w:w="109"/>
        <w:gridCol w:w="109"/>
        <w:gridCol w:w="109"/>
        <w:gridCol w:w="109"/>
        <w:gridCol w:w="210"/>
        <w:gridCol w:w="210"/>
        <w:gridCol w:w="211"/>
        <w:gridCol w:w="109"/>
        <w:gridCol w:w="109"/>
        <w:gridCol w:w="109"/>
        <w:gridCol w:w="261"/>
        <w:gridCol w:w="503"/>
        <w:gridCol w:w="137"/>
        <w:gridCol w:w="109"/>
        <w:gridCol w:w="109"/>
        <w:gridCol w:w="109"/>
        <w:gridCol w:w="360"/>
        <w:gridCol w:w="361"/>
        <w:gridCol w:w="211"/>
        <w:gridCol w:w="109"/>
        <w:gridCol w:w="109"/>
        <w:gridCol w:w="109"/>
        <w:gridCol w:w="211"/>
        <w:gridCol w:w="616"/>
        <w:gridCol w:w="109"/>
        <w:gridCol w:w="109"/>
        <w:gridCol w:w="109"/>
        <w:gridCol w:w="109"/>
        <w:gridCol w:w="210"/>
        <w:gridCol w:w="210"/>
        <w:gridCol w:w="211"/>
        <w:gridCol w:w="109"/>
        <w:gridCol w:w="109"/>
        <w:gridCol w:w="109"/>
        <w:gridCol w:w="258"/>
        <w:gridCol w:w="498"/>
        <w:gridCol w:w="190"/>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0452" w:type="dxa"/>
            <w:gridSpan w:val="5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7.3: Unvested PSU Activity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six months ended June 30,</w:t>
            </w:r>
          </w:p>
        </w:tc>
      </w:tr>
      <w:tr>
        <w:trPr/>
        <w:tc>
          <w:tcPr>
            <w:tcW w:w="99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23,110 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23,110 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7.3 shows the target number of PSUs awarded. Vesting of the PSUs is based on achievement of the Company’s three-year average return on average assets for the performance period relative to a peer group of publicly traded banks and bank holding companies utilizing the S&amp;P Global Broad Market Index - Western Region. If the Company’s performance is at the 60th percentile, 70th percentile, and 80th percentile or higher, the recipients are entitled to receive 50%, 100%, and 150% of their target award grant,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Commitments and 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with Off-Balance Sheet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 amounts of unfunded loan commitments and standby letters of credit not reflected in the unaudited consolidated balance sheets at the dates indicated are presented in Table 8.1.</w:t>
      </w:r>
    </w:p>
    <w:tbl>
      <w:tblPr>
        <w:tblW w:w="9299" w:type="dxa"/>
        <w:jc w:val="left"/>
        <w:tblInd w:w="0" w:type="dxa"/>
        <w:tblLayout w:type="fixed"/>
        <w:tblCellMar>
          <w:top w:w="28" w:type="dxa"/>
          <w:left w:w="28" w:type="dxa"/>
          <w:bottom w:w="28" w:type="dxa"/>
          <w:right w:w="28" w:type="dxa"/>
        </w:tblCellMar>
      </w:tblPr>
      <w:tblGrid>
        <w:gridCol w:w="1445"/>
        <w:gridCol w:w="1270"/>
        <w:gridCol w:w="1274"/>
        <w:gridCol w:w="193"/>
        <w:gridCol w:w="193"/>
        <w:gridCol w:w="193"/>
        <w:gridCol w:w="375"/>
        <w:gridCol w:w="1468"/>
        <w:gridCol w:w="193"/>
        <w:gridCol w:w="193"/>
        <w:gridCol w:w="193"/>
        <w:gridCol w:w="193"/>
        <w:gridCol w:w="375"/>
        <w:gridCol w:w="1468"/>
        <w:gridCol w:w="273"/>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9299"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8.1: Unfunded Loan Commitments and Standby Letters of Credit</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lines of credit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338,497 </w:t>
            </w:r>
          </w:p>
        </w:tc>
        <w:tc>
          <w:tcPr>
            <w:tcW w:w="19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287,988 </w:t>
            </w:r>
          </w:p>
        </w:tc>
        <w:tc>
          <w:tcPr>
            <w:tcW w:w="27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lines of credit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Undisbursed commercial real estate loans</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Undisbursed construction loans</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Undisbursed residential real estate loans</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Undisbursed agricultural real estate loans</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commitments and standby letters of credit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726,674 </w:t>
            </w:r>
          </w:p>
        </w:tc>
        <w:tc>
          <w:tcPr>
            <w:tcW w:w="19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503,265 </w:t>
            </w:r>
          </w:p>
        </w:tc>
        <w:tc>
          <w:tcPr>
            <w:tcW w:w="27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$1.1 million as of June 30, 2026 and $0.7 million as of December 31, 2025, which is recorded in “Interest payable and other liabilities” in the unaudited consolidated balance sheets.</w:t>
      </w:r>
    </w:p>
    <w:p>
      <w:pPr>
        <w:pStyle w:val="TextBody"/>
        <w:bidi w:val="0"/>
        <w:spacing w:lineRule="auto" w:line="288" w:before="240" w:after="283"/>
        <w:jc w:val="both"/>
        <w:rPr/>
      </w:pPr>
      <w:r>
        <w:rPr>
          <w:rFonts w:ascii="Times New Roman;serif" w:hAnsi="Times New Roman;serif"/>
          <w:b w:val="false"/>
          <w:color w:val="000000"/>
          <w:sz w:val="20"/>
          <w:u w:val="single"/>
        </w:rPr>
        <w:t>Concentrations of credit risk</w:t>
      </w:r>
      <w:r>
        <w:rPr>
          <w:rFonts w:ascii="Times New Roman;serif" w:hAnsi="Times New Roman;serif"/>
          <w:b w:val="false"/>
          <w:color w:val="000000"/>
          <w:sz w:val="20"/>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management’s judgment, a concentration of loans exists in real estate related loans, which represented approximately 85.08% of the Company’s loan portfolio at June 30, 2026 and 86.07% of the Company’s loan portfolio at December 31, 2025.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pStyle w:val="TextBody"/>
        <w:bidi w:val="0"/>
        <w:spacing w:lineRule="auto" w:line="288" w:before="240" w:after="283"/>
        <w:jc w:val="both"/>
        <w:rPr/>
      </w:pPr>
      <w:r>
        <w:rPr>
          <w:rFonts w:ascii="Times New Roman;serif" w:hAnsi="Times New Roman;serif"/>
          <w:b w:val="false"/>
          <w:color w:val="000000"/>
          <w:sz w:val="20"/>
          <w:u w:val="single"/>
        </w:rPr>
        <w:t>Deposit concentrations</w:t>
      </w:r>
      <w:r>
        <w:rPr>
          <w:rFonts w:ascii="Times New Roman;serif" w:hAnsi="Times New Roman;serif"/>
          <w:b w:val="false"/>
          <w:color w:val="000000"/>
          <w:sz w:val="20"/>
        </w:rPr>
        <w:t>: At June 30, 2026, the Company had 157 deposit relationships that exceeded $5.0 million each, totaling $3.1 billion, or approximately 63.88% of total deposits. The Company’s largest single deposit relationship at June 30, 2026 totaled $340.1 million, or approximately 7.09% of total deposits. Management maintains the Company’s liquidity position and lines of credit with correspondent banks to mitigate the risk of large withdrawals by this group of large depositors.</w:t>
      </w:r>
    </w:p>
    <w:p>
      <w:pPr>
        <w:pStyle w:val="TextBody"/>
        <w:bidi w:val="0"/>
        <w:spacing w:lineRule="auto" w:line="288" w:before="240" w:after="283"/>
        <w:jc w:val="both"/>
        <w:rPr/>
      </w:pPr>
      <w:r>
        <w:rPr>
          <w:rFonts w:ascii="Times New Roman;serif" w:hAnsi="Times New Roman;serif"/>
          <w:b w:val="false"/>
          <w:color w:val="000000"/>
          <w:sz w:val="20"/>
          <w:u w:val="single"/>
        </w:rPr>
        <w:t>Contingencies</w:t>
      </w:r>
      <w:r>
        <w:rPr>
          <w:rFonts w:ascii="Times New Roman;serif" w:hAnsi="Times New Roman;serif"/>
          <w:b w:val="false"/>
          <w:color w:val="000000"/>
          <w:sz w:val="20"/>
        </w:rPr>
        <w:t>: 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pStyle w:val="TextBody"/>
        <w:bidi w:val="0"/>
        <w:spacing w:lineRule="auto" w:line="288" w:before="240" w:after="283"/>
        <w:jc w:val="both"/>
        <w:rPr/>
      </w:pPr>
      <w:r>
        <w:rPr>
          <w:rFonts w:ascii="Times New Roman;serif" w:hAnsi="Times New Roman;serif"/>
          <w:b w:val="false"/>
          <w:color w:val="000000"/>
          <w:sz w:val="20"/>
          <w:u w:val="single"/>
        </w:rPr>
        <w:t>Correspondent banking agreements</w:t>
      </w:r>
      <w:r>
        <w:rPr>
          <w:rFonts w:ascii="Times New Roman;serif" w:hAnsi="Times New Roman;serif"/>
          <w:b w:val="false"/>
          <w:color w:val="000000"/>
          <w:sz w:val="20"/>
        </w:rPr>
        <w:t>: The Company maintains funds on deposit with other FDIC-insured financial institutions under correspondent banking agreements. Uninsured deposits through these agreements totaled approximately $40.0 million and $27.4 million at June 30, 2026 and December 31, 2025, respectively.</w:t>
      </w:r>
    </w:p>
    <w:p>
      <w:pPr>
        <w:pStyle w:val="TextBody"/>
        <w:bidi w:val="0"/>
        <w:spacing w:lineRule="auto" w:line="288" w:before="240" w:after="283"/>
        <w:jc w:val="both"/>
        <w:rPr/>
      </w:pPr>
      <w:r>
        <w:rPr>
          <w:rFonts w:ascii="Times New Roman;serif" w:hAnsi="Times New Roman;serif"/>
          <w:b w:val="false"/>
          <w:color w:val="000000"/>
          <w:sz w:val="20"/>
          <w:u w:val="single"/>
        </w:rPr>
        <w:t>Equity investments</w:t>
      </w:r>
      <w:r>
        <w:rPr>
          <w:rFonts w:ascii="Times New Roman;serif" w:hAnsi="Times New Roman;serif"/>
          <w:b w:val="false"/>
          <w:color w:val="000000"/>
          <w:sz w:val="20"/>
        </w:rPr>
        <w:t>: The Company is a limited partner and has committed to and is invested in a limited number of venture-backed capital funds. As of June 30, 2026 and December 31, 2025, the balance of these investments totaled approximately $15.2 million and $12.1 million, respectively. As of June 30, 2026 and December 31, 2025, the estimated remaining commitment for these funds totaled $10.3 million and $13.7 million,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Litigation Matters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16, 2026, the board of directors of the Company declared a cash dividend of $0.25 per common share, which the Company expects to pay on August 10, 2026 to shareholders of record as of August 3,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2026, the Company entered into an underwriting agreement with Keefe, Bruyette &amp; Woods, Inc., as representative of the several underwriters named in Schedule I thereto (the “Underwriters”), to issue and sell up to 3,133,750 shares of common stock, including up to 408,750 shares that could be purchased by the Underwriters pursuant to a 30-day option granted to the Underwriters by the Company, at a public offering price of $44.00 per share (the “2026 Public Offering”). On July 24, 2026, the Company closed the 2026 Public Offering and issued 2,725,000 shares of its common stock, and on July 27, 2026, the Company issued an additional 408,750 shares of its common stock to the Underwriters, pursuant to the Underwriters’ full exercise of their option to purchase additional shares. When combined with the shares sold in the closing that occurred on July 24, 2026, the Company sold an aggregate of 3,133,750 shares of its common stock at a public offering price of $44.00 per share. The net proceeds to the Company, after deducting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underwriting discounts, commissions, and estimated offering expenses of approximately $0.8 million, were approximately $129.9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shelf registration statement on file with the SEC registering $300.0 million for any combination of equity or debt securities, depository shares, warrants, purchase contracts, purchase units, subscription rights, and units in one or more offerings. Specific information on any of the terms of any securities being offered, including the expected use of proceeds from the sale of such securities, is provided at the time of the offering. The 2026 Public Offering used $137.9 million of the securities registered under the Company’s shelf registration statement on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presents management’s perspective on our results of operations and financial condition on a consolidated basis. However, because we conduct all of our material business operations through our bank subsidiary, Five Star Bank, the discussion and analysis relate to activities primarily conducted by the Bank.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2025 Annual Report on Form 10-K, which was filed with the SEC on February 27, 2026. Average balances, including balances used in calculating certain financial ratios, are generally comprised of average daily balances.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Unless otherwise indicated, references in this report to “we,” “our,” “us,” “the Company,” or “Bancorp” refer to Five Star Bancorp and our consolidated subsidiary. All references to “the Bank” refer to Five Star Bank, our wholly owned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risks related to the concentration of our business in California, and specifically within Northern California, including risks associated with any downturn in the real estate sector;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market interest rates that affect the pricing of our loans and deposits, our net interest income, and our borrowers’ ability to repay loans;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the U.S. economy, including an economic slowdown, recession, inflation, deflation, tariffs, housing prices, employment levels, rate of growth, and general business conditions;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uncertain market conditions and economic trends nationally, regionally, and particularly in Northern California and California;</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soundness of other financial institutions and the impacts related to or resulting from bank failures and other economic and industry volatility, including increased regulatory requirements and costs and potential impacts to macroeconomic conditions;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recent and future legislative and regulatory changes, including changes in banking, securities, and tax laws and regulations and their application by our regulators;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effects of increased competition from a wide variety of local, regional, national, and other providers of financial and investment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risks associated with our loan portfolios, and specifically with our commercial real estate loans;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maintain adequate liquidity and to maintain capital necessary to fund our growth strategy and operations and to satisfy minimum regulatory capital levels;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related to our strategic focus on lending to small to medium-sized businesses;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sufficiency of the assumptions and estimates we make in establishing reserves for potential credit losses and the value of loan collateral and securities;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level of nonperforming assets and the costs associated with resolving problem loans,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comply with various governmental and regulatory requirements applicable to financial institutions, including supervisory actions by federal and state banking agencies;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governmental monetary and fiscal policies, including the policies of the Federal Reserve;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risks associated with unauthorized access, cybersecurity breaches, cyber-crime, and other threats and disruptions to data security;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implement, maintain, and improve an effective risk management framework, disclosure controls and procedures, and internal controls over financial reporting;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adopt and successfully integrate new initiatives or technologies into our business in a strategic manner;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attract and retain executive officers and key employees and their customer and community relationships;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any future U.S. federal government shutdown and uncertainty regarding the U.S. federal government’s debt limit and credit rating;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occurrence or impact of climate change or natural or man-made disasters or calamities, such as wildfires, droughts, mudslides, floods, and earthquakes, and particularly in California, and specifically Northern California;</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and impact of local, regional, and global business, economic, and political conditions and geopolitical events, such as pandemics, civil unrest, wars, and acts of terrorism;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other factors that are discussed in the section entitled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2025 Annual Report on Form 10-K, our Quarterly Report on Form 10-Q for the three months ended March 31, 2026,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California through nine branch offices, with a tenth branch opening in Lodi in July 2026.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June 30, 2026, we had total assets of $5.4 billion, total loans held for investment of $4.5 billion, and total deposits of $4.8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basis consistent with, and should be read in conjunction with, the audited consolidated financial statements as filed in our 2025 Annual Report on Form 10-K and the notes thereto.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our 2025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With the exception of the changes to the allowance for credit losses described below, there have been no significant changes concerning our critical accounting estimates as described in our 2025 Annual Report on Form 10-K.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represents the estimated expected credit losses in our loan and investment portfolios and is estimated as of June 30, 2026 using Current Expected Credit Loss (“CECL”). The allowance for credit losses is established through a provision for credit losses charged to operations. Loans and investments are charged against the allowance for credit losses when management believes that the collectability of the principal is unlikely. Subsequent recoveries of previously charged-off amounts, if any, are credited to the 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amount of the allowance for credit losses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Federal Financial Institutions Examination Council (“FFIEC”) to provide statistically meaningful support in the models developed. Reserves for credit losses identified on a pooled basis are then adjusted for qualitative factors to reflect current conditions. The most significant components of the qualitative factors used to estimate the allowance for credit losses are adjustments relating to prevailing economic conditions, concentrations within the loan portfolio, and external factors. These qualitative factors are subject to significant judgment and carry a higher degree of uncertainty. The prevailing economic conditions factor is estimated based on a range of potential economic conditions and is applied at both the portfolio and individual concentration level based on various factors. The factor concerning concentrations within the loan portfolio is estimated based on concentrations at the loan pool level. The external factor is estimated based on current external factors, such as environmental factors, which could impact the loan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income for the three and six months ended June 30, 2026 totaled $19.4 million and $38.0 million, respectively, as compared to net income of $14.5 million and $27.6 million for the three and six months ended June 30,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highlights of our operating and financial performance, and financial condition for the dates and periods presented:</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Deposits. </w:t>
      </w:r>
      <w:r>
        <w:rPr>
          <w:rFonts w:ascii="Times New Roman;serif" w:hAnsi="Times New Roman;serif"/>
          <w:b w:val="false"/>
          <w:color w:val="000000"/>
          <w:sz w:val="20"/>
        </w:rPr>
        <w:t>Total deposits increased by $598.3 million, or 14.24%, from $4.2 billion at December 31, 2025 to $4.8 billion at June 30, 2026. Non-wholesale deposits increased by $813.3 million in the first six months of 2026 to $4.5 billion at June 30, 2026. Wholesale deposits, which the Company defines as brokered deposits and California Time Deposit Program deposits, decreased by $215.0 million in the first six months of 2026 to $250.0 million. Non-interest-bearing deposits increased by $89.9 million in the first six months of 2026 to $1.2 billion, and represented 24.47% of total deposits at June 30, 2026, as compared to 25.82% of total deposits at December 31, 2025. Our loan to deposit ratio was 94.17% at June 30, 2026, as compared to 97.00% at December 31, 2025.</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Assets. </w:t>
      </w:r>
      <w:r>
        <w:rPr>
          <w:rFonts w:ascii="Times New Roman;serif" w:hAnsi="Times New Roman;serif"/>
          <w:b w:val="false"/>
          <w:color w:val="000000"/>
          <w:sz w:val="20"/>
        </w:rPr>
        <w:t>Total assets were $5.4 billion at June 30, 2026, representing a $622.2 million, or 13.09%, increase compared to $4.8 billion at December 31, 2025.</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Loans.</w:t>
      </w:r>
      <w:r>
        <w:rPr>
          <w:color w:val="000000"/>
        </w:rPr>
        <w:t xml:space="preserve"> </w:t>
      </w:r>
      <w:r>
        <w:rPr>
          <w:rFonts w:ascii="Times New Roman;serif" w:hAnsi="Times New Roman;serif"/>
          <w:b w:val="false"/>
          <w:color w:val="000000"/>
          <w:sz w:val="20"/>
        </w:rPr>
        <w:t>Total loans held for investment were $4.5 billion at June 30, 2026, as compared to $4.1 billion at December 31, 2025, an increase of $444.8 million, or 10.91%. The increase was a result of $1.0 billion in loan originations and advances, partially offset by $162.1 million and $421.9 million in loan payoffs and paydowns, respectively.</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Credit Quality. </w:t>
      </w:r>
      <w:r>
        <w:rPr>
          <w:rFonts w:ascii="Times New Roman;serif" w:hAnsi="Times New Roman;serif"/>
          <w:b w:val="false"/>
          <w:color w:val="000000"/>
          <w:sz w:val="20"/>
        </w:rPr>
        <w:t>Credit quality remains strong, with non-accrual loans representing $13.4 million, or 0.30% of total loans held for investment at June 30, 2026, as compared to $3.1 million, or 0.08% of total loans held for investment at December 31, 2025. This increase was due to a $10.3 million, or 331.20% increase in nonperforming loans due to one Community Reinvestment Act loan that was placed on non-accrual status during the period. The balance of the loan is $11.4 million as of June 30, 2026, and it was originally downgraded to substandard in 2025. This was partially offset by improvements across the remainder of the nonperforming loan portfolio. The ratio of the allowance for credit losses to total loans held for investment was 1.05% at June 30, 2026 and 1.09% at December 31, 2025.</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Net Interest Margin. </w:t>
      </w:r>
      <w:r>
        <w:rPr>
          <w:rFonts w:ascii="Times New Roman;serif" w:hAnsi="Times New Roman;serif"/>
          <w:b w:val="false"/>
          <w:color w:val="000000"/>
          <w:sz w:val="20"/>
        </w:rPr>
        <w:t>Net interest margin was 3.63% and 3.66%, respectively, for the three and six months ended June 30, 2026, and 3.53% and 3.49%, respectively, for the three and six months ended June 30, 2025. The increase in net interest margin for the three and six months ended June 30, 2026 compared to the three and six months ended June 30, 2025 is driven by balance sheet growth and a favorable shift in funding mix, which more than offset pressure from declining federal funds rates over the periods.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Efficiency Ratio. </w:t>
      </w:r>
      <w:r>
        <w:rPr>
          <w:rFonts w:ascii="Times New Roman;serif" w:hAnsi="Times New Roman;serif"/>
          <w:b w:val="false"/>
          <w:color w:val="000000"/>
          <w:sz w:val="20"/>
        </w:rPr>
        <w:t>Efficiency ratio was 40.91% for the three months ended June 30, 2026, down from 41.03% for the corresponding period of 2025, mainly due to a $9.6 million, or 26.20%, increase in net interest income during the same period, partially offset by a $3.9 million, or 24.74%, increase in non-interest expense. Additionally, efficiency ratio was 39.77% for the six months ended June 30, 2026, down from 41.77% for the corresponding period of 2025, mainly due to a $19.0 million, or 27.02%, increase in net interest income.</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Capital Ratios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All capital ratios were above well-capitalized regulatory thresholds as of June 30, 2026. The total risk-based capital ratio for the Company was 12.50% at June 30, 2026, as compared to 13.33% at December 31, 2025. The Tier 1 leverage ratio was 9.21% at June 30, 2026, as compared to 9.70% at December 31, 2025. For additional information about the regulatory capital requirements applicable to the Company and the Bank, see the section entitled “—Financial Condition Summary—Capital Adequacy” below.</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 xml:space="preserve">Dividends. </w:t>
      </w:r>
      <w:r>
        <w:rPr>
          <w:rFonts w:ascii="Times New Roman;serif" w:hAnsi="Times New Roman;serif"/>
          <w:b w:val="false"/>
          <w:color w:val="000000"/>
          <w:sz w:val="20"/>
        </w:rPr>
        <w:t>The board of directors declared a cash dividend of $0.25 per share on April 16,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Highlights of our financial results are presented in the following tables:</w:t>
      </w:r>
    </w:p>
    <w:tbl>
      <w:tblPr>
        <w:tblW w:w="8907" w:type="dxa"/>
        <w:jc w:val="left"/>
        <w:tblInd w:w="0" w:type="dxa"/>
        <w:tblLayout w:type="fixed"/>
        <w:tblCellMar>
          <w:top w:w="28" w:type="dxa"/>
          <w:left w:w="28" w:type="dxa"/>
          <w:bottom w:w="28" w:type="dxa"/>
          <w:right w:w="28" w:type="dxa"/>
        </w:tblCellMar>
      </w:tblPr>
      <w:tblGrid>
        <w:gridCol w:w="1820"/>
        <w:gridCol w:w="1600"/>
        <w:gridCol w:w="1605"/>
        <w:gridCol w:w="109"/>
        <w:gridCol w:w="109"/>
        <w:gridCol w:w="109"/>
        <w:gridCol w:w="211"/>
        <w:gridCol w:w="976"/>
        <w:gridCol w:w="271"/>
        <w:gridCol w:w="109"/>
        <w:gridCol w:w="109"/>
        <w:gridCol w:w="109"/>
        <w:gridCol w:w="248"/>
        <w:gridCol w:w="1150"/>
        <w:gridCol w:w="372"/>
      </w:tblGrid>
      <w:tr>
        <w:trPr/>
        <w:tc>
          <w:tcPr>
            <w:tcW w:w="182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8907"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 Highlights of Financial Results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0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financial condition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4,754,861 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4,074,929 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4,201,084 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subordinated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445,832 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quality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 to 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Tangible shareholders’ equity to tangible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386"/>
        <w:gridCol w:w="1196"/>
        <w:gridCol w:w="1204"/>
        <w:gridCol w:w="109"/>
        <w:gridCol w:w="109"/>
        <w:gridCol w:w="109"/>
        <w:gridCol w:w="221"/>
        <w:gridCol w:w="759"/>
        <w:gridCol w:w="285"/>
        <w:gridCol w:w="109"/>
        <w:gridCol w:w="109"/>
        <w:gridCol w:w="109"/>
        <w:gridCol w:w="221"/>
        <w:gridCol w:w="759"/>
        <w:gridCol w:w="285"/>
        <w:gridCol w:w="109"/>
        <w:gridCol w:w="109"/>
        <w:gridCol w:w="109"/>
        <w:gridCol w:w="221"/>
        <w:gridCol w:w="759"/>
        <w:gridCol w:w="285"/>
        <w:gridCol w:w="109"/>
        <w:gridCol w:w="109"/>
        <w:gridCol w:w="109"/>
        <w:gridCol w:w="221"/>
        <w:gridCol w:w="758"/>
        <w:gridCol w:w="337"/>
      </w:tblGrid>
      <w:tr>
        <w:trPr/>
        <w:tc>
          <w:tcPr>
            <w:tcW w:w="13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 Highlights of Financial Results (continued)</w:t>
            </w:r>
          </w:p>
        </w:tc>
      </w:tr>
      <w:tr>
        <w:trPr/>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the 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w:t>
            </w:r>
          </w:p>
        </w:tc>
      </w:tr>
      <w:tr>
        <w:trPr/>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78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common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Tangible book value per share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Performance and other financial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on Average Assets, annualized (“ROAA”)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on Average Equity, annualized (“ROAE”)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cost of funds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dividend payout ratio on common stock</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pStyle w:val="TextBody"/>
        <w:bidi w:val="0"/>
        <w:spacing w:lineRule="auto" w:line="288" w:before="2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pStyle w:val="TextBody"/>
        <w:bidi w:val="0"/>
        <w:spacing w:lineRule="auto" w:line="288" w:before="24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Total cost of funds reflects the average cost of all funding sources, including both interest-bearing and non-interest-bearing deposits and borrowings.</w:t>
      </w:r>
    </w:p>
    <w:p>
      <w:pPr>
        <w:pStyle w:val="TextBody"/>
        <w:bidi w:val="0"/>
        <w:spacing w:lineRule="auto" w:line="288" w:before="24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Cash dividend payout ratio on common stock is calculated as dividends on common shares divided by basic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our results of operations compares the three and six months ended June 30, 2026 to the three and six months ended June 30, 2025. The results of operations for the three and six months ended June 30, 2026 are not necessarily indicative of the results of operations that may be expected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yields/rates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2026 compared to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interest income increased by $9.6 million, or 26.20%, for the three months ended June 30, 2026 compared to the three months ended June 30, 2025, and our net interest margin increased by 10 basis points during the same period. The increase in net interest income is primarily due to an increase in interest income driven by loan growth and higher interest-earning deposits in banks, partially offset by an increase in interest expense driven by deposit growth, though moderated by a decrease in the average cost of deposits. Additional detail relating to net interest margin in each period is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i/>
          <w:color w:val="000000"/>
          <w:sz w:val="20"/>
        </w:rPr>
        <w:t xml:space="preserve">Average balance sheet, interest, and yield/rate analysis. </w:t>
      </w:r>
      <w:r>
        <w:rPr>
          <w:rFonts w:ascii="Times New Roman;serif" w:hAnsi="Times New Roman;serif"/>
          <w:b w:val="false"/>
          <w:color w:val="000000"/>
          <w:sz w:val="20"/>
        </w:rPr>
        <w:t>Table 3 presents average balance sheet information, interest income, interest expense, and the corresponding average yield earned or rate paid for each period reported. The average balances are daily averages and include both performing and nonperforming loans.</w:t>
      </w:r>
    </w:p>
    <w:tbl>
      <w:tblPr>
        <w:tblW w:w="10205" w:type="dxa"/>
        <w:jc w:val="left"/>
        <w:tblInd w:w="0" w:type="dxa"/>
        <w:tblLayout w:type="fixed"/>
        <w:tblCellMar>
          <w:top w:w="28" w:type="dxa"/>
          <w:left w:w="28" w:type="dxa"/>
          <w:bottom w:w="28" w:type="dxa"/>
          <w:right w:w="28" w:type="dxa"/>
        </w:tblCellMar>
      </w:tblPr>
      <w:tblGrid>
        <w:gridCol w:w="710"/>
        <w:gridCol w:w="413"/>
        <w:gridCol w:w="329"/>
        <w:gridCol w:w="109"/>
        <w:gridCol w:w="109"/>
        <w:gridCol w:w="109"/>
        <w:gridCol w:w="212"/>
        <w:gridCol w:w="981"/>
        <w:gridCol w:w="109"/>
        <w:gridCol w:w="109"/>
        <w:gridCol w:w="109"/>
        <w:gridCol w:w="109"/>
        <w:gridCol w:w="217"/>
        <w:gridCol w:w="742"/>
        <w:gridCol w:w="112"/>
        <w:gridCol w:w="109"/>
        <w:gridCol w:w="109"/>
        <w:gridCol w:w="109"/>
        <w:gridCol w:w="329"/>
        <w:gridCol w:w="189"/>
        <w:gridCol w:w="472"/>
        <w:gridCol w:w="109"/>
        <w:gridCol w:w="109"/>
        <w:gridCol w:w="109"/>
        <w:gridCol w:w="212"/>
        <w:gridCol w:w="981"/>
        <w:gridCol w:w="109"/>
        <w:gridCol w:w="109"/>
        <w:gridCol w:w="109"/>
        <w:gridCol w:w="109"/>
        <w:gridCol w:w="217"/>
        <w:gridCol w:w="742"/>
        <w:gridCol w:w="112"/>
        <w:gridCol w:w="109"/>
        <w:gridCol w:w="109"/>
        <w:gridCol w:w="109"/>
        <w:gridCol w:w="334"/>
        <w:gridCol w:w="182"/>
        <w:gridCol w:w="539"/>
      </w:tblGrid>
      <w:tr>
        <w:trPr/>
        <w:tc>
          <w:tcPr>
            <w:tcW w:w="7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3: Average Balances, Interest, and Yield/Rate</w:t>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Income/Expense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Average Yield/Rate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Income/Expense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Yield/Rate</w:t>
            </w:r>
          </w:p>
        </w:tc>
      </w:tr>
      <w:tr>
        <w:trPr/>
        <w:tc>
          <w:tcPr>
            <w:tcW w:w="145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Interest-earning deposits in banks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securities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held for investment and sale</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interest-earning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5,099,006 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72,327 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4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4,151,368 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60,580 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5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receivable and other assets, net</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5,222,360 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4,253,000 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Interest-bearing transaction accounts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Savings accounts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accounts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Time accounts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Subordinated notes and other borrowings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3,560,450 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26,244 </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7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2,852,951 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24,065 </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53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5,222,360 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4,253,000 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interest spread</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5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interest income/margin</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46,083 </w:t>
            </w:r>
          </w:p>
        </w:tc>
        <w:tc>
          <w:tcPr>
            <w:tcW w:w="1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47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36,515 </w:t>
            </w:r>
          </w:p>
        </w:tc>
        <w:tc>
          <w:tcPr>
            <w:tcW w:w="1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3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Interest income/expense is divided by the actual number of days in the period multiplied by the actual number of days in the year to correspond to stated interest rate terms, where applicable.</w:t>
      </w:r>
    </w:p>
    <w:p>
      <w:pPr>
        <w:pStyle w:val="TextBody"/>
        <w:bidi w:val="0"/>
        <w:spacing w:lineRule="auto" w:line="288" w:before="2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Yields on available-for-sale securities are calculated based on fair value. Investment security interest is earned monthly on a 30/360 day basis. Yields are not calculated on a tax-equivalent basis.</w:t>
      </w:r>
    </w:p>
    <w:p>
      <w:pPr>
        <w:pStyle w:val="TextBody"/>
        <w:bidi w:val="0"/>
        <w:spacing w:lineRule="auto" w:line="288" w:before="24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pStyle w:val="TextBody"/>
        <w:bidi w:val="0"/>
        <w:spacing w:lineRule="auto" w:line="288" w:before="24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Allowance for credit losses is included in interest receivable and other assets, net.</w:t>
      </w:r>
    </w:p>
    <w:p>
      <w:pPr>
        <w:pStyle w:val="TextBody"/>
        <w:bidi w:val="0"/>
        <w:spacing w:lineRule="auto" w:line="288" w:before="24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Net interest spread represents the average yield earned on interest-earning assets minus the average rate paid on interest-bearing liabilities.</w:t>
      </w:r>
    </w:p>
    <w:p>
      <w:pPr>
        <w:pStyle w:val="TextBody"/>
        <w:bidi w:val="0"/>
        <w:spacing w:lineRule="auto" w:line="288" w:before="240" w:after="283"/>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Net interest margin is computed by calculating the difference between interest income and interest expense, divided by the average balance of interest-earning assets, then annualized based on the number of days in the given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i/>
          <w:color w:val="000000"/>
          <w:sz w:val="20"/>
        </w:rPr>
        <w:t xml:space="preserve">Analysis of changes in interest income and expenses. </w:t>
      </w:r>
      <w:r>
        <w:rPr>
          <w:rFonts w:ascii="Times New Roman;serif" w:hAnsi="Times New Roman;serif"/>
          <w:b w:val="false"/>
          <w:color w:val="000000"/>
          <w:sz w:val="20"/>
        </w:rPr>
        <w:t>Increases and decreases in interest income and interest expense result from changes in average balances (volume) of interest-earning assets and 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tbl>
      <w:tblPr>
        <w:tblW w:w="8950" w:type="dxa"/>
        <w:jc w:val="left"/>
        <w:tblInd w:w="0" w:type="dxa"/>
        <w:tblLayout w:type="fixed"/>
        <w:tblCellMar>
          <w:top w:w="28" w:type="dxa"/>
          <w:left w:w="28" w:type="dxa"/>
          <w:bottom w:w="28" w:type="dxa"/>
          <w:right w:w="28" w:type="dxa"/>
        </w:tblCellMar>
      </w:tblPr>
      <w:tblGrid>
        <w:gridCol w:w="1255"/>
        <w:gridCol w:w="1102"/>
        <w:gridCol w:w="1107"/>
        <w:gridCol w:w="121"/>
        <w:gridCol w:w="121"/>
        <w:gridCol w:w="121"/>
        <w:gridCol w:w="234"/>
        <w:gridCol w:w="683"/>
        <w:gridCol w:w="121"/>
        <w:gridCol w:w="121"/>
        <w:gridCol w:w="121"/>
        <w:gridCol w:w="121"/>
        <w:gridCol w:w="236"/>
        <w:gridCol w:w="691"/>
        <w:gridCol w:w="122"/>
        <w:gridCol w:w="121"/>
        <w:gridCol w:w="121"/>
        <w:gridCol w:w="121"/>
        <w:gridCol w:w="497"/>
        <w:gridCol w:w="1452"/>
        <w:gridCol w:w="361"/>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950"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4: Interest Income and Expense Change Analysis</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 compared to</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three months ended June 30, 2025</w:t>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Volume </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Yield/Rate </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Increase (Decrease)</w:t>
            </w:r>
          </w:p>
        </w:tc>
      </w:tr>
      <w:tr>
        <w:trPr/>
        <w:tc>
          <w:tcPr>
            <w:tcW w:w="34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Interest-earning deposits in banks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and sale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12,532 </w:t>
            </w:r>
          </w:p>
        </w:tc>
        <w:tc>
          <w:tcPr>
            <w:tcW w:w="12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22"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3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transaction accounts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2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accounts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 and other borrowings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12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(2,166)</w:t>
            </w:r>
          </w:p>
        </w:tc>
        <w:tc>
          <w:tcPr>
            <w:tcW w:w="122"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3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interest income/margin</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8,187 </w:t>
            </w:r>
          </w:p>
        </w:tc>
        <w:tc>
          <w:tcPr>
            <w:tcW w:w="1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2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36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compared to the three months ended June 30, 2025, net interest income during the three months ended June 30, 2026 increased by $9.6 million, or 26.20%, to $46.1 million from $36.5 million. Net interest margin totaled 3.63% for the three months ended June 30, 2026, an increase of 10 basis points compared to the same quarter of the prior year. The improvement was driven by balance sheet growth and a favorable shift in funding mix, which more than offset pressure from declining federal funds rates over the same period. The increase in net interest income is primarily attributable to an $11.7 million increase in interest income, mainly due to a $636.7 million, or 17.25%, increase in the average balance of loans and a $315.3 million, or 87.13%, increase in the average balance of interest-earning deposits in banks (deposits placed with other financial institutions to earn interest). This increase in interest income was partially offset by a $2.2 million increase in interest expense, stemming from a $914.3 million, or 24.47%, increase in the average balance of deposits during the three months ended June 30, 2026, moderated by a 30 basis point decrease in average cost of deposits compared to the same quarter of the prior year. Further supporting the decreasing average cost of deposits, the average balance of non-interest-bearing deposits increased by $207.0 million, or 21.62%, compared to the same period of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2026 compared to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interest income increased by $19.0 million, or 27.02%, for the six months ended June 30, 2026 compared to the six months ended June 30, 2025, and our net interest margin increased by 17 basis points when compared to the same period in 2025. The increase in net interest income is primarily attributable to an increase in interest income driven by loan growth, partially offset by an increase in interest expense driven by deposit growth. Additional detail relating to net interest margin in each period is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i/>
          <w:color w:val="000000"/>
          <w:sz w:val="20"/>
        </w:rPr>
        <w:t xml:space="preserve">Average balance sheet, interest, and yield/rate analysis. </w:t>
      </w:r>
      <w:r>
        <w:rPr>
          <w:rFonts w:ascii="Times New Roman;serif" w:hAnsi="Times New Roman;serif"/>
          <w:b w:val="false"/>
          <w:color w:val="000000"/>
          <w:sz w:val="20"/>
        </w:rPr>
        <w:t>Table 5 presents average balance sheet information, interest income, interest expense, and the corresponding average yield earned or rate paid for each period reported. The average balances are daily averages and include both performing and nonperforming loans.</w:t>
      </w:r>
    </w:p>
    <w:tbl>
      <w:tblPr>
        <w:tblW w:w="10205" w:type="dxa"/>
        <w:jc w:val="left"/>
        <w:tblInd w:w="0" w:type="dxa"/>
        <w:tblLayout w:type="fixed"/>
        <w:tblCellMar>
          <w:top w:w="28" w:type="dxa"/>
          <w:left w:w="28" w:type="dxa"/>
          <w:bottom w:w="28" w:type="dxa"/>
          <w:right w:w="28" w:type="dxa"/>
        </w:tblCellMar>
      </w:tblPr>
      <w:tblGrid>
        <w:gridCol w:w="710"/>
        <w:gridCol w:w="413"/>
        <w:gridCol w:w="329"/>
        <w:gridCol w:w="109"/>
        <w:gridCol w:w="109"/>
        <w:gridCol w:w="109"/>
        <w:gridCol w:w="212"/>
        <w:gridCol w:w="981"/>
        <w:gridCol w:w="109"/>
        <w:gridCol w:w="109"/>
        <w:gridCol w:w="109"/>
        <w:gridCol w:w="109"/>
        <w:gridCol w:w="217"/>
        <w:gridCol w:w="742"/>
        <w:gridCol w:w="112"/>
        <w:gridCol w:w="109"/>
        <w:gridCol w:w="109"/>
        <w:gridCol w:w="109"/>
        <w:gridCol w:w="329"/>
        <w:gridCol w:w="189"/>
        <w:gridCol w:w="472"/>
        <w:gridCol w:w="109"/>
        <w:gridCol w:w="109"/>
        <w:gridCol w:w="109"/>
        <w:gridCol w:w="212"/>
        <w:gridCol w:w="981"/>
        <w:gridCol w:w="109"/>
        <w:gridCol w:w="109"/>
        <w:gridCol w:w="109"/>
        <w:gridCol w:w="109"/>
        <w:gridCol w:w="217"/>
        <w:gridCol w:w="742"/>
        <w:gridCol w:w="112"/>
        <w:gridCol w:w="109"/>
        <w:gridCol w:w="109"/>
        <w:gridCol w:w="109"/>
        <w:gridCol w:w="334"/>
        <w:gridCol w:w="182"/>
        <w:gridCol w:w="539"/>
      </w:tblGrid>
      <w:tr>
        <w:trPr/>
        <w:tc>
          <w:tcPr>
            <w:tcW w:w="7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5: Average Balances, Interest, and Yield/Rate</w:t>
            </w:r>
          </w:p>
        </w:tc>
      </w:tr>
      <w:tr>
        <w:trPr/>
        <w:tc>
          <w:tcPr>
            <w:tcW w:w="14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 the six months ended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Income/Expense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Average Yield/Rate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Income/Expense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Yield/Rate</w:t>
            </w:r>
          </w:p>
        </w:tc>
      </w:tr>
      <w:tr>
        <w:trPr/>
        <w:tc>
          <w:tcPr>
            <w:tcW w:w="145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Interest-earning deposits in banks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securities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held for investment and sale</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interest-earning assets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4,930,211 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139,674 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4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4,074,629 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117,667 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5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receivable and other assets, net</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121,173 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5,051,384 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4,172,239 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Interest-bearing transaction accounts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Savings accounts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accounts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Time accounts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Subordinated notes and other borrowings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3,417,140 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50,134 </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7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2,801,132 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47,175 </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53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934,121 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5,051,384 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4,172,239 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interest spread</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interest income/margin</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89,540 </w:t>
            </w:r>
          </w:p>
        </w:tc>
        <w:tc>
          <w:tcPr>
            <w:tcW w:w="1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7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70,492 </w:t>
            </w:r>
          </w:p>
        </w:tc>
        <w:tc>
          <w:tcPr>
            <w:tcW w:w="1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53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Interest income/expense is divided by the actual number of days in the period multiplied by the actual number of days in the year to correspond to stated interest rate terms, where applicable.</w:t>
      </w:r>
    </w:p>
    <w:p>
      <w:pPr>
        <w:pStyle w:val="TextBody"/>
        <w:bidi w:val="0"/>
        <w:spacing w:lineRule="auto" w:line="288" w:before="2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Yields on available-for-sale securities are calculated based on fair value. Investment security interest is earned monthly on a 30/360 day basis. Yields are not calculated on a tax-equivalent basis.</w:t>
      </w:r>
    </w:p>
    <w:p>
      <w:pPr>
        <w:pStyle w:val="TextBody"/>
        <w:bidi w:val="0"/>
        <w:spacing w:lineRule="auto" w:line="288" w:before="24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pStyle w:val="TextBody"/>
        <w:bidi w:val="0"/>
        <w:spacing w:lineRule="auto" w:line="288" w:before="24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Allowance for credit losses is included in interest receivable and other assets, net.</w:t>
      </w:r>
    </w:p>
    <w:p>
      <w:pPr>
        <w:pStyle w:val="TextBody"/>
        <w:bidi w:val="0"/>
        <w:spacing w:lineRule="auto" w:line="288" w:before="24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Net interest spread represents the average yield earned on interest-earning assets minus the average rate paid on interest-bearing liabilities.</w:t>
      </w:r>
    </w:p>
    <w:p>
      <w:pPr>
        <w:pStyle w:val="TextBody"/>
        <w:bidi w:val="0"/>
        <w:spacing w:lineRule="auto" w:line="288" w:before="240" w:after="283"/>
        <w:ind w:left="0" w:right="0" w:hanging="360"/>
        <w:jc w:val="both"/>
        <w:rPr/>
      </w:pPr>
      <w:r>
        <w:rPr>
          <w:rFonts w:ascii="Times New Roman;serif" w:hAnsi="Times New Roman;serif"/>
          <w:b w:val="false"/>
          <w:color w:val="000000"/>
          <w:sz w:val="13"/>
        </w:rPr>
        <w:t>6</w:t>
      </w:r>
      <w:r>
        <w:rPr>
          <w:rFonts w:ascii="Times New Roman;serif" w:hAnsi="Times New Roman;serif"/>
          <w:b w:val="false"/>
          <w:color w:val="000000"/>
          <w:sz w:val="20"/>
        </w:rPr>
        <w:t>Net interest margin is computed by calculating the difference between interest income and interest expense, divided by the average balance of interest-earning assets, then annualized based on the number of days in the given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i/>
          <w:color w:val="000000"/>
          <w:sz w:val="20"/>
        </w:rPr>
        <w:t xml:space="preserve">Analysis of changes in interest income and expenses. </w:t>
      </w:r>
      <w:r>
        <w:rPr>
          <w:rFonts w:ascii="Times New Roman;serif" w:hAnsi="Times New Roman;serif"/>
          <w:b w:val="false"/>
          <w:color w:val="000000"/>
          <w:sz w:val="20"/>
        </w:rPr>
        <w:t>Increases and decreases in interest income and interest expense result from changes in average balances (volume) of interest-earning assets and interest-bearing liabilities, as well as changes in average yields/rates. Table 6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tbl>
      <w:tblPr>
        <w:tblW w:w="8921" w:type="dxa"/>
        <w:jc w:val="left"/>
        <w:tblInd w:w="0" w:type="dxa"/>
        <w:tblLayout w:type="fixed"/>
        <w:tblCellMar>
          <w:top w:w="28" w:type="dxa"/>
          <w:left w:w="28" w:type="dxa"/>
          <w:bottom w:w="28" w:type="dxa"/>
          <w:right w:w="28" w:type="dxa"/>
        </w:tblCellMar>
      </w:tblPr>
      <w:tblGrid>
        <w:gridCol w:w="1254"/>
        <w:gridCol w:w="1101"/>
        <w:gridCol w:w="1109"/>
        <w:gridCol w:w="113"/>
        <w:gridCol w:w="113"/>
        <w:gridCol w:w="113"/>
        <w:gridCol w:w="219"/>
        <w:gridCol w:w="749"/>
        <w:gridCol w:w="113"/>
        <w:gridCol w:w="113"/>
        <w:gridCol w:w="113"/>
        <w:gridCol w:w="113"/>
        <w:gridCol w:w="219"/>
        <w:gridCol w:w="718"/>
        <w:gridCol w:w="113"/>
        <w:gridCol w:w="113"/>
        <w:gridCol w:w="113"/>
        <w:gridCol w:w="113"/>
        <w:gridCol w:w="448"/>
        <w:gridCol w:w="1534"/>
        <w:gridCol w:w="327"/>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8921"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6: Interest Income and Expense Change Analysis</w:t>
            </w:r>
          </w:p>
        </w:tc>
      </w:tr>
      <w:tr>
        <w:trPr/>
        <w:tc>
          <w:tcPr>
            <w:tcW w:w="34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 the six months ended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compared to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six months ended June 30, 2025</w:t>
            </w:r>
          </w:p>
        </w:tc>
      </w:tr>
      <w:tr>
        <w:trPr/>
        <w:tc>
          <w:tcPr>
            <w:tcW w:w="3464" w:type="dxa"/>
            <w:gridSpan w:val="3"/>
            <w:vMerge w:val="continue"/>
            <w:tcBorders/>
            <w:tcMar>
              <w:top w:w="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Volume </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Yield/Rate </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Increase (Decrease)</w:t>
            </w:r>
          </w:p>
        </w:tc>
      </w:tr>
      <w:tr>
        <w:trPr/>
        <w:tc>
          <w:tcPr>
            <w:tcW w:w="34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Interest-earning deposits in banks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32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and sale</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22,910 </w:t>
            </w:r>
          </w:p>
        </w:tc>
        <w:tc>
          <w:tcPr>
            <w:tcW w:w="113"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13"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22,007 </w:t>
            </w:r>
          </w:p>
        </w:tc>
        <w:tc>
          <w:tcPr>
            <w:tcW w:w="32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transaction accounts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2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9,463 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accounts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(6,880)</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 and other borrowings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7,575 </w:t>
            </w:r>
          </w:p>
        </w:tc>
        <w:tc>
          <w:tcPr>
            <w:tcW w:w="113"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(4,616)</w:t>
            </w:r>
          </w:p>
        </w:tc>
        <w:tc>
          <w:tcPr>
            <w:tcW w:w="113"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32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interest income/margin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15,335 </w:t>
            </w:r>
          </w:p>
        </w:tc>
        <w:tc>
          <w:tcPr>
            <w:tcW w:w="1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19,048 </w:t>
            </w:r>
          </w:p>
        </w:tc>
        <w:tc>
          <w:tcPr>
            <w:tcW w:w="32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compared to the six months ended June 30, 2025, net interest income during the six months ended June 30, 2026 increased by $19.0 million, or 27.02%, to $89.5 million from $70.5 million. Net interest margin totaled 3.66% for the six months ended June 30, 2026, an increase of 17 basis points compared to the same period of the prior year. The improvement was driven by balance sheet growth and a favorable shift in funding mix, which more than offset pressure from declining federal funds rates over the same period. The increase in net interest income is primarily attributable to a $22.0 million increase in interest income, mainly due to a $609.7 million, or 16.80%, increase in the average balance of loans and a $249.9 million, or 72.36%, increase in the average balance of interest-earning deposits in banks. This increase in interest income was partially offset by a $3.0 million increase in interest expense, stemming from a $615.9 million, or 22.58%, increase in the average balance of interest-bearing deposits during the six months ended June 30, 2026, moderated by a 44 basis point decrease in the cost of interest-bearing deposits compared to the same period of the prior year. Further supporting the decreasing average cost of funds, the average balance of non-interest-bearing deposits increased by $209.0 million, or 22.38%, compared to the same period of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expected life of loan losses in our loan portfolio at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2026 compared to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recorded a $2.3 million provision for credit losses in the second quarter of 2026, compared to a $2.5 million provision for credit losses for the same period of 2025. The decrease in the provision for credit losses in the second quarter of 2026 is mainly due to lower net charge-offs in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2026 compared to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recorded a $4.9 million provision for credit losses in the first six months of 2026, as compared to a $4.4 million provision for credit losses for the same period of 2025. The increase in the provision for credit losses recorded during the first six months of 2026 is mainly due to increases in loan growth and an overall increase in loss rates, partially offset by lower charge-offs.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Non-interest income is a secondary contributor to our net income, following interest income. Non-interest income consists of service charges on deposit accounts, gain on sale of loans, loan-related fees, FHLB stock dividends, earnings on BOLI, and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2026 compared to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7 details the components of non-interest income for the periods indicated.</w:t>
      </w:r>
    </w:p>
    <w:tbl>
      <w:tblPr>
        <w:tblW w:w="9241" w:type="dxa"/>
        <w:jc w:val="left"/>
        <w:tblInd w:w="0" w:type="dxa"/>
        <w:tblLayout w:type="fixed"/>
        <w:tblCellMar>
          <w:top w:w="28" w:type="dxa"/>
          <w:left w:w="28" w:type="dxa"/>
          <w:bottom w:w="28" w:type="dxa"/>
          <w:right w:w="28" w:type="dxa"/>
        </w:tblCellMar>
      </w:tblPr>
      <w:tblGrid>
        <w:gridCol w:w="1103"/>
        <w:gridCol w:w="969"/>
        <w:gridCol w:w="973"/>
        <w:gridCol w:w="109"/>
        <w:gridCol w:w="109"/>
        <w:gridCol w:w="109"/>
        <w:gridCol w:w="287"/>
        <w:gridCol w:w="839"/>
        <w:gridCol w:w="148"/>
        <w:gridCol w:w="119"/>
        <w:gridCol w:w="119"/>
        <w:gridCol w:w="119"/>
        <w:gridCol w:w="287"/>
        <w:gridCol w:w="839"/>
        <w:gridCol w:w="148"/>
        <w:gridCol w:w="109"/>
        <w:gridCol w:w="109"/>
        <w:gridCol w:w="109"/>
        <w:gridCol w:w="273"/>
        <w:gridCol w:w="486"/>
        <w:gridCol w:w="142"/>
        <w:gridCol w:w="109"/>
        <w:gridCol w:w="109"/>
        <w:gridCol w:w="109"/>
        <w:gridCol w:w="396"/>
        <w:gridCol w:w="399"/>
        <w:gridCol w:w="61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241"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7: Non-interest Income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0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6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on 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4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4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6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i/>
          <w:color w:val="000000"/>
          <w:sz w:val="20"/>
        </w:rPr>
        <w:t xml:space="preserve">Gain on sale of loans. </w:t>
      </w:r>
      <w:r>
        <w:rPr>
          <w:rFonts w:ascii="Times New Roman;serif" w:hAnsi="Times New Roman;serif"/>
          <w:b w:val="false"/>
          <w:color w:val="000000"/>
          <w:sz w:val="20"/>
        </w:rPr>
        <w:t>The decrease related to an overall decline in the volume of SBA loans sold due to a strategic, intentional reduction in originations of loans held for sale. During the three months ended June 30, 2026, no SBA loans were sold, as compared to approximately $1.6 million of loans sold with an effective yield of 7.60% during the three months ended June 30, 2025.</w:t>
      </w:r>
    </w:p>
    <w:p>
      <w:pPr>
        <w:pStyle w:val="TextBody"/>
        <w:bidi w:val="0"/>
        <w:spacing w:lineRule="auto" w:line="288" w:before="240" w:after="283"/>
        <w:jc w:val="both"/>
        <w:rPr/>
      </w:pPr>
      <w:r>
        <w:rPr>
          <w:rFonts w:ascii="Times New Roman;serif" w:hAnsi="Times New Roman;serif"/>
          <w:b w:val="false"/>
          <w:i/>
          <w:color w:val="000000"/>
          <w:sz w:val="20"/>
        </w:rPr>
        <w:t xml:space="preserve">Loan-related fees. </w:t>
      </w:r>
      <w:r>
        <w:rPr>
          <w:rFonts w:ascii="Times New Roman;serif" w:hAnsi="Times New Roman;serif"/>
          <w:b w:val="false"/>
          <w:color w:val="000000"/>
          <w:sz w:val="20"/>
        </w:rPr>
        <w:t>The increase resulted primarily from an increase of $0.1 million in loan referral income, combined with an increase of $0.1 million in fees from swap referrals during the three months ended June 30, 2026, as compared to the three months ended June 30, 2025.</w:t>
      </w:r>
    </w:p>
    <w:p>
      <w:pPr>
        <w:pStyle w:val="TextBody"/>
        <w:bidi w:val="0"/>
        <w:spacing w:lineRule="auto" w:line="288" w:before="240" w:after="283"/>
        <w:jc w:val="both"/>
        <w:rPr/>
      </w:pPr>
      <w:r>
        <w:rPr>
          <w:rFonts w:ascii="Times New Roman;serif" w:hAnsi="Times New Roman;serif"/>
          <w:b w:val="false"/>
          <w:i/>
          <w:color w:val="000000"/>
          <w:sz w:val="20"/>
        </w:rPr>
        <w:t>FHLB stock dividends</w:t>
      </w:r>
      <w:r>
        <w:rPr>
          <w:rFonts w:ascii="Times New Roman;serif" w:hAnsi="Times New Roman;serif"/>
          <w:b w:val="false"/>
          <w:color w:val="000000"/>
          <w:sz w:val="20"/>
        </w:rPr>
        <w:t>. The decrease related primarily to the FHLB’s transition to a tier-based dividend structure, which lowered the Bank’s effective dividend rate received.</w:t>
      </w:r>
    </w:p>
    <w:p>
      <w:pPr>
        <w:pStyle w:val="TextBody"/>
        <w:bidi w:val="0"/>
        <w:spacing w:lineRule="auto" w:line="288" w:before="240" w:after="283"/>
        <w:jc w:val="both"/>
        <w:rPr/>
      </w:pPr>
      <w:r>
        <w:rPr>
          <w:rFonts w:ascii="Times New Roman;serif" w:hAnsi="Times New Roman;serif"/>
          <w:b w:val="false"/>
          <w:i/>
          <w:color w:val="000000"/>
          <w:sz w:val="20"/>
        </w:rPr>
        <w:t xml:space="preserve">Other. </w:t>
      </w:r>
      <w:r>
        <w:rPr>
          <w:rFonts w:ascii="Times New Roman;serif" w:hAnsi="Times New Roman;serif"/>
          <w:b w:val="false"/>
          <w:color w:val="000000"/>
          <w:sz w:val="20"/>
        </w:rPr>
        <w:t>The increase related primarily to an overall improvement in earnings related to investments in venture-backed funds during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2026 compared to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8 details the components of non-interest income for the periods indicated.</w:t>
      </w:r>
    </w:p>
    <w:tbl>
      <w:tblPr>
        <w:tblW w:w="9213" w:type="dxa"/>
        <w:jc w:val="left"/>
        <w:tblInd w:w="0" w:type="dxa"/>
        <w:tblLayout w:type="fixed"/>
        <w:tblCellMar>
          <w:top w:w="28" w:type="dxa"/>
          <w:left w:w="28" w:type="dxa"/>
          <w:bottom w:w="28" w:type="dxa"/>
          <w:right w:w="28" w:type="dxa"/>
        </w:tblCellMar>
      </w:tblPr>
      <w:tblGrid>
        <w:gridCol w:w="1103"/>
        <w:gridCol w:w="969"/>
        <w:gridCol w:w="973"/>
        <w:gridCol w:w="109"/>
        <w:gridCol w:w="109"/>
        <w:gridCol w:w="109"/>
        <w:gridCol w:w="287"/>
        <w:gridCol w:w="840"/>
        <w:gridCol w:w="148"/>
        <w:gridCol w:w="109"/>
        <w:gridCol w:w="109"/>
        <w:gridCol w:w="109"/>
        <w:gridCol w:w="287"/>
        <w:gridCol w:w="840"/>
        <w:gridCol w:w="148"/>
        <w:gridCol w:w="109"/>
        <w:gridCol w:w="109"/>
        <w:gridCol w:w="109"/>
        <w:gridCol w:w="237"/>
        <w:gridCol w:w="541"/>
        <w:gridCol w:w="123"/>
        <w:gridCol w:w="109"/>
        <w:gridCol w:w="109"/>
        <w:gridCol w:w="109"/>
        <w:gridCol w:w="396"/>
        <w:gridCol w:w="399"/>
        <w:gridCol w:w="61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213"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8: Non-interest Income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04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w:t>
            </w:r>
          </w:p>
        </w:tc>
        <w:tc>
          <w:tcPr>
            <w:tcW w:w="6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on 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4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4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2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6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i/>
          <w:color w:val="000000"/>
          <w:sz w:val="20"/>
        </w:rPr>
        <w:t>Service charges on deposit accounts</w:t>
      </w:r>
      <w:r>
        <w:rPr>
          <w:rFonts w:ascii="Times New Roman;serif" w:hAnsi="Times New Roman;serif"/>
          <w:b w:val="false"/>
          <w:color w:val="000000"/>
          <w:sz w:val="20"/>
        </w:rPr>
        <w:t>. The decrease related primarily to a $0.2 million decrease in service charges assessed on analyzed deposit accounts.</w:t>
      </w:r>
    </w:p>
    <w:p>
      <w:pPr>
        <w:pStyle w:val="TextBody"/>
        <w:bidi w:val="0"/>
        <w:spacing w:lineRule="auto" w:line="288" w:before="240" w:after="283"/>
        <w:jc w:val="both"/>
        <w:rPr/>
      </w:pPr>
      <w:r>
        <w:rPr>
          <w:rFonts w:ascii="Times New Roman;serif" w:hAnsi="Times New Roman;serif"/>
          <w:b w:val="false"/>
          <w:i/>
          <w:color w:val="000000"/>
          <w:sz w:val="20"/>
        </w:rPr>
        <w:t>Gain on sale of loans.</w:t>
      </w:r>
      <w:r>
        <w:rPr>
          <w:color w:val="000000"/>
        </w:rPr>
        <w:t xml:space="preserve"> </w:t>
      </w:r>
      <w:r>
        <w:rPr>
          <w:rFonts w:ascii="Times New Roman;serif" w:hAnsi="Times New Roman;serif"/>
          <w:b w:val="false"/>
          <w:color w:val="000000"/>
          <w:sz w:val="20"/>
        </w:rPr>
        <w:t>The decrease related primarily to an overall decline in the volume of SBA loans sold due to a strategic, intentional reduction in originations of loans held for sale. During the six months ended June 30, 2026, no SBA loans were sold, as compared to approximately $3.3 million of SBA loans sold with an effective yield of 7.41% during the six months ended June 30, 2025.</w:t>
      </w:r>
    </w:p>
    <w:p>
      <w:pPr>
        <w:pStyle w:val="TextBody"/>
        <w:bidi w:val="0"/>
        <w:spacing w:lineRule="auto" w:line="288" w:before="240" w:after="283"/>
        <w:jc w:val="both"/>
        <w:rPr/>
      </w:pPr>
      <w:r>
        <w:rPr>
          <w:rFonts w:ascii="Times New Roman;serif" w:hAnsi="Times New Roman;serif"/>
          <w:b w:val="false"/>
          <w:i/>
          <w:color w:val="000000"/>
          <w:sz w:val="20"/>
        </w:rPr>
        <w:t>Loan-related fees</w:t>
      </w:r>
      <w:r>
        <w:rPr>
          <w:rFonts w:ascii="Times New Roman;serif" w:hAnsi="Times New Roman;serif"/>
          <w:b w:val="false"/>
          <w:color w:val="000000"/>
          <w:sz w:val="20"/>
        </w:rPr>
        <w:t>. The increase related primarily to a $0.9 million increase in fees from swap referrals and a $0.1 million increase in loan referral income.</w:t>
      </w:r>
    </w:p>
    <w:p>
      <w:pPr>
        <w:pStyle w:val="TextBody"/>
        <w:bidi w:val="0"/>
        <w:spacing w:lineRule="auto" w:line="288" w:before="240" w:after="283"/>
        <w:jc w:val="both"/>
        <w:rPr/>
      </w:pPr>
      <w:r>
        <w:rPr>
          <w:rFonts w:ascii="Times New Roman;serif" w:hAnsi="Times New Roman;serif"/>
          <w:b w:val="false"/>
          <w:i/>
          <w:color w:val="000000"/>
          <w:sz w:val="20"/>
        </w:rPr>
        <w:t>FHLB stock dividends</w:t>
      </w:r>
      <w:r>
        <w:rPr>
          <w:rFonts w:ascii="Times New Roman;serif" w:hAnsi="Times New Roman;serif"/>
          <w:b w:val="false"/>
          <w:color w:val="000000"/>
          <w:sz w:val="20"/>
        </w:rPr>
        <w:t>. The increase related primarily to a $0.4 million special cash dividend from the FHLB during the six months ended June 30, 2026, partially offset by a decrease in dividends related to the FHLB’s transition to a tier-based dividend structure, which lowered the Bank’s effective dividend rate received.</w:t>
      </w:r>
    </w:p>
    <w:p>
      <w:pPr>
        <w:pStyle w:val="TextBody"/>
        <w:bidi w:val="0"/>
        <w:spacing w:lineRule="auto" w:line="288" w:before="240" w:after="283"/>
        <w:jc w:val="both"/>
        <w:rPr/>
      </w:pPr>
      <w:r>
        <w:rPr>
          <w:rFonts w:ascii="Times New Roman;serif" w:hAnsi="Times New Roman;serif"/>
          <w:b w:val="false"/>
          <w:i/>
          <w:color w:val="000000"/>
          <w:sz w:val="20"/>
        </w:rPr>
        <w:t>Earnings on BOLI</w:t>
      </w:r>
      <w:r>
        <w:rPr>
          <w:rFonts w:ascii="Times New Roman;serif" w:hAnsi="Times New Roman;serif"/>
          <w:b w:val="false"/>
          <w:color w:val="000000"/>
          <w:sz w:val="20"/>
        </w:rPr>
        <w:t>. The increase related primarily to an increase in BOLI balances between June 30, 2025 and June 30, 2026 due to the addition of a new policy.</w:t>
      </w:r>
    </w:p>
    <w:p>
      <w:pPr>
        <w:pStyle w:val="TextBody"/>
        <w:bidi w:val="0"/>
        <w:spacing w:lineRule="auto" w:line="288" w:before="240" w:after="283"/>
        <w:jc w:val="both"/>
        <w:rPr/>
      </w:pPr>
      <w:r>
        <w:rPr>
          <w:rFonts w:ascii="Times New Roman;serif" w:hAnsi="Times New Roman;serif"/>
          <w:b w:val="false"/>
          <w:i/>
          <w:color w:val="000000"/>
          <w:sz w:val="20"/>
        </w:rPr>
        <w:t>Other.</w:t>
      </w:r>
      <w:r>
        <w:rPr>
          <w:color w:val="000000"/>
        </w:rPr>
        <w:t xml:space="preserve"> </w:t>
      </w:r>
      <w:r>
        <w:rPr>
          <w:rFonts w:ascii="Times New Roman;serif" w:hAnsi="Times New Roman;serif"/>
          <w:b w:val="false"/>
          <w:color w:val="000000"/>
          <w:sz w:val="20"/>
        </w:rPr>
        <w:t>The decrease related primarily to an overall loss in earnings related to equity investments in venture-backed funds during the six months ended June 30, 2026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Over the past several years, we have continued to invest significant resources in personnel, technology, and infrastructure. As we execute initiatives based on growth, we expect non-interest expense to continue to grow. Non-interest expense has increased throughout the periods presented below; however, we expect our efficiency ratio will continue to improve going forward due, in part, to our past investment in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2026 compared to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9 details the components of non-interest expense for the periods indicated.</w:t>
      </w:r>
    </w:p>
    <w:tbl>
      <w:tblPr>
        <w:tblW w:w="8721"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258"/>
        <w:gridCol w:w="883"/>
        <w:gridCol w:w="133"/>
        <w:gridCol w:w="109"/>
        <w:gridCol w:w="109"/>
        <w:gridCol w:w="109"/>
        <w:gridCol w:w="258"/>
        <w:gridCol w:w="883"/>
        <w:gridCol w:w="133"/>
        <w:gridCol w:w="109"/>
        <w:gridCol w:w="109"/>
        <w:gridCol w:w="109"/>
        <w:gridCol w:w="211"/>
        <w:gridCol w:w="616"/>
        <w:gridCol w:w="109"/>
        <w:gridCol w:w="109"/>
        <w:gridCol w:w="109"/>
        <w:gridCol w:w="109"/>
        <w:gridCol w:w="344"/>
        <w:gridCol w:w="346"/>
        <w:gridCol w:w="61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721"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9: Non-interest Expense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11,421 </w:t>
            </w:r>
          </w:p>
        </w:tc>
        <w:tc>
          <w:tcPr>
            <w:tcW w:w="1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8,910 </w:t>
            </w:r>
          </w:p>
        </w:tc>
        <w:tc>
          <w:tcPr>
            <w:tcW w:w="1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6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3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15,726 </w:t>
            </w:r>
          </w:p>
        </w:tc>
        <w:tc>
          <w:tcPr>
            <w:tcW w:w="13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6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i/>
          <w:color w:val="000000"/>
          <w:sz w:val="20"/>
        </w:rPr>
        <w:t>Salaries and employee benefits.</w:t>
      </w:r>
      <w:r>
        <w:rPr>
          <w:color w:val="000000"/>
        </w:rPr>
        <w:t xml:space="preserve"> </w:t>
      </w:r>
      <w:r>
        <w:rPr>
          <w:rFonts w:ascii="Times New Roman;serif" w:hAnsi="Times New Roman;serif"/>
          <w:b w:val="false"/>
          <w:color w:val="000000"/>
          <w:sz w:val="20"/>
        </w:rPr>
        <w:t>The increase related primarily to: (i) a $2.8 million increase in salaries, benefits, and bonus expense, mainly related to a 13.30% increase in headcount between June 30, 2025 and June 30, 2026; and (ii) a $0.7 million increase in commissions primarily due to higher loan originations period-over-period. This increase was partially offset by a $0.9 million increase in deferred loan origination costs due to higher loan originations period-over-period.</w:t>
      </w:r>
    </w:p>
    <w:p>
      <w:pPr>
        <w:pStyle w:val="TextBody"/>
        <w:bidi w:val="0"/>
        <w:spacing w:lineRule="auto" w:line="288" w:before="240" w:after="283"/>
        <w:jc w:val="both"/>
        <w:rPr/>
      </w:pPr>
      <w:r>
        <w:rPr>
          <w:rFonts w:ascii="Times New Roman;serif" w:hAnsi="Times New Roman;serif"/>
          <w:b w:val="false"/>
          <w:i/>
          <w:color w:val="000000"/>
          <w:sz w:val="20"/>
        </w:rPr>
        <w:t>Occupancy and equipment.</w:t>
      </w:r>
      <w:r>
        <w:rPr>
          <w:color w:val="000000"/>
        </w:rPr>
        <w:t xml:space="preserve"> </w:t>
      </w:r>
      <w:r>
        <w:rPr>
          <w:rFonts w:ascii="Times New Roman;serif" w:hAnsi="Times New Roman;serif"/>
          <w:b w:val="false"/>
          <w:color w:val="000000"/>
          <w:sz w:val="20"/>
        </w:rPr>
        <w:t>The increase was primarily due to expenses for the Walnut Creek branch office and Newport Beach non-depository office during the three months ended June 30, 2026, which did not exist for the three months ended June 30, 2025.</w:t>
      </w:r>
    </w:p>
    <w:p>
      <w:pPr>
        <w:pStyle w:val="TextBody"/>
        <w:bidi w:val="0"/>
        <w:spacing w:lineRule="auto" w:line="288" w:before="240" w:after="283"/>
        <w:jc w:val="both"/>
        <w:rPr/>
      </w:pPr>
      <w:r>
        <w:rPr>
          <w:rFonts w:ascii="Times New Roman;serif" w:hAnsi="Times New Roman;serif"/>
          <w:b w:val="false"/>
          <w:i/>
          <w:color w:val="000000"/>
          <w:sz w:val="20"/>
        </w:rPr>
        <w:t>Data processing and software.</w:t>
      </w:r>
      <w:r>
        <w:rPr>
          <w:color w:val="000000"/>
        </w:rPr>
        <w:t xml:space="preserve"> </w:t>
      </w:r>
      <w:r>
        <w:rPr>
          <w:rFonts w:ascii="Times New Roman;serif" w:hAnsi="Times New Roman;serif"/>
          <w:b w:val="false"/>
          <w:color w:val="000000"/>
          <w:sz w:val="20"/>
        </w:rPr>
        <w:t>The increase was primarily due to: (i) increased usage of our digital banking platform; (ii) higher transaction volumes related to the increased number of loan and deposit accounts; and (iii) an increased number of licenses required for new users on our loan origination and documentation system.</w:t>
      </w:r>
    </w:p>
    <w:p>
      <w:pPr>
        <w:pStyle w:val="TextBody"/>
        <w:bidi w:val="0"/>
        <w:spacing w:lineRule="auto" w:line="288" w:before="240" w:after="283"/>
        <w:jc w:val="both"/>
        <w:rPr/>
      </w:pPr>
      <w:r>
        <w:rPr>
          <w:rFonts w:ascii="Times New Roman;serif" w:hAnsi="Times New Roman;serif"/>
          <w:b w:val="false"/>
          <w:i/>
          <w:color w:val="000000"/>
          <w:sz w:val="20"/>
        </w:rPr>
        <w:t>FDIC insurance</w:t>
      </w:r>
      <w:r>
        <w:rPr>
          <w:rFonts w:ascii="Times New Roman;serif" w:hAnsi="Times New Roman;serif"/>
          <w:b w:val="false"/>
          <w:color w:val="000000"/>
          <w:sz w:val="20"/>
        </w:rPr>
        <w:t>. The increase was primarily due to a $916.2 million increase in the assessment base period-over-period.</w:t>
      </w:r>
    </w:p>
    <w:p>
      <w:pPr>
        <w:pStyle w:val="TextBody"/>
        <w:bidi w:val="0"/>
        <w:spacing w:lineRule="auto" w:line="288" w:before="240" w:after="283"/>
        <w:jc w:val="both"/>
        <w:rPr/>
      </w:pPr>
      <w:r>
        <w:rPr>
          <w:rFonts w:ascii="Times New Roman;serif" w:hAnsi="Times New Roman;serif"/>
          <w:b w:val="false"/>
          <w:i/>
          <w:color w:val="000000"/>
          <w:sz w:val="20"/>
        </w:rPr>
        <w:t>Loan-related expenses.</w:t>
      </w:r>
      <w:r>
        <w:rPr>
          <w:color w:val="000000"/>
        </w:rPr>
        <w:t xml:space="preserve"> </w:t>
      </w:r>
      <w:r>
        <w:rPr>
          <w:rFonts w:ascii="Times New Roman;serif" w:hAnsi="Times New Roman;serif"/>
          <w:b w:val="false"/>
          <w:color w:val="000000"/>
          <w:sz w:val="20"/>
        </w:rPr>
        <w:t>The decrease related primarily to lower inspection and legal expenses. Although loan originations were higher period-over-period, a greater mix of purchased loans and large credit relationships reduced per-unit inspection costs, and inspection activity was delayed relative to the prior period.</w:t>
      </w:r>
    </w:p>
    <w:p>
      <w:pPr>
        <w:pStyle w:val="TextBody"/>
        <w:bidi w:val="0"/>
        <w:spacing w:lineRule="auto" w:line="288" w:before="240" w:after="283"/>
        <w:jc w:val="both"/>
        <w:rPr/>
      </w:pPr>
      <w:r>
        <w:rPr>
          <w:rFonts w:ascii="Times New Roman;serif" w:hAnsi="Times New Roman;serif"/>
          <w:b w:val="false"/>
          <w:i/>
          <w:color w:val="000000"/>
          <w:sz w:val="20"/>
        </w:rPr>
        <w:t xml:space="preserve">Other operating expenses. </w:t>
      </w:r>
      <w:r>
        <w:rPr>
          <w:rFonts w:ascii="Times New Roman;serif" w:hAnsi="Times New Roman;serif"/>
          <w:b w:val="false"/>
          <w:color w:val="000000"/>
          <w:sz w:val="20"/>
        </w:rPr>
        <w:t>The increase related primarily to: (i) a $0.3 million increase in employee-related expenses such as travel and professional association memberships; (ii) a $0.2 million increase in bank charges; (iii) a $0.1 million increase in operational losses; (iv) a $0.1 million increase in IntraFi Network fees resulting from an overall increase in balances carried in the network; and (v) a $0.1 million increase in armored car and courier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2026 compared to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10 details the components of non-interest expense for the periods indicated.</w:t>
      </w:r>
    </w:p>
    <w:tbl>
      <w:tblPr>
        <w:tblW w:w="8721"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258"/>
        <w:gridCol w:w="883"/>
        <w:gridCol w:w="133"/>
        <w:gridCol w:w="109"/>
        <w:gridCol w:w="109"/>
        <w:gridCol w:w="109"/>
        <w:gridCol w:w="258"/>
        <w:gridCol w:w="883"/>
        <w:gridCol w:w="133"/>
        <w:gridCol w:w="109"/>
        <w:gridCol w:w="109"/>
        <w:gridCol w:w="109"/>
        <w:gridCol w:w="211"/>
        <w:gridCol w:w="616"/>
        <w:gridCol w:w="109"/>
        <w:gridCol w:w="109"/>
        <w:gridCol w:w="109"/>
        <w:gridCol w:w="109"/>
        <w:gridCol w:w="344"/>
        <w:gridCol w:w="346"/>
        <w:gridCol w:w="61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721"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10: Non-interest Expense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22,851 </w:t>
            </w:r>
          </w:p>
        </w:tc>
        <w:tc>
          <w:tcPr>
            <w:tcW w:w="1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18,044 </w:t>
            </w:r>
          </w:p>
        </w:tc>
        <w:tc>
          <w:tcPr>
            <w:tcW w:w="1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6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37,010 </w:t>
            </w:r>
          </w:p>
        </w:tc>
        <w:tc>
          <w:tcPr>
            <w:tcW w:w="13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30,771 </w:t>
            </w:r>
          </w:p>
        </w:tc>
        <w:tc>
          <w:tcPr>
            <w:tcW w:w="13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6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i/>
          <w:color w:val="000000"/>
          <w:sz w:val="20"/>
        </w:rPr>
        <w:t>Salaries and employee benefits.</w:t>
      </w:r>
      <w:r>
        <w:rPr>
          <w:color w:val="000000"/>
        </w:rPr>
        <w:t xml:space="preserve"> </w:t>
      </w:r>
      <w:r>
        <w:rPr>
          <w:rFonts w:ascii="Times New Roman;serif" w:hAnsi="Times New Roman;serif"/>
          <w:b w:val="false"/>
          <w:color w:val="000000"/>
          <w:sz w:val="20"/>
        </w:rPr>
        <w:t>The increase was primarily a result of: (i) a $5.1 million increase in salaries, benefits, and bonus expense, mainly related to a 13.30% increase in headcount between June 30, 2025 and June 30, 2026; and (ii) a $1.2 million increase in commissions primarily due to higher loan originations period-over-period. This increase was partially offset by a $1.5 million increase in deferred loan origination costs due to greater loan originations period-over-period.</w:t>
      </w:r>
    </w:p>
    <w:p>
      <w:pPr>
        <w:pStyle w:val="TextBody"/>
        <w:bidi w:val="0"/>
        <w:spacing w:lineRule="auto" w:line="288" w:before="240" w:after="283"/>
        <w:jc w:val="both"/>
        <w:rPr/>
      </w:pPr>
      <w:r>
        <w:rPr>
          <w:rFonts w:ascii="Times New Roman;serif" w:hAnsi="Times New Roman;serif"/>
          <w:b w:val="false"/>
          <w:i/>
          <w:color w:val="000000"/>
          <w:sz w:val="20"/>
        </w:rPr>
        <w:t>Occupancy and equipment.</w:t>
      </w:r>
      <w:r>
        <w:rPr>
          <w:color w:val="000000"/>
        </w:rPr>
        <w:t xml:space="preserve"> </w:t>
      </w:r>
      <w:r>
        <w:rPr>
          <w:rFonts w:ascii="Times New Roman;serif" w:hAnsi="Times New Roman;serif"/>
          <w:b w:val="false"/>
          <w:color w:val="000000"/>
          <w:sz w:val="20"/>
        </w:rPr>
        <w:t>The increase was primarily due to expenses for the Walnut Creek branch office and Newport Beach non-depository office during the six months ended June 30, 2026, which did not exist for the six months ended June 30, 2025. The increase was also related to an increase in expense for the San Francisco branch office due to an expansion project.</w:t>
      </w:r>
    </w:p>
    <w:p>
      <w:pPr>
        <w:pStyle w:val="TextBody"/>
        <w:bidi w:val="0"/>
        <w:spacing w:lineRule="auto" w:line="288" w:before="240" w:after="283"/>
        <w:jc w:val="both"/>
        <w:rPr/>
      </w:pPr>
      <w:r>
        <w:rPr>
          <w:rFonts w:ascii="Times New Roman;serif" w:hAnsi="Times New Roman;serif"/>
          <w:b w:val="false"/>
          <w:i/>
          <w:color w:val="000000"/>
          <w:sz w:val="20"/>
        </w:rPr>
        <w:t xml:space="preserve">Data processing and software. </w:t>
      </w:r>
      <w:r>
        <w:rPr>
          <w:rFonts w:ascii="Times New Roman;serif" w:hAnsi="Times New Roman;serif"/>
          <w:b w:val="false"/>
          <w:color w:val="000000"/>
          <w:sz w:val="20"/>
        </w:rPr>
        <w:t>The increase was primarily due to: (i) increased usage of our digital banking platform; (ii) higher transaction volumes related to the increased number of loan and deposit accounts; and (iii) an increased number of licenses required for new users on our loan origination and documentation system.</w:t>
      </w:r>
    </w:p>
    <w:p>
      <w:pPr>
        <w:pStyle w:val="TextBody"/>
        <w:bidi w:val="0"/>
        <w:spacing w:lineRule="auto" w:line="288" w:before="240" w:after="283"/>
        <w:jc w:val="both"/>
        <w:rPr/>
      </w:pPr>
      <w:r>
        <w:rPr>
          <w:rFonts w:ascii="Times New Roman;serif" w:hAnsi="Times New Roman;serif"/>
          <w:b w:val="false"/>
          <w:i/>
          <w:color w:val="000000"/>
          <w:sz w:val="20"/>
        </w:rPr>
        <w:t xml:space="preserve">FDIC insurance. </w:t>
      </w:r>
      <w:r>
        <w:rPr>
          <w:rFonts w:ascii="Times New Roman;serif" w:hAnsi="Times New Roman;serif"/>
          <w:b w:val="false"/>
          <w:color w:val="000000"/>
          <w:sz w:val="20"/>
        </w:rPr>
        <w:t>The increase was primarily due to a $916.2 million increase in the assessment base period-over-period.</w:t>
      </w:r>
    </w:p>
    <w:p>
      <w:pPr>
        <w:pStyle w:val="TextBody"/>
        <w:bidi w:val="0"/>
        <w:spacing w:lineRule="auto" w:line="288" w:before="240" w:after="283"/>
        <w:jc w:val="both"/>
        <w:rPr/>
      </w:pPr>
      <w:r>
        <w:rPr>
          <w:rFonts w:ascii="Times New Roman;serif" w:hAnsi="Times New Roman;serif"/>
          <w:b w:val="false"/>
          <w:i/>
          <w:color w:val="000000"/>
          <w:sz w:val="20"/>
        </w:rPr>
        <w:t xml:space="preserve">Advertising and promotional. </w:t>
      </w:r>
      <w:r>
        <w:rPr>
          <w:rFonts w:ascii="Times New Roman;serif" w:hAnsi="Times New Roman;serif"/>
          <w:b w:val="false"/>
          <w:color w:val="000000"/>
          <w:sz w:val="20"/>
        </w:rPr>
        <w:t>The increase was primarily due to additional expenses incurred to support the expansion of the Bank’s business development teams, including $0.2 million related to business development expenses and $0.1 million related to advertising and marketing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Loan-related expenses. The decrease was primarily related to a $0.1 million decrease in loan legal fees, combined with individually immaterial decreases in other expenses including credit report costs, inspection costs, and environmental report costs.</w:t>
      </w:r>
    </w:p>
    <w:p>
      <w:pPr>
        <w:pStyle w:val="TextBody"/>
        <w:bidi w:val="0"/>
        <w:spacing w:lineRule="auto" w:line="288" w:before="240" w:after="283"/>
        <w:jc w:val="both"/>
        <w:rPr/>
      </w:pPr>
      <w:r>
        <w:rPr>
          <w:rFonts w:ascii="Times New Roman;serif" w:hAnsi="Times New Roman;serif"/>
          <w:b w:val="false"/>
          <w:i/>
          <w:color w:val="000000"/>
          <w:sz w:val="20"/>
        </w:rPr>
        <w:t xml:space="preserve">Other operating expenses. </w:t>
      </w:r>
      <w:r>
        <w:rPr>
          <w:rFonts w:ascii="Times New Roman;serif" w:hAnsi="Times New Roman;serif"/>
          <w:b w:val="false"/>
          <w:color w:val="000000"/>
          <w:sz w:val="20"/>
        </w:rPr>
        <w:t>The increase was primarily due to: (i) a $0.5 million increase in employee-related expenses such as travel; (ii) a $0.3 million increase in administrative charges, including bank charges; (iii) a $0.2 million increase in IntraFi Network fees resulting from an overall increase in balances carried in the network; (iv) a $0.2 million increase in armored car and courier services; and (v) a $0.1 million increase in operational losses, partially offset by the release of a $1.0 million loss contingency on an SBA loan during the six months ended June 30, 2026. No such release occurred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June 30, 2026 compared to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$6.7 million for the three months ended June 30, 2026, a $1.1 million increase from the three months ended June 30, 2025. This increase was primarily driven by an increase in taxable income, partially offset by a $0.2 million benefit recorded during the three months ended June 30, 2026 related to the purchase of transferable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credits that did not occur during the three months ended June 30, 2025. The effective tax rates were 25.64% and 27.82% for the three months ended June 30,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Six months ended June 30, 2026 compared to six months ended June 30, 2025</w:t>
      </w:r>
    </w:p>
    <w:p>
      <w:pPr>
        <w:pStyle w:val="TextBody"/>
        <w:bidi w:val="0"/>
        <w:spacing w:lineRule="auto" w:line="288" w:before="240" w:after="283"/>
        <w:jc w:val="both"/>
        <w:rPr/>
      </w:pPr>
      <w:r>
        <w:rPr>
          <w:rFonts w:ascii="Times New Roman;serif" w:hAnsi="Times New Roman;serif"/>
          <w:b w:val="false"/>
          <w:color w:val="000000"/>
          <w:sz w:val="20"/>
        </w:rPr>
        <w:t xml:space="preserve">The provision for income taxes was $13.1 million for the six months ended June 30, 2026, as compared to $10.9 million for the six months ended June 30, 2025. </w:t>
      </w:r>
      <w:r>
        <w:rPr>
          <w:rFonts w:ascii="Times New Roman;serif" w:hAnsi="Times New Roman;serif"/>
          <w:b w:val="false"/>
          <w:color w:val="000000"/>
          <w:sz w:val="20"/>
          <w:shd w:fill="FFFFFF" w:val="clear"/>
        </w:rPr>
        <w:t xml:space="preserve">The increase was primarily due to an overall increase in taxable income period-over-period. </w:t>
      </w:r>
      <w:r>
        <w:rPr>
          <w:rFonts w:ascii="Times New Roman;serif" w:hAnsi="Times New Roman;serif"/>
          <w:b w:val="false"/>
          <w:color w:val="000000"/>
          <w:sz w:val="20"/>
        </w:rPr>
        <w:t>This increase was partially offset by a $0.5 million benefit recorded during the six months ended June 30, 2026 related to the purchase of transferable tax credits that did not occur during the six months ended June 30, 2025, as well as a net $0.2 million reduction to the provision recorded during the six months ended June 30, 2025. This adjustment related to a tax law change for the state of California effective as of June 30, 2025, which required a transition from a three-factor apportionment formula to a single-sales-factor formula for determining state income tax. As such, the Company recorded a net benefit of approximately $0.9 million relating to the current year provision, which was partially offset by a $0.7 million expense relating to the remeasurement of the deferred tax assets and liabilities as of June 30, 2025. No such adjustment was recorded during the six months ended June 30, 2026. The effective tax rates for the six months ended June 30, 2026 and 2025 were 25.63% and 28.24%,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CONDITION SUMMARY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compares our financial condition as of June 30, 2026 to our financial condition as of December 31, 2025. Table 11 summarizes selected components of our unaudited consolidated balance sheets as of June 30, 2026 and December 31, 2025.</w:t>
      </w:r>
    </w:p>
    <w:tbl>
      <w:tblPr>
        <w:tblW w:w="8063" w:type="dxa"/>
        <w:jc w:val="left"/>
        <w:tblInd w:w="0" w:type="dxa"/>
        <w:tblLayout w:type="fixed"/>
        <w:tblCellMar>
          <w:top w:w="28" w:type="dxa"/>
          <w:left w:w="28" w:type="dxa"/>
          <w:bottom w:w="28" w:type="dxa"/>
          <w:right w:w="28" w:type="dxa"/>
        </w:tblCellMar>
      </w:tblPr>
      <w:tblGrid>
        <w:gridCol w:w="820"/>
        <w:gridCol w:w="721"/>
        <w:gridCol w:w="723"/>
        <w:gridCol w:w="192"/>
        <w:gridCol w:w="192"/>
        <w:gridCol w:w="192"/>
        <w:gridCol w:w="372"/>
        <w:gridCol w:w="1720"/>
        <w:gridCol w:w="192"/>
        <w:gridCol w:w="192"/>
        <w:gridCol w:w="192"/>
        <w:gridCol w:w="192"/>
        <w:gridCol w:w="372"/>
        <w:gridCol w:w="1720"/>
        <w:gridCol w:w="271"/>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06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11: Selected Components of Consolidated Balance Sheets (Unaudited)</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5,377,062 </w:t>
            </w:r>
          </w:p>
        </w:tc>
        <w:tc>
          <w:tcPr>
            <w:tcW w:w="19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4,754,861 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4,799,383 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 net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Total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total assets were $5.4 billion, an increase of $622.2 million from $4.8 billion at December 31, 2025. The increase was primarily comprised of a $444.8 million increase in total loans held for investment and a $178.2 million increase in cash and cash equivalents. The $444.8 million increase in total loans held for investment between December 31, 2025 and June 30, 2026 was a result of $1.0 billion in loan originations and advances, partially offset by $162.1 million and $421.9 million in loan payoffs and paydowns, respectively. The $444.8 million increase in total loans held for investment included $145.0 million in purchased loans within the consumer section of the loan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cash and cash equivalents were $685.1 million at June 30, 2026, an increase of $178.2 million from $506.9 million at December 31, 2025. The increase in cash and cash equivalents was primarily due to the net increase in cash inflows from growth in total deposits of $598.3 million and cash outflows from growth in total loans held for investment of $444.8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Investment Portfolio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in securities with minimal credit risk and interest rate risk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reflective of the yields obtained on those securities. Most of our securities are classified as available-for-sale, although we have one long-term, fixed rate municipal security classified as held-to-maturity.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total securities available-for-sale and held-to-maturity amounted to $92.7 million at June 30, 2026 and $96.9 million at December 31, 2025, representing a decrease of $4.2 million during the same period. The decrease to available-for-sale securities was primarily due to maturities, prepayments, and calls of $3.6 million, and an unrealized loss on securities of $0.2 million, with the remainder of the change due to amortization of premiums. For the six months ended June 30, 2026, other comprehensive loss was $0.3 million, primarily due to market conditions on securities during that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12 presents the carrying value of our investment portfolio as of the dates indicated.</w:t>
      </w:r>
    </w:p>
    <w:tbl>
      <w:tblPr>
        <w:tblW w:w="10205" w:type="dxa"/>
        <w:jc w:val="left"/>
        <w:tblInd w:w="0" w:type="dxa"/>
        <w:tblLayout w:type="fixed"/>
        <w:tblCellMar>
          <w:top w:w="28" w:type="dxa"/>
          <w:left w:w="28" w:type="dxa"/>
          <w:bottom w:w="28" w:type="dxa"/>
          <w:right w:w="28" w:type="dxa"/>
        </w:tblCellMar>
      </w:tblPr>
      <w:tblGrid>
        <w:gridCol w:w="1306"/>
        <w:gridCol w:w="1143"/>
        <w:gridCol w:w="1100"/>
        <w:gridCol w:w="109"/>
        <w:gridCol w:w="109"/>
        <w:gridCol w:w="109"/>
        <w:gridCol w:w="278"/>
        <w:gridCol w:w="951"/>
        <w:gridCol w:w="143"/>
        <w:gridCol w:w="109"/>
        <w:gridCol w:w="109"/>
        <w:gridCol w:w="109"/>
        <w:gridCol w:w="359"/>
        <w:gridCol w:w="362"/>
        <w:gridCol w:w="545"/>
        <w:gridCol w:w="109"/>
        <w:gridCol w:w="109"/>
        <w:gridCol w:w="109"/>
        <w:gridCol w:w="278"/>
        <w:gridCol w:w="951"/>
        <w:gridCol w:w="143"/>
        <w:gridCol w:w="109"/>
        <w:gridCol w:w="109"/>
        <w:gridCol w:w="109"/>
        <w:gridCol w:w="359"/>
        <w:gridCol w:w="362"/>
        <w:gridCol w:w="617"/>
      </w:tblGrid>
      <w:tr>
        <w:trPr/>
        <w:tc>
          <w:tcPr>
            <w:tcW w:w="130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12: Carrying Value of Investment Securities</w:t>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of Total </w:t>
            </w:r>
          </w:p>
        </w:tc>
      </w:tr>
      <w:tr>
        <w:trPr/>
        <w:tc>
          <w:tcPr>
            <w:tcW w:w="354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97.70 </w:t>
            </w:r>
          </w:p>
        </w:tc>
        <w:tc>
          <w:tcPr>
            <w:tcW w:w="54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94,699 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6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92,719 </w:t>
            </w:r>
          </w:p>
        </w:tc>
        <w:tc>
          <w:tcPr>
            <w:tcW w:w="14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4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96,889 </w:t>
            </w:r>
          </w:p>
        </w:tc>
        <w:tc>
          <w:tcPr>
            <w:tcW w:w="14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6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13 presents the carrying value of our securities by their stated maturities, as well as the weighted average yields for each maturity range, as of the dates shown.</w:t>
      </w:r>
    </w:p>
    <w:tbl>
      <w:tblPr>
        <w:tblW w:w="14995" w:type="dxa"/>
        <w:jc w:val="left"/>
        <w:tblInd w:w="0" w:type="dxa"/>
        <w:tblLayout w:type="fixed"/>
        <w:tblCellMar>
          <w:top w:w="28" w:type="dxa"/>
          <w:left w:w="28" w:type="dxa"/>
          <w:bottom w:w="28" w:type="dxa"/>
          <w:right w:w="28" w:type="dxa"/>
        </w:tblCellMar>
      </w:tblPr>
      <w:tblGrid>
        <w:gridCol w:w="695"/>
        <w:gridCol w:w="574"/>
        <w:gridCol w:w="307"/>
        <w:gridCol w:w="109"/>
        <w:gridCol w:w="109"/>
        <w:gridCol w:w="109"/>
        <w:gridCol w:w="211"/>
        <w:gridCol w:w="616"/>
        <w:gridCol w:w="109"/>
        <w:gridCol w:w="109"/>
        <w:gridCol w:w="109"/>
        <w:gridCol w:w="109"/>
        <w:gridCol w:w="307"/>
        <w:gridCol w:w="204"/>
        <w:gridCol w:w="508"/>
        <w:gridCol w:w="109"/>
        <w:gridCol w:w="109"/>
        <w:gridCol w:w="109"/>
        <w:gridCol w:w="211"/>
        <w:gridCol w:w="616"/>
        <w:gridCol w:w="109"/>
        <w:gridCol w:w="109"/>
        <w:gridCol w:w="109"/>
        <w:gridCol w:w="109"/>
        <w:gridCol w:w="306"/>
        <w:gridCol w:w="205"/>
        <w:gridCol w:w="506"/>
        <w:gridCol w:w="109"/>
        <w:gridCol w:w="109"/>
        <w:gridCol w:w="109"/>
        <w:gridCol w:w="211"/>
        <w:gridCol w:w="721"/>
        <w:gridCol w:w="109"/>
        <w:gridCol w:w="109"/>
        <w:gridCol w:w="109"/>
        <w:gridCol w:w="109"/>
        <w:gridCol w:w="307"/>
        <w:gridCol w:w="204"/>
        <w:gridCol w:w="508"/>
        <w:gridCol w:w="109"/>
        <w:gridCol w:w="109"/>
        <w:gridCol w:w="109"/>
        <w:gridCol w:w="211"/>
        <w:gridCol w:w="721"/>
        <w:gridCol w:w="109"/>
        <w:gridCol w:w="109"/>
        <w:gridCol w:w="109"/>
        <w:gridCol w:w="109"/>
        <w:gridCol w:w="307"/>
        <w:gridCol w:w="204"/>
        <w:gridCol w:w="508"/>
        <w:gridCol w:w="109"/>
        <w:gridCol w:w="109"/>
        <w:gridCol w:w="109"/>
        <w:gridCol w:w="211"/>
        <w:gridCol w:w="721"/>
        <w:gridCol w:w="109"/>
        <w:gridCol w:w="109"/>
        <w:gridCol w:w="109"/>
        <w:gridCol w:w="109"/>
        <w:gridCol w:w="315"/>
        <w:gridCol w:w="196"/>
        <w:gridCol w:w="569"/>
      </w:tblGrid>
      <w:tr>
        <w:trPr/>
        <w:tc>
          <w:tcPr>
            <w:tcW w:w="69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4995" w:type="dxa"/>
            <w:gridSpan w:val="6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13: Stated Maturities and Weighted Average Yields - Investment Securities</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Due after one year through five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Due after five years through ten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Due after ten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Yield</w:t>
            </w:r>
          </w:p>
        </w:tc>
      </w:tr>
      <w:tr>
        <w:trPr/>
        <w:tc>
          <w:tcPr>
            <w:tcW w:w="15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240" w:after="283"/>
              <w:ind w:left="0" w:right="0" w:hanging="173"/>
              <w:jc w:val="both"/>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5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5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60,685 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92,719 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173"/>
              <w:jc w:val="both"/>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5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73,138 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94,699 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73,138 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5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96,889 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 Yields on tax-exempt securities are not presented on a tax-equivalent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Loan Portfolio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June 30, 2026 and December 31, 2025, our total loans amounted to $4.5 billion and $4.1 billion, respectively. Table 14 presents the balance and associated percentage of each major product type within our portfolio as of the dates indicated.</w:t>
      </w:r>
    </w:p>
    <w:tbl>
      <w:tblPr>
        <w:tblW w:w="9633" w:type="dxa"/>
        <w:jc w:val="left"/>
        <w:tblInd w:w="0" w:type="dxa"/>
        <w:tblLayout w:type="fixed"/>
        <w:tblCellMar>
          <w:top w:w="28" w:type="dxa"/>
          <w:left w:w="28" w:type="dxa"/>
          <w:bottom w:w="28" w:type="dxa"/>
          <w:right w:w="28" w:type="dxa"/>
        </w:tblCellMar>
      </w:tblPr>
      <w:tblGrid>
        <w:gridCol w:w="1075"/>
        <w:gridCol w:w="946"/>
        <w:gridCol w:w="948"/>
        <w:gridCol w:w="109"/>
        <w:gridCol w:w="109"/>
        <w:gridCol w:w="109"/>
        <w:gridCol w:w="211"/>
        <w:gridCol w:w="976"/>
        <w:gridCol w:w="109"/>
        <w:gridCol w:w="109"/>
        <w:gridCol w:w="109"/>
        <w:gridCol w:w="109"/>
        <w:gridCol w:w="360"/>
        <w:gridCol w:w="361"/>
        <w:gridCol w:w="626"/>
        <w:gridCol w:w="109"/>
        <w:gridCol w:w="109"/>
        <w:gridCol w:w="109"/>
        <w:gridCol w:w="211"/>
        <w:gridCol w:w="976"/>
        <w:gridCol w:w="109"/>
        <w:gridCol w:w="109"/>
        <w:gridCol w:w="109"/>
        <w:gridCol w:w="109"/>
        <w:gridCol w:w="360"/>
        <w:gridCol w:w="361"/>
        <w:gridCol w:w="696"/>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9633" w:type="dxa"/>
            <w:gridSpan w:val="27"/>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14: Loans Outstanding</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7"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Amount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 of Loans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Amount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 of Loans </w:t>
            </w:r>
          </w:p>
        </w:tc>
      </w:tr>
      <w:tr>
        <w:trPr/>
        <w:tc>
          <w:tcPr>
            <w:tcW w:w="296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81.08 </w:t>
            </w:r>
          </w:p>
        </w:tc>
        <w:tc>
          <w:tcPr>
            <w:tcW w:w="6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6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6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6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6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6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6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6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6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4,521,929 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6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4,077,019 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6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4,521,929 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6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4,077,019 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6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loan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4,074,929 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Residential real estate and construction real estate loans consist of loans secured by single-family and multifamily residential properties, which are both owner-occupied and investor-owned.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Farmland loans consist of loans used to purchase, refinance, or improve farmland secured by farming properties themselves. The farmland is generally located in or near our market.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Consumer and other loans consist primarily of loans purchased in a loan purchase program with a non-bank lender, generally made to professionals for the purpose of large personal or household purchases. The loans are unsecured, fixed rate loans. Consumer and other loans also include loans purchased or originated through financing partnerships which are no longer active.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Table 15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Table 15, may be obtained for loans that are downgraded to watch or substandard. Loans over $2.0 million are reviewed annually, at which time an internal assessment of collateral values is completed. </w:t>
      </w:r>
    </w:p>
    <w:tbl>
      <w:tblPr>
        <w:tblW w:w="10205" w:type="dxa"/>
        <w:jc w:val="left"/>
        <w:tblInd w:w="0" w:type="dxa"/>
        <w:tblLayout w:type="fixed"/>
        <w:tblCellMar>
          <w:top w:w="28" w:type="dxa"/>
          <w:left w:w="28" w:type="dxa"/>
          <w:bottom w:w="28" w:type="dxa"/>
          <w:right w:w="28" w:type="dxa"/>
        </w:tblCellMar>
      </w:tblPr>
      <w:tblGrid>
        <w:gridCol w:w="743"/>
        <w:gridCol w:w="445"/>
        <w:gridCol w:w="447"/>
        <w:gridCol w:w="109"/>
        <w:gridCol w:w="109"/>
        <w:gridCol w:w="109"/>
        <w:gridCol w:w="211"/>
        <w:gridCol w:w="976"/>
        <w:gridCol w:w="109"/>
        <w:gridCol w:w="109"/>
        <w:gridCol w:w="109"/>
        <w:gridCol w:w="109"/>
        <w:gridCol w:w="491"/>
        <w:gridCol w:w="341"/>
        <w:gridCol w:w="849"/>
        <w:gridCol w:w="109"/>
        <w:gridCol w:w="109"/>
        <w:gridCol w:w="109"/>
        <w:gridCol w:w="219"/>
        <w:gridCol w:w="1016"/>
        <w:gridCol w:w="113"/>
        <w:gridCol w:w="109"/>
        <w:gridCol w:w="109"/>
        <w:gridCol w:w="109"/>
        <w:gridCol w:w="309"/>
        <w:gridCol w:w="307"/>
        <w:gridCol w:w="588"/>
        <w:gridCol w:w="109"/>
        <w:gridCol w:w="109"/>
        <w:gridCol w:w="109"/>
        <w:gridCol w:w="360"/>
        <w:gridCol w:w="361"/>
        <w:gridCol w:w="685"/>
      </w:tblGrid>
      <w:tr>
        <w:trPr/>
        <w:tc>
          <w:tcPr>
            <w:tcW w:w="7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15: Commercial Real Estate Loans</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Loan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Collateral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 LTV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LTV</w:t>
            </w:r>
          </w:p>
        </w:tc>
      </w:tr>
      <w:tr>
        <w:trPr/>
        <w:tc>
          <w:tcPr>
            <w:tcW w:w="16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Manufactured home community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1,923,792 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75.28 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RV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814,152 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72.96 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713,667 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73.58 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715,862 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619,202 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590,270 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Mini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416,300 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Faith-based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530,621 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74.33 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All other types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1,076,019 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120.01 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3,597,173 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84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7,399,885 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Manufactured home community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1,820,597 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73.59 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RV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742,097 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668,216 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74.23 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618,588 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79.21 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563,631 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Faith-based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513,107 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Mini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381,810 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8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404,727 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5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6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All other types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966,325 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134.52 </w:t>
            </w:r>
          </w:p>
        </w:tc>
        <w:tc>
          <w:tcPr>
            <w:tcW w:w="6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3,305,713 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84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6,679,098 </w:t>
            </w:r>
          </w:p>
        </w:tc>
        <w:tc>
          <w:tcPr>
            <w:tcW w:w="1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Types of collateral in the “all other types” category are those that individually make up less than 5.00% of the commercial real estate concentration.</w:t>
      </w:r>
    </w:p>
    <w:p>
      <w:pPr>
        <w:pStyle w:val="TextBody"/>
        <w:bidi w:val="0"/>
        <w:spacing w:lineRule="auto" w:line="288" w:before="2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Minimum LTV and maximum LTV not shown for aggregated totals, as such values are meaningful only when presented by specific category.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82.36% of loans held for investment at June 30, 2026. Commercial secured lending represents 5.72% of loans held for investment at June 30, 2026. We sell the guaranteed portion of all SBA 7(a) loans in the secondary market and will continue to do so as long as market conditions continue to be favorable.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recognize that our commercial real estate loan concentration is significant within our balance sheet. Commercial real estate loan balances as a percentage of risk-based capital were 615.22% and 594.17% as of June 30, 2026 and December 31, 2025, respectively. We have established internal concentration limits in the loan portfolio for commercial real estate loans by sector (e.g., manufactured home communities, self-storage, hospitality, etc.). All loan sectors were within our established limits as of June 30, 2026. Additionally, our loans are geographically concentrated with borrowers and collateralized properties primarily in California.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Table 16 sets forth the contractual maturities and sensitivity to interest rate changes of our loan portfolio as of the dates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0"/>
        <w:gridCol w:w="497"/>
        <w:gridCol w:w="499"/>
        <w:gridCol w:w="109"/>
        <w:gridCol w:w="109"/>
        <w:gridCol w:w="109"/>
        <w:gridCol w:w="233"/>
        <w:gridCol w:w="913"/>
        <w:gridCol w:w="120"/>
        <w:gridCol w:w="109"/>
        <w:gridCol w:w="109"/>
        <w:gridCol w:w="109"/>
        <w:gridCol w:w="267"/>
        <w:gridCol w:w="1048"/>
        <w:gridCol w:w="138"/>
        <w:gridCol w:w="109"/>
        <w:gridCol w:w="109"/>
        <w:gridCol w:w="109"/>
        <w:gridCol w:w="262"/>
        <w:gridCol w:w="1212"/>
        <w:gridCol w:w="135"/>
        <w:gridCol w:w="109"/>
        <w:gridCol w:w="109"/>
        <w:gridCol w:w="109"/>
        <w:gridCol w:w="233"/>
        <w:gridCol w:w="797"/>
        <w:gridCol w:w="120"/>
        <w:gridCol w:w="109"/>
        <w:gridCol w:w="109"/>
        <w:gridCol w:w="109"/>
        <w:gridCol w:w="211"/>
        <w:gridCol w:w="976"/>
        <w:gridCol w:w="159"/>
      </w:tblGrid>
      <w:tr>
        <w:trPr/>
        <w:tc>
          <w:tcPr>
            <w:tcW w:w="7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16: Contractual Maturities and Sensitivity to Interest Rate Changes - Gross Loans</w:t>
            </w:r>
          </w:p>
        </w:tc>
      </w:tr>
      <w:tr>
        <w:trPr/>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in 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after 1 year through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after 5 years through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after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with fixed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288,319 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344,272 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706,749 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374,499 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with fixed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77,883 </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385,125 </w:t>
            </w:r>
          </w:p>
        </w:tc>
        <w:tc>
          <w:tcPr>
            <w:tcW w:w="13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717,652 </w:t>
            </w:r>
          </w:p>
        </w:tc>
        <w:tc>
          <w:tcPr>
            <w:tcW w:w="13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1,184,617 </w:t>
            </w:r>
          </w:p>
        </w:tc>
        <w:tc>
          <w:tcPr>
            <w:tcW w:w="15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with floating or adjustable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2,427,683 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2,890,424 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with floating or adjustable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132,230 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525,457 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2,596,620 </w:t>
            </w:r>
          </w:p>
        </w:tc>
        <w:tc>
          <w:tcPr>
            <w:tcW w:w="1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83,005 </w:t>
            </w:r>
          </w:p>
        </w:tc>
        <w:tc>
          <w:tcPr>
            <w:tcW w:w="12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3,337,312 </w:t>
            </w:r>
          </w:p>
        </w:tc>
        <w:tc>
          <w:tcPr>
            <w:tcW w:w="1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210,113 </w:t>
            </w:r>
          </w:p>
        </w:tc>
        <w:tc>
          <w:tcPr>
            <w:tcW w:w="12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910,582 </w:t>
            </w:r>
          </w:p>
        </w:tc>
        <w:tc>
          <w:tcPr>
            <w:tcW w:w="138"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3,314,272 </w:t>
            </w:r>
          </w:p>
        </w:tc>
        <w:tc>
          <w:tcPr>
            <w:tcW w:w="13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86,962 </w:t>
            </w:r>
          </w:p>
        </w:tc>
        <w:tc>
          <w:tcPr>
            <w:tcW w:w="12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4,521,929 </w:t>
            </w:r>
          </w:p>
        </w:tc>
        <w:tc>
          <w:tcPr>
            <w:tcW w:w="15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2,771,955 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3,597,173 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210,113 </w:t>
            </w:r>
          </w:p>
        </w:tc>
        <w:tc>
          <w:tcPr>
            <w:tcW w:w="12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910,582 </w:t>
            </w:r>
          </w:p>
        </w:tc>
        <w:tc>
          <w:tcPr>
            <w:tcW w:w="13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3,314,272 </w:t>
            </w:r>
          </w:p>
        </w:tc>
        <w:tc>
          <w:tcPr>
            <w:tcW w:w="13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86,962 </w:t>
            </w:r>
          </w:p>
        </w:tc>
        <w:tc>
          <w:tcPr>
            <w:tcW w:w="12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4,521,929 </w:t>
            </w:r>
          </w:p>
        </w:tc>
        <w:tc>
          <w:tcPr>
            <w:tcW w:w="1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3"/>
        <w:gridCol w:w="484"/>
        <w:gridCol w:w="486"/>
        <w:gridCol w:w="109"/>
        <w:gridCol w:w="109"/>
        <w:gridCol w:w="109"/>
        <w:gridCol w:w="231"/>
        <w:gridCol w:w="907"/>
        <w:gridCol w:w="119"/>
        <w:gridCol w:w="109"/>
        <w:gridCol w:w="109"/>
        <w:gridCol w:w="109"/>
        <w:gridCol w:w="263"/>
        <w:gridCol w:w="1033"/>
        <w:gridCol w:w="136"/>
        <w:gridCol w:w="109"/>
        <w:gridCol w:w="109"/>
        <w:gridCol w:w="109"/>
        <w:gridCol w:w="258"/>
        <w:gridCol w:w="1197"/>
        <w:gridCol w:w="133"/>
        <w:gridCol w:w="109"/>
        <w:gridCol w:w="109"/>
        <w:gridCol w:w="109"/>
        <w:gridCol w:w="231"/>
        <w:gridCol w:w="792"/>
        <w:gridCol w:w="119"/>
        <w:gridCol w:w="109"/>
        <w:gridCol w:w="109"/>
        <w:gridCol w:w="109"/>
        <w:gridCol w:w="212"/>
        <w:gridCol w:w="982"/>
        <w:gridCol w:w="174"/>
      </w:tblGrid>
      <w:tr>
        <w:trPr/>
        <w:tc>
          <w:tcPr>
            <w:tcW w:w="81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Table 16: Contractual Maturities and Sensitivity to Interest Rate Changes - Gross Loans</w:t>
            </w:r>
            <w:r>
              <w:rPr>
                <w:color w:val="000000"/>
              </w:rPr>
              <w:t xml:space="preserve"> </w:t>
            </w:r>
            <w:r>
              <w:rPr>
                <w:rFonts w:ascii="Times New Roman;serif" w:hAnsi="Times New Roman;serif"/>
                <w:b w:val="false"/>
                <w:color w:val="000000"/>
                <w:sz w:val="20"/>
              </w:rPr>
              <w:t>(continued)</w:t>
            </w:r>
          </w:p>
        </w:tc>
      </w:tr>
      <w:tr>
        <w:trPr/>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in 1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after 1 year through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after 5 years through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after 15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with fixed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366,518 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676,426 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257,472 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with fixed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34,579 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341,037 </w:t>
            </w:r>
          </w:p>
        </w:tc>
        <w:tc>
          <w:tcPr>
            <w:tcW w:w="1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669,450 </w:t>
            </w:r>
          </w:p>
        </w:tc>
        <w:tc>
          <w:tcPr>
            <w:tcW w:w="1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1,049,049 </w:t>
            </w:r>
          </w:p>
        </w:tc>
        <w:tc>
          <w:tcPr>
            <w:tcW w:w="17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with floating or adjustable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2,257,847 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2,629,287 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with floating or adjustable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105,289 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419,759 </w:t>
            </w:r>
          </w:p>
        </w:tc>
        <w:tc>
          <w:tcPr>
            <w:tcW w:w="1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2,411,500 </w:t>
            </w:r>
          </w:p>
        </w:tc>
        <w:tc>
          <w:tcPr>
            <w:tcW w:w="1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91,422 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3,027,970 </w:t>
            </w:r>
          </w:p>
        </w:tc>
        <w:tc>
          <w:tcPr>
            <w:tcW w:w="17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139,868 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760,796 </w:t>
            </w:r>
          </w:p>
        </w:tc>
        <w:tc>
          <w:tcPr>
            <w:tcW w:w="1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3,080,950 </w:t>
            </w:r>
          </w:p>
        </w:tc>
        <w:tc>
          <w:tcPr>
            <w:tcW w:w="13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95,405 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4,077,019 </w:t>
            </w:r>
          </w:p>
        </w:tc>
        <w:tc>
          <w:tcPr>
            <w:tcW w:w="17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2,624,365 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3,305,713 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275,475 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139,868 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760,796 </w:t>
            </w:r>
          </w:p>
        </w:tc>
        <w:tc>
          <w:tcPr>
            <w:tcW w:w="1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3,080,950 </w:t>
            </w:r>
          </w:p>
        </w:tc>
        <w:tc>
          <w:tcPr>
            <w:tcW w:w="13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95,405 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4,077,019 </w:t>
            </w:r>
          </w:p>
        </w:tc>
        <w:tc>
          <w:tcPr>
            <w:tcW w:w="17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Asset Quality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Nonperforming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SBA Loans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did not sell any SBA 7(a)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Non-accrual Loans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17 provides details of our nonperforming and restructured assets and certain other related information as of the dates presented.</w:t>
      </w:r>
    </w:p>
    <w:tbl>
      <w:tblPr>
        <w:tblW w:w="10017" w:type="dxa"/>
        <w:jc w:val="left"/>
        <w:tblInd w:w="0" w:type="dxa"/>
        <w:tblLayout w:type="fixed"/>
        <w:tblCellMar>
          <w:top w:w="28" w:type="dxa"/>
          <w:left w:w="28" w:type="dxa"/>
          <w:bottom w:w="28" w:type="dxa"/>
          <w:right w:w="28" w:type="dxa"/>
        </w:tblCellMar>
      </w:tblPr>
      <w:tblGrid>
        <w:gridCol w:w="2142"/>
        <w:gridCol w:w="1881"/>
        <w:gridCol w:w="1887"/>
        <w:gridCol w:w="137"/>
        <w:gridCol w:w="137"/>
        <w:gridCol w:w="137"/>
        <w:gridCol w:w="266"/>
        <w:gridCol w:w="909"/>
        <w:gridCol w:w="341"/>
        <w:gridCol w:w="137"/>
        <w:gridCol w:w="137"/>
        <w:gridCol w:w="137"/>
        <w:gridCol w:w="326"/>
        <w:gridCol w:w="954"/>
        <w:gridCol w:w="489"/>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0017" w:type="dxa"/>
            <w:gridSpan w:val="15"/>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17: Nonperforming and Restructured Assets</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91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13,122 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non-accrual loans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34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48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past due 90 days or more and still accruing:</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past due and still accruing</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loans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34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48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Real estate owned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3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48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Performing loan modifications (“LMs”) (not included above)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period end nonperforming loans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354.57 </w:t>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1,434.40 </w:t>
            </w:r>
          </w:p>
        </w:tc>
        <w:tc>
          <w:tcPr>
            <w:tcW w:w="4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Nonperforming loans to loans held for investment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4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Nonperforming loans plus performing LMs to loans held for investment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4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ratio of nonperforming loans to loans held for investment was 0.30% at June 30, 2026, as compared to 0.08% at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ratio of the allowance for credit losses to period end nonperforming loans decreased from 1,434.40% as of December 31, 2025 to 354.57% as of June 30, 2026. This decrease was due to a $10.3 million, or 331.20%, increase in nonperforming loans due to one Community Reinvestment Act loan that was placed on non-accrual status during the period. The balance of the loan is $11.4 million as of June 30, 2026, and it was originally downgraded to substandard in 2025. This was partially offset by improvements across the remainder of the nonperforming loan portfolio.</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Potential Problem Loans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Loans designated as “watch” or “special mention” are internal bank designations and are not considered adversely classified. However, loans designated as “substandard” or “doubtful” are considered adversely classified. Table 18 shows loans by credit quality risk rating as of the periods indicated. </w:t>
      </w:r>
    </w:p>
    <w:tbl>
      <w:tblPr>
        <w:tblW w:w="10205" w:type="dxa"/>
        <w:jc w:val="left"/>
        <w:tblInd w:w="0" w:type="dxa"/>
        <w:tblLayout w:type="fixed"/>
        <w:tblCellMar>
          <w:top w:w="28" w:type="dxa"/>
          <w:left w:w="28" w:type="dxa"/>
          <w:bottom w:w="28" w:type="dxa"/>
          <w:right w:w="28" w:type="dxa"/>
        </w:tblCellMar>
      </w:tblPr>
      <w:tblGrid>
        <w:gridCol w:w="688"/>
        <w:gridCol w:w="345"/>
        <w:gridCol w:w="346"/>
        <w:gridCol w:w="109"/>
        <w:gridCol w:w="109"/>
        <w:gridCol w:w="109"/>
        <w:gridCol w:w="211"/>
        <w:gridCol w:w="976"/>
        <w:gridCol w:w="109"/>
        <w:gridCol w:w="109"/>
        <w:gridCol w:w="109"/>
        <w:gridCol w:w="109"/>
        <w:gridCol w:w="211"/>
        <w:gridCol w:w="826"/>
        <w:gridCol w:w="109"/>
        <w:gridCol w:w="109"/>
        <w:gridCol w:w="109"/>
        <w:gridCol w:w="109"/>
        <w:gridCol w:w="216"/>
        <w:gridCol w:w="739"/>
        <w:gridCol w:w="111"/>
        <w:gridCol w:w="109"/>
        <w:gridCol w:w="109"/>
        <w:gridCol w:w="109"/>
        <w:gridCol w:w="237"/>
        <w:gridCol w:w="811"/>
        <w:gridCol w:w="123"/>
        <w:gridCol w:w="109"/>
        <w:gridCol w:w="109"/>
        <w:gridCol w:w="109"/>
        <w:gridCol w:w="244"/>
        <w:gridCol w:w="470"/>
        <w:gridCol w:w="127"/>
        <w:gridCol w:w="109"/>
        <w:gridCol w:w="109"/>
        <w:gridCol w:w="109"/>
        <w:gridCol w:w="211"/>
        <w:gridCol w:w="976"/>
        <w:gridCol w:w="157"/>
      </w:tblGrid>
      <w:tr>
        <w:trPr/>
        <w:tc>
          <w:tcPr>
            <w:tcW w:w="68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18: Gross Loans Held for Investment by Credit Quality Risk Rating</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Watch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Special Mention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Substandard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Doubtful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7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3,597,173 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258,736 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4,302,148 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154,635 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44,858 </w:t>
            </w:r>
          </w:p>
        </w:tc>
        <w:tc>
          <w:tcPr>
            <w:tcW w:w="1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20,288 </w:t>
            </w:r>
          </w:p>
        </w:tc>
        <w:tc>
          <w:tcPr>
            <w:tcW w:w="1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4,521,929 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3,305,713 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251,736 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3,915,263 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101,895 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37,530 </w:t>
            </w:r>
          </w:p>
        </w:tc>
        <w:tc>
          <w:tcPr>
            <w:tcW w:w="1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22,331 </w:t>
            </w:r>
          </w:p>
        </w:tc>
        <w:tc>
          <w:tcPr>
            <w:tcW w:w="12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4,077,019 </w:t>
            </w:r>
          </w:p>
        </w:tc>
        <w:tc>
          <w:tcPr>
            <w:tcW w:w="15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Loans designated as watch, special mention, and substandard increased to $219.8 million at June 30, 2026 from $161.8 million at December 31, 2025. There were no loans with doubtful risk grades at June 30, 2026 or December 31,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Historical loss rates within the commercial secured pool are also evaluated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on a regular basis to estimate the allowance for credit losses. This evaluation is inherently subjective, as it requires estimates that are susceptible to significant revision as more information becomes available.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Company’s allowance for credit losses was $47.3 million, as compared to $44.4 million at December 31, 2025. The $2.9 million increase in the allowance is due to a $4.6 million provision for credit losses (excluding a $0.4 million provision for unfunded commitments) recorded during the six months ended June 30, 2026, partially offset by net charge-offs of $1.6 million, primarily attributable to commercial and industrial loans, during the same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the entire allowance for credit losses is available to absorb losses from any and all loans, Table 19 represents management’s allocation of our allowance for credit losses by loan category, the allocation of our allowance for credit losses as a percent of the total allowance for credit losses, and the balance of loans in each category as a percentage of total loans, for the periods indicated.</w:t>
      </w:r>
    </w:p>
    <w:tbl>
      <w:tblPr>
        <w:tblW w:w="10205" w:type="dxa"/>
        <w:jc w:val="left"/>
        <w:tblInd w:w="0" w:type="dxa"/>
        <w:tblLayout w:type="fixed"/>
        <w:tblCellMar>
          <w:top w:w="28" w:type="dxa"/>
          <w:left w:w="28" w:type="dxa"/>
          <w:bottom w:w="28" w:type="dxa"/>
          <w:right w:w="28" w:type="dxa"/>
        </w:tblCellMar>
      </w:tblPr>
      <w:tblGrid>
        <w:gridCol w:w="952"/>
        <w:gridCol w:w="753"/>
        <w:gridCol w:w="757"/>
        <w:gridCol w:w="138"/>
        <w:gridCol w:w="138"/>
        <w:gridCol w:w="138"/>
        <w:gridCol w:w="414"/>
        <w:gridCol w:w="1417"/>
        <w:gridCol w:w="214"/>
        <w:gridCol w:w="138"/>
        <w:gridCol w:w="138"/>
        <w:gridCol w:w="138"/>
        <w:gridCol w:w="604"/>
        <w:gridCol w:w="520"/>
        <w:gridCol w:w="1304"/>
        <w:gridCol w:w="138"/>
        <w:gridCol w:w="138"/>
        <w:gridCol w:w="138"/>
        <w:gridCol w:w="492"/>
        <w:gridCol w:w="413"/>
        <w:gridCol w:w="1123"/>
      </w:tblGrid>
      <w:tr>
        <w:trPr/>
        <w:tc>
          <w:tcPr>
            <w:tcW w:w="9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19: Allocation of the Allowance for Credit Losses</w:t>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Allowance for Credit Losses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 of Allowance for Credit Losses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of Loans to Total Loans</w:t>
            </w:r>
          </w:p>
        </w:tc>
      </w:tr>
      <w:tr>
        <w:trPr/>
        <w:tc>
          <w:tcPr>
            <w:tcW w:w="246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June 30, 2026</w:t>
            </w:r>
          </w:p>
        </w:tc>
        <w:tc>
          <w:tcPr>
            <w:tcW w:w="4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28,371 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47,335 </w:t>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2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3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81.08 </w:t>
            </w:r>
          </w:p>
        </w:tc>
        <w:tc>
          <w:tcPr>
            <w:tcW w:w="11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land and development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3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construction</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3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1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construction</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3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3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11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Farmland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3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1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1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3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1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44,409 </w:t>
            </w:r>
          </w:p>
        </w:tc>
        <w:tc>
          <w:tcPr>
            <w:tcW w:w="2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0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2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ratio of the allowance for credit losses to total loans held for investment was 1.05% at June 30, 2026, a decline from 1.09%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tbl>
      <w:tblPr>
        <w:tblW w:w="14062" w:type="dxa"/>
        <w:jc w:val="center"/>
        <w:tblInd w:w="0" w:type="dxa"/>
        <w:tblLayout w:type="fixed"/>
        <w:tblCellMar>
          <w:top w:w="28" w:type="dxa"/>
          <w:left w:w="28" w:type="dxa"/>
          <w:bottom w:w="28" w:type="dxa"/>
          <w:right w:w="28" w:type="dxa"/>
        </w:tblCellMar>
      </w:tblPr>
      <w:tblGrid>
        <w:gridCol w:w="528"/>
        <w:gridCol w:w="306"/>
        <w:gridCol w:w="307"/>
        <w:gridCol w:w="109"/>
        <w:gridCol w:w="109"/>
        <w:gridCol w:w="109"/>
        <w:gridCol w:w="211"/>
        <w:gridCol w:w="976"/>
        <w:gridCol w:w="271"/>
        <w:gridCol w:w="109"/>
        <w:gridCol w:w="109"/>
        <w:gridCol w:w="109"/>
        <w:gridCol w:w="296"/>
        <w:gridCol w:w="230"/>
        <w:gridCol w:w="576"/>
        <w:gridCol w:w="109"/>
        <w:gridCol w:w="109"/>
        <w:gridCol w:w="109"/>
        <w:gridCol w:w="211"/>
        <w:gridCol w:w="976"/>
        <w:gridCol w:w="271"/>
        <w:gridCol w:w="109"/>
        <w:gridCol w:w="109"/>
        <w:gridCol w:w="109"/>
        <w:gridCol w:w="296"/>
        <w:gridCol w:w="230"/>
        <w:gridCol w:w="576"/>
        <w:gridCol w:w="109"/>
        <w:gridCol w:w="109"/>
        <w:gridCol w:w="109"/>
        <w:gridCol w:w="211"/>
        <w:gridCol w:w="976"/>
        <w:gridCol w:w="271"/>
        <w:gridCol w:w="109"/>
        <w:gridCol w:w="109"/>
        <w:gridCol w:w="109"/>
        <w:gridCol w:w="296"/>
        <w:gridCol w:w="230"/>
        <w:gridCol w:w="576"/>
        <w:gridCol w:w="109"/>
        <w:gridCol w:w="109"/>
        <w:gridCol w:w="109"/>
        <w:gridCol w:w="211"/>
        <w:gridCol w:w="976"/>
        <w:gridCol w:w="271"/>
        <w:gridCol w:w="109"/>
        <w:gridCol w:w="109"/>
        <w:gridCol w:w="109"/>
        <w:gridCol w:w="306"/>
        <w:gridCol w:w="220"/>
        <w:gridCol w:w="641"/>
      </w:tblGrid>
      <w:tr>
        <w:trPr/>
        <w:tc>
          <w:tcPr>
            <w:tcW w:w="5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4062" w:type="dxa"/>
            <w:gridSpan w:val="51"/>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20: Activity Within the Allowance for Credit Losses</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 xml:space="preserve">As of and for the 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 xml:space="preserve">As of and for the six months ended </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Activity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Average Loans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Activity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Average Loans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Activity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Average Loans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Activity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Average Loans Held for Investment</w:t>
            </w:r>
          </w:p>
        </w:tc>
      </w:tr>
      <w:tr>
        <w:trPr/>
        <w:tc>
          <w:tcPr>
            <w:tcW w:w="11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loans held for investment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4,328,304 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3,690,658 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4,239,866 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3,628,589 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5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5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5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6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5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5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5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6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3,758,025 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4,519,681 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3,758,025 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ratio of the allowance for credit losses to loans held for investment decreased from 1.07% as of June 30, 2025 to 1.05% as of June 30, 2026. Net charge-offs as a percent of average loans held for investment decreased from 0.04% for the three months ended June 30, 2025 to 0.02% for the three months ended June 30, 2026. Net charge-offs as a percent of average loans held for investment decreased from 0.06% for the six months ended June 30, 2025 to 0.04%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total liabilities increased by $594.3 million from $4.3 billion as of December 31, 2025 to $4.9 billion as of June 30, 2026. This increase was primarily due to an increase in deposits of $598.3 million. The increase in deposits was largely due to increases in money market, interest-bearing transaction, and non-interest-bearing deposits of $590.7 million, $156.1 million, and $89.9 million, respectively, partially offset by a $246.6 million decrease in time deposits, mainly attributed to a $215.0 million decline in wholesale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Deposits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Representing 97.88% of our total liabilities as of June 30, 2026, deposits are our primary source of funding for our business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deposits increased by $598.3 million, or 14.24%, to $4.8 billion at June 30, 2026 from $4.2 billion at December 31, 2025. The increase in deposits was largely due to increases in money market, interest-bearing transaction, and non-interest-bearing deposits of $590.7 million, $156.1 million, and $89.9 million, respectively, partially offset by a $246.6 million decrease in time deposits, mainly attributed to a $215.0 million decline in wholesale deposits. The Company defines wholesale deposits as brokered deposits and California Time Deposit Program deposits. Non-interest-bearing deposits increased by $89.9 million from December 31, 2025 to $1.2 billion at June 30, 2026, representing 24.47% of total deposits at that date, as compared to 25.82% of total deposits at December 31, 2025. Our loan to deposit ratio was 94.17% at June 30, 2026, as compared to 97.00% at December 31, 2025. We closely monitor the loan to deposit ratio for purposes of both operational objectives and regulatory capital compliance. We intend to continue to operate our business with close monitoring of the loan to deposit ratio.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21 summarizes our deposit composition by average deposit balances and average rates paid for the periods indicated.</w:t>
      </w:r>
    </w:p>
    <w:tbl>
      <w:tblPr>
        <w:tblW w:w="10205" w:type="dxa"/>
        <w:jc w:val="left"/>
        <w:tblInd w:w="0" w:type="dxa"/>
        <w:tblLayout w:type="fixed"/>
        <w:tblCellMar>
          <w:top w:w="28" w:type="dxa"/>
          <w:left w:w="28" w:type="dxa"/>
          <w:bottom w:w="28" w:type="dxa"/>
          <w:right w:w="28" w:type="dxa"/>
        </w:tblCellMar>
      </w:tblPr>
      <w:tblGrid>
        <w:gridCol w:w="696"/>
        <w:gridCol w:w="396"/>
        <w:gridCol w:w="309"/>
        <w:gridCol w:w="109"/>
        <w:gridCol w:w="109"/>
        <w:gridCol w:w="109"/>
        <w:gridCol w:w="211"/>
        <w:gridCol w:w="976"/>
        <w:gridCol w:w="109"/>
        <w:gridCol w:w="109"/>
        <w:gridCol w:w="109"/>
        <w:gridCol w:w="109"/>
        <w:gridCol w:w="327"/>
        <w:gridCol w:w="184"/>
        <w:gridCol w:w="459"/>
        <w:gridCol w:w="109"/>
        <w:gridCol w:w="109"/>
        <w:gridCol w:w="109"/>
        <w:gridCol w:w="393"/>
        <w:gridCol w:w="328"/>
        <w:gridCol w:w="453"/>
        <w:gridCol w:w="109"/>
        <w:gridCol w:w="109"/>
        <w:gridCol w:w="109"/>
        <w:gridCol w:w="211"/>
        <w:gridCol w:w="976"/>
        <w:gridCol w:w="109"/>
        <w:gridCol w:w="109"/>
        <w:gridCol w:w="109"/>
        <w:gridCol w:w="109"/>
        <w:gridCol w:w="327"/>
        <w:gridCol w:w="184"/>
        <w:gridCol w:w="459"/>
        <w:gridCol w:w="109"/>
        <w:gridCol w:w="109"/>
        <w:gridCol w:w="109"/>
        <w:gridCol w:w="369"/>
        <w:gridCol w:w="352"/>
        <w:gridCol w:w="415"/>
      </w:tblGrid>
      <w:tr>
        <w:trPr/>
        <w:tc>
          <w:tcPr>
            <w:tcW w:w="6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21: Deposit Composition by Average Balances and Rates Paid</w:t>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For the three months ended </w:t>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Average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Rate Paid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Rate Paid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ind w:left="0" w:right="0" w:hanging="173"/>
              <w:jc w:val="center"/>
              <w:rPr>
                <w:rFonts w:ascii="Times New Roman;serif" w:hAnsi="Times New Roman;serif"/>
                <w:b/>
                <w:color w:val="000000"/>
                <w:sz w:val="20"/>
              </w:rPr>
            </w:pPr>
            <w:r>
              <w:rPr>
                <w:rFonts w:ascii="Times New Roman;serif" w:hAnsi="Times New Roman;serif"/>
                <w:b/>
                <w:color w:val="000000"/>
                <w:sz w:val="20"/>
              </w:rPr>
              <w:t>% of Total Deposits</w:t>
            </w:r>
          </w:p>
        </w:tc>
      </w:tr>
      <w:tr>
        <w:trPr/>
        <w:tc>
          <w:tcPr>
            <w:tcW w:w="140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389,136 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5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4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283,369 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5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4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and savings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41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4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415"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Demand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4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4,650,350 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45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3,736,018 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41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96"/>
        <w:gridCol w:w="396"/>
        <w:gridCol w:w="309"/>
        <w:gridCol w:w="109"/>
        <w:gridCol w:w="109"/>
        <w:gridCol w:w="109"/>
        <w:gridCol w:w="211"/>
        <w:gridCol w:w="976"/>
        <w:gridCol w:w="109"/>
        <w:gridCol w:w="109"/>
        <w:gridCol w:w="109"/>
        <w:gridCol w:w="109"/>
        <w:gridCol w:w="327"/>
        <w:gridCol w:w="184"/>
        <w:gridCol w:w="459"/>
        <w:gridCol w:w="109"/>
        <w:gridCol w:w="109"/>
        <w:gridCol w:w="109"/>
        <w:gridCol w:w="393"/>
        <w:gridCol w:w="328"/>
        <w:gridCol w:w="453"/>
        <w:gridCol w:w="109"/>
        <w:gridCol w:w="109"/>
        <w:gridCol w:w="109"/>
        <w:gridCol w:w="211"/>
        <w:gridCol w:w="976"/>
        <w:gridCol w:w="109"/>
        <w:gridCol w:w="109"/>
        <w:gridCol w:w="109"/>
        <w:gridCol w:w="109"/>
        <w:gridCol w:w="327"/>
        <w:gridCol w:w="184"/>
        <w:gridCol w:w="459"/>
        <w:gridCol w:w="109"/>
        <w:gridCol w:w="109"/>
        <w:gridCol w:w="109"/>
        <w:gridCol w:w="369"/>
        <w:gridCol w:w="352"/>
        <w:gridCol w:w="415"/>
      </w:tblGrid>
      <w:tr>
        <w:trPr/>
        <w:tc>
          <w:tcPr>
            <w:tcW w:w="6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7"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 xml:space="preserve">For the six months ended </w:t>
            </w:r>
          </w:p>
        </w:tc>
      </w:tr>
      <w:tr>
        <w:trPr/>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Average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Rate Paid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Rate Paid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ind w:left="0" w:right="0" w:hanging="173"/>
              <w:jc w:val="center"/>
              <w:rPr>
                <w:rFonts w:ascii="Times New Roman;serif" w:hAnsi="Times New Roman;serif"/>
                <w:b/>
                <w:color w:val="000000"/>
                <w:sz w:val="20"/>
              </w:rPr>
            </w:pPr>
            <w:r>
              <w:rPr>
                <w:rFonts w:ascii="Times New Roman;serif" w:hAnsi="Times New Roman;serif"/>
                <w:b/>
                <w:color w:val="000000"/>
                <w:sz w:val="20"/>
              </w:rPr>
              <w:t>% of Total Deposits</w:t>
            </w:r>
          </w:p>
        </w:tc>
      </w:tr>
      <w:tr>
        <w:trPr/>
        <w:tc>
          <w:tcPr>
            <w:tcW w:w="140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transaction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366,525 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5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4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293,539 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5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4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and savings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56.02 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46.90 </w:t>
            </w:r>
          </w:p>
        </w:tc>
        <w:tc>
          <w:tcPr>
            <w:tcW w:w="41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4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415"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Demand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4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4,486,200 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45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3,661,315 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41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uninsured and uncollateralized deposits totaled approximately $1.6 billion and $1.4 billion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70 largest deposit relationships, each accounting for more than $10.0 million, totaled $2.5 billion, or 51.19% of our total deposits. The average age on deposit relationships of more than $5.0 million was approximately 7.39 years as of June 30, 2026. As of December 31, 2025, our 53 largest deposit relationships, each accounting for more than $10.0 million, totaled $2.0 billion, or 47.82% of our total deposits. Overall, our large deposit relationships have been relatively consistent over time and have helped to continue to grow our deposit base.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Table 22 shows the entity types making up our large deposit relationships at the dates indicated. </w:t>
      </w:r>
    </w:p>
    <w:tbl>
      <w:tblPr>
        <w:tblW w:w="6163" w:type="dxa"/>
        <w:jc w:val="left"/>
        <w:tblInd w:w="0" w:type="dxa"/>
        <w:tblLayout w:type="fixed"/>
        <w:tblCellMar>
          <w:top w:w="28" w:type="dxa"/>
          <w:left w:w="28" w:type="dxa"/>
          <w:bottom w:w="28" w:type="dxa"/>
          <w:right w:w="28" w:type="dxa"/>
        </w:tblCellMar>
      </w:tblPr>
      <w:tblGrid>
        <w:gridCol w:w="695"/>
        <w:gridCol w:w="611"/>
        <w:gridCol w:w="613"/>
        <w:gridCol w:w="138"/>
        <w:gridCol w:w="138"/>
        <w:gridCol w:w="138"/>
        <w:gridCol w:w="268"/>
        <w:gridCol w:w="1241"/>
        <w:gridCol w:w="138"/>
        <w:gridCol w:w="138"/>
        <w:gridCol w:w="138"/>
        <w:gridCol w:w="138"/>
        <w:gridCol w:w="278"/>
        <w:gridCol w:w="1289"/>
        <w:gridCol w:w="202"/>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6163"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22: Composition of Large Deposit Relationships</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1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1,142,118 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789,643 </w:t>
            </w:r>
          </w:p>
        </w:tc>
        <w:tc>
          <w:tcPr>
            <w:tcW w:w="20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Non-profits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413,151 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283,666 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Businesses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901,655 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760,516 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Brokered deposits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174,981 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2,456,924 </w:t>
            </w:r>
          </w:p>
        </w:tc>
        <w:tc>
          <w:tcPr>
            <w:tcW w:w="1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2,008,806 </w:t>
            </w:r>
          </w:p>
        </w:tc>
        <w:tc>
          <w:tcPr>
            <w:tcW w:w="20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largest single deposit relationship at June 30, 2026 related to a government agency. The balance for this customer was $340.1 million, or approximately 7.09% of total deposits as of that date. At December 31, 2025, our largest single deposit relationship related to a government agency and had a balance of $290.0 million, or 6.90% of total deposits as of that date. As our demand deposits fluctuate, we have purchased brokered deposits as needed to supplement liquidity. We do not consider brokered deposits as core deposits, but as another deposit funding source for our loan growth.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23 sets forth the maturity of time deposits as of June 30, 2026.</w:t>
      </w:r>
    </w:p>
    <w:tbl>
      <w:tblPr>
        <w:tblW w:w="10205" w:type="dxa"/>
        <w:jc w:val="left"/>
        <w:tblInd w:w="0" w:type="dxa"/>
        <w:tblLayout w:type="fixed"/>
        <w:tblCellMar>
          <w:top w:w="28" w:type="dxa"/>
          <w:left w:w="28" w:type="dxa"/>
          <w:bottom w:w="28" w:type="dxa"/>
          <w:right w:w="28" w:type="dxa"/>
        </w:tblCellMar>
      </w:tblPr>
      <w:tblGrid>
        <w:gridCol w:w="944"/>
        <w:gridCol w:w="826"/>
        <w:gridCol w:w="829"/>
        <w:gridCol w:w="109"/>
        <w:gridCol w:w="109"/>
        <w:gridCol w:w="109"/>
        <w:gridCol w:w="330"/>
        <w:gridCol w:w="1296"/>
        <w:gridCol w:w="170"/>
        <w:gridCol w:w="109"/>
        <w:gridCol w:w="109"/>
        <w:gridCol w:w="109"/>
        <w:gridCol w:w="339"/>
        <w:gridCol w:w="1163"/>
        <w:gridCol w:w="175"/>
        <w:gridCol w:w="109"/>
        <w:gridCol w:w="109"/>
        <w:gridCol w:w="109"/>
        <w:gridCol w:w="211"/>
        <w:gridCol w:w="826"/>
        <w:gridCol w:w="109"/>
        <w:gridCol w:w="109"/>
        <w:gridCol w:w="109"/>
        <w:gridCol w:w="109"/>
        <w:gridCol w:w="296"/>
        <w:gridCol w:w="1161"/>
        <w:gridCol w:w="222"/>
      </w:tblGrid>
      <w:tr>
        <w:trPr/>
        <w:tc>
          <w:tcPr>
            <w:tcW w:w="94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23: Scheduled Maturities of Time Deposits</w:t>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$250,000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Uninsured Portion</w:t>
            </w:r>
          </w:p>
        </w:tc>
      </w:tr>
      <w:tr>
        <w:trPr/>
        <w:tc>
          <w:tcPr>
            <w:tcW w:w="25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260,679 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255,429 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Over three through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Over six through twelve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Over twelve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277,450 </w:t>
            </w:r>
          </w:p>
        </w:tc>
        <w:tc>
          <w:tcPr>
            <w:tcW w:w="17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30,541 </w:t>
            </w:r>
          </w:p>
        </w:tc>
        <w:tc>
          <w:tcPr>
            <w:tcW w:w="17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307,991 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266,200 </w:t>
            </w:r>
          </w:p>
        </w:tc>
        <w:tc>
          <w:tcPr>
            <w:tcW w:w="22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FHLB Advances and Other Borrowings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utilize short-term collateralized FHLB borrowings to maintain adequate liquidity. There were no borrowings outstanding as of either June 30, 2026 or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2022, we issued subordinated notes of $75.0 million. This debt was issued to investors in private placement transactions. See Note 6, Subordinated Notes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24 is a summary of our outstanding subordinated notes as of June 30, 2026.</w:t>
      </w:r>
    </w:p>
    <w:tbl>
      <w:tblPr>
        <w:tblW w:w="10205" w:type="dxa"/>
        <w:jc w:val="left"/>
        <w:tblInd w:w="0" w:type="dxa"/>
        <w:tblLayout w:type="fixed"/>
        <w:tblCellMar>
          <w:top w:w="28" w:type="dxa"/>
          <w:left w:w="28" w:type="dxa"/>
          <w:bottom w:w="28" w:type="dxa"/>
          <w:right w:w="28" w:type="dxa"/>
        </w:tblCellMar>
      </w:tblPr>
      <w:tblGrid>
        <w:gridCol w:w="782"/>
        <w:gridCol w:w="621"/>
        <w:gridCol w:w="623"/>
        <w:gridCol w:w="142"/>
        <w:gridCol w:w="142"/>
        <w:gridCol w:w="142"/>
        <w:gridCol w:w="445"/>
        <w:gridCol w:w="445"/>
        <w:gridCol w:w="447"/>
        <w:gridCol w:w="142"/>
        <w:gridCol w:w="142"/>
        <w:gridCol w:w="142"/>
        <w:gridCol w:w="754"/>
        <w:gridCol w:w="442"/>
        <w:gridCol w:w="419"/>
        <w:gridCol w:w="142"/>
        <w:gridCol w:w="142"/>
        <w:gridCol w:w="142"/>
        <w:gridCol w:w="589"/>
        <w:gridCol w:w="589"/>
        <w:gridCol w:w="591"/>
        <w:gridCol w:w="142"/>
        <w:gridCol w:w="142"/>
        <w:gridCol w:w="142"/>
        <w:gridCol w:w="529"/>
        <w:gridCol w:w="502"/>
        <w:gridCol w:w="723"/>
      </w:tblGrid>
      <w:tr>
        <w:trPr/>
        <w:tc>
          <w:tcPr>
            <w:tcW w:w="78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24: Subordinated Notes Outstanding</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Issuance Date</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 of Notes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Prepayment Right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r>
      <w:tr>
        <w:trPr/>
        <w:tc>
          <w:tcPr>
            <w:tcW w:w="20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2022</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17, 2027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 2032</w:t>
            </w:r>
          </w:p>
        </w:tc>
      </w:tr>
      <w:tr>
        <w:trPr/>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Fixed at 6.00% through September 1, 2027, then three-month Term SOFR plus 329.0 basis points (7.02% as of June 30, 2026) through maturity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Shareholders’ Equity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Shareholders’ equity totaled $473.8 million at June 30, 2026 and $445.8 million at December 31, 2025. The increase in shareholders’ equity was primarily a result of $38.0 million recognized as net income during the period, partially offset by $10.7 million in cash dividends paid during the period and a $0.3 million increase in accumulated other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Liquidity Management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a shelf registration statement on file with the SEC registering the offer and sale by us of up to $300.0 million of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 The 2026 Public Offering used $137.9 million of the securities registered under the Company’s shelf registration statement on file with the SEC.</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Sources and Uses of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June 30, 2026, management believes the above-mentioned sources will provide adequate liquidity during the next twelve months for the Bank to meet its operating needs. In addition, in July 2026, the Company closed the 2026 Public Offering and issued 3,133,750 shares of its common stock at a public offering price of $44.00 per share. The net proceeds to the Company, after deducting underwriting discounts, commissions, and estimated offering expenses of $0.8 million, were approximately $129.9 million.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had cash outflows of $446.5 million in loan originations and advances, net of principal collected, and no loans originated for sale.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Additionally, in the ordinary course of business, we enter into commitments to extend credit,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June 30, 2026, off-balance sheet commitments totaled $726.7 million. We expect to fund these commitments to the extent utilized primarily through the repayment of existing loans, deposit growth, and liquid assets.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Deposits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Deposits are our primary source of funding for our business operations, and the cost of deposits has a significant impact on our net interest income and net interest margin.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had cash inflows of $598.3 million related to an increase in deposits.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twelve months following June 30, 2026, approximately $307.3 million of time deposits are expected to mature. After the twelve months following June 30, 2026, we expect $0.7 million of time deposits to mature through 2030. These deposits may or may not renew due to general competition. We expect the outflow will not be significant and can be replenished through our organic growth in deposits. We believe our emphasis on local deposits and our San Francisco Bay Area and Southern California expansions provide a stable funding base.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cash and cash equivalents represented 14.27% of total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Investment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investment securities totaled $92.7 million at June 30, 2026. Mortgage-backed securities and obligations of states and political subdivisions comprised 48.78% and 41.79%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$9.4 million from our securities over the twelve months following June 30, 2026. In future periods, we expect to maintain approximately the same level of cash flows from our securities. Depending on market yield and our liquidity, we may purchase securities as a use of cash in our interest-earning asset portfolio.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had cash proceeds from sales, maturities, calls, and prepayments of securities of $3.6 million. Additionally, at June 30, 2026, securities available-for-sale totaled $90.6 million, of which $85.7 million has been pledged as collateral for borrowings and other commitments.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FHLB Financing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Bank is a shareholder of the FHLB, which enables the Bank to have access to lower-cost FHLB financing when necessary. At June 30, 2026, the Bank had no outstanding FHLB financing borrowings and a total financing availability of $331.6 million, net of letters of credit issued of $1.3 billion.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Federal Reserve Discount Window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the ability to borrow from the Federal Reserve Discount Window when necessary. At June 30, 2026, the Bank had no outstanding Federal Reserve Discount Window borrowings and a total financing availability of $1.1 billion.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Correspondent Bank Lines of Credit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unused and available amount for borrowing from correspondent bank lines of credit was $185.0 million.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Total Liquidity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liquidity (consisting of cash and cash equivalents and unused and immediately available borrowing capacity as set forth in Table 25) was approximately $2.3 billion as of June 30, 2026.</w:t>
      </w:r>
    </w:p>
    <w:tbl>
      <w:tblPr>
        <w:tblW w:w="10050" w:type="dxa"/>
        <w:jc w:val="left"/>
        <w:tblInd w:w="0" w:type="dxa"/>
        <w:tblLayout w:type="fixed"/>
        <w:tblCellMar>
          <w:top w:w="28" w:type="dxa"/>
          <w:left w:w="28" w:type="dxa"/>
          <w:bottom w:w="28" w:type="dxa"/>
          <w:right w:w="28" w:type="dxa"/>
        </w:tblCellMar>
      </w:tblPr>
      <w:tblGrid>
        <w:gridCol w:w="1059"/>
        <w:gridCol w:w="931"/>
        <w:gridCol w:w="934"/>
        <w:gridCol w:w="109"/>
        <w:gridCol w:w="109"/>
        <w:gridCol w:w="109"/>
        <w:gridCol w:w="211"/>
        <w:gridCol w:w="976"/>
        <w:gridCol w:w="109"/>
        <w:gridCol w:w="109"/>
        <w:gridCol w:w="109"/>
        <w:gridCol w:w="109"/>
        <w:gridCol w:w="337"/>
        <w:gridCol w:w="1559"/>
        <w:gridCol w:w="174"/>
        <w:gridCol w:w="109"/>
        <w:gridCol w:w="109"/>
        <w:gridCol w:w="109"/>
        <w:gridCol w:w="322"/>
        <w:gridCol w:w="621"/>
        <w:gridCol w:w="168"/>
        <w:gridCol w:w="109"/>
        <w:gridCol w:w="109"/>
        <w:gridCol w:w="109"/>
        <w:gridCol w:w="211"/>
        <w:gridCol w:w="97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0"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25: Total Liquidity</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Line of Credit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Letters of Credit Issued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Borrowings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Available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1,629,065 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1,297,500 </w:t>
            </w:r>
          </w:p>
        </w:tc>
        <w:tc>
          <w:tcPr>
            <w:tcW w:w="17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Reserve Discount Window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 bank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2,888,642 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1,297,500 </w:t>
            </w:r>
          </w:p>
        </w:tc>
        <w:tc>
          <w:tcPr>
            <w:tcW w:w="17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2,276,216 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Future Contractual Obligations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estimated future contractual obligations as of June 30, 2026 include both current and long-term obligations. Under our operating leases, we have an operating lease liability of $11.3 million. We have a current obligation of $307.3 million and a long-term obligation of $0.7 million related to time deposits, as discussed in Note 5, Interest-Bearing Deposits. We have net subordinated notes of $74.1 million, all of which are long-term obligations. We also have contractual obligations on unfunded loan commitments and standby letters of credit totaling $726.7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Dividends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use of liquidity for the Company is shareholder dividends. The Company paid dividends to its shareholders totaling $5.3 million during the three months ended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2026 at a rate of $0.25 per share, our average total dividend paid each quarter would be approximately $6.1 million based on the number of currently outstanding shares if there are no increases or decreases in the number of shares, and given that unvested RSAs share equally in dividends with outstanding common stock.</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Impact of Inflation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Historical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Table 26 summarizes our consolidated cash flow activities.</w:t>
      </w:r>
    </w:p>
    <w:tbl>
      <w:tblPr>
        <w:tblW w:w="7509" w:type="dxa"/>
        <w:jc w:val="left"/>
        <w:tblInd w:w="0" w:type="dxa"/>
        <w:tblLayout w:type="fixed"/>
        <w:tblCellMar>
          <w:top w:w="28" w:type="dxa"/>
          <w:left w:w="28" w:type="dxa"/>
          <w:bottom w:w="28" w:type="dxa"/>
          <w:right w:w="28" w:type="dxa"/>
        </w:tblCellMar>
      </w:tblPr>
      <w:tblGrid>
        <w:gridCol w:w="1255"/>
        <w:gridCol w:w="1103"/>
        <w:gridCol w:w="1107"/>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9"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26: Consolidated Cash Flow Activities</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$9.3 million for the six months ended June 30, 2026 compared to the six months ended June 30, 2025, primarily due to higher net income, higher net changes in interest receivable and other assets, and no loans originated for sale in the quarter. These sources of cash were partially offset by no gross proceeds from sale of loans, as well as purchases of transferable tax credits. Cash provided by operating activities is subject to variability period-over-period as a result of timing differences, including with respect to the collection of receivables and payments of interest expense, accounts payable, and bonuses.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additional information about our operating results, see “Results of Operations” above.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by $222.1 million for the six months ended June 30, 2026 compared to the six months ended June 30, 2025, primarily due to higher originations of loans held for investment, net of repayments.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increased by $259.5 million for the six months ended June 30, 2026 compared to the six months ended June 30, 2025, primarily due to an increase in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Capital Adequacy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Bancorp and the Bank are subject to various regulatory capital requirements administered by the federal and state banking agencies. Failure to meet minimum capital requirements as set forth in Tables 27 and 28 can initiate certain mandatory and possibly additional discretionary actions by regulators that, if undertaken, could have a material effect on our unaudited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federal regulations implementing the Basel III framework, the Bank is subject to minimum risk-based and leverage capital requirements. The Bank is also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June 30, 2026, both Bancorp and the Bank were in compliance with all applicable regulatory capital requirements, and the Bank qualified as “well-capitalized” under the prompt corrective action framework.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capital adequacy ratios as of June 30, 2026 and December 31, 2025 for Bancorp and the Bank are presented in Tables 27 and 28. As of June 30, 2026 and December 31, 2025, Bancorp’s Tier 2 capital included subordinated notes, which were not included at the Bank level. Eligible amounts of subordinated notes included in Tier 2 capital will be phased out by 20% per year beginning five years before the maturity date of the notes.</w:t>
      </w:r>
    </w:p>
    <w:tbl>
      <w:tblPr>
        <w:tblW w:w="10205" w:type="dxa"/>
        <w:jc w:val="left"/>
        <w:tblInd w:w="0" w:type="dxa"/>
        <w:tblLayout w:type="fixed"/>
        <w:tblCellMar>
          <w:top w:w="28" w:type="dxa"/>
          <w:left w:w="28" w:type="dxa"/>
          <w:bottom w:w="28" w:type="dxa"/>
          <w:right w:w="28" w:type="dxa"/>
        </w:tblCellMar>
      </w:tblPr>
      <w:tblGrid>
        <w:gridCol w:w="775"/>
        <w:gridCol w:w="481"/>
        <w:gridCol w:w="482"/>
        <w:gridCol w:w="109"/>
        <w:gridCol w:w="109"/>
        <w:gridCol w:w="109"/>
        <w:gridCol w:w="211"/>
        <w:gridCol w:w="826"/>
        <w:gridCol w:w="109"/>
        <w:gridCol w:w="109"/>
        <w:gridCol w:w="109"/>
        <w:gridCol w:w="109"/>
        <w:gridCol w:w="308"/>
        <w:gridCol w:w="308"/>
        <w:gridCol w:w="322"/>
        <w:gridCol w:w="109"/>
        <w:gridCol w:w="109"/>
        <w:gridCol w:w="109"/>
        <w:gridCol w:w="238"/>
        <w:gridCol w:w="935"/>
        <w:gridCol w:w="123"/>
        <w:gridCol w:w="123"/>
        <w:gridCol w:w="123"/>
        <w:gridCol w:w="123"/>
        <w:gridCol w:w="325"/>
        <w:gridCol w:w="188"/>
        <w:gridCol w:w="306"/>
        <w:gridCol w:w="109"/>
        <w:gridCol w:w="109"/>
        <w:gridCol w:w="109"/>
        <w:gridCol w:w="477"/>
        <w:gridCol w:w="246"/>
        <w:gridCol w:w="246"/>
        <w:gridCol w:w="246"/>
        <w:gridCol w:w="246"/>
        <w:gridCol w:w="246"/>
        <w:gridCol w:w="279"/>
        <w:gridCol w:w="246"/>
        <w:gridCol w:w="359"/>
      </w:tblGrid>
      <w:tr>
        <w:trPr/>
        <w:tc>
          <w:tcPr>
            <w:tcW w:w="77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27: Capital Ratios for Bancorp</w:t>
            </w:r>
          </w:p>
        </w:tc>
      </w:tr>
      <w:tr>
        <w:trPr/>
        <w:tc>
          <w:tcPr>
            <w:tcW w:w="17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Actual Ratio</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Required for Capital Adequacy Purposes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Ratio to be Well-Capitalized under Prompt Corrective Action Provisions</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Ratio</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7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Ratio</w:t>
            </w:r>
          </w:p>
        </w:tc>
      </w:tr>
      <w:tr>
        <w:trPr/>
        <w:tc>
          <w:tcPr>
            <w:tcW w:w="173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22"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386,881 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0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290,160 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322"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217,620 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0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209,380 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38" w:type="dxa"/>
            <w:gridSpan w:val="3"/>
            <w:tcBorders/>
            <w:tcMar>
              <w:top w:w="0" w:type="dxa"/>
              <w:left w:w="0" w:type="dxa"/>
              <w:bottom w:w="0" w:type="dxa"/>
              <w:right w:w="0" w:type="dxa"/>
            </w:tcMar>
            <w:vAlign w:val="center"/>
          </w:tcPr>
          <w:p>
            <w:pPr>
              <w:pStyle w:val="TableContents"/>
              <w:bidi w:val="0"/>
              <w:spacing w:lineRule="auto" w:line="273"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343,779 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22"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257,834 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0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193,376 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6"/>
        <w:gridCol w:w="426"/>
        <w:gridCol w:w="427"/>
        <w:gridCol w:w="109"/>
        <w:gridCol w:w="109"/>
        <w:gridCol w:w="109"/>
        <w:gridCol w:w="211"/>
        <w:gridCol w:w="826"/>
        <w:gridCol w:w="109"/>
        <w:gridCol w:w="109"/>
        <w:gridCol w:w="109"/>
        <w:gridCol w:w="109"/>
        <w:gridCol w:w="308"/>
        <w:gridCol w:w="308"/>
        <w:gridCol w:w="320"/>
        <w:gridCol w:w="109"/>
        <w:gridCol w:w="109"/>
        <w:gridCol w:w="109"/>
        <w:gridCol w:w="230"/>
        <w:gridCol w:w="901"/>
        <w:gridCol w:w="118"/>
        <w:gridCol w:w="118"/>
        <w:gridCol w:w="118"/>
        <w:gridCol w:w="118"/>
        <w:gridCol w:w="325"/>
        <w:gridCol w:w="187"/>
        <w:gridCol w:w="295"/>
        <w:gridCol w:w="109"/>
        <w:gridCol w:w="109"/>
        <w:gridCol w:w="109"/>
        <w:gridCol w:w="258"/>
        <w:gridCol w:w="1014"/>
        <w:gridCol w:w="133"/>
        <w:gridCol w:w="133"/>
        <w:gridCol w:w="133"/>
        <w:gridCol w:w="133"/>
        <w:gridCol w:w="341"/>
        <w:gridCol w:w="282"/>
        <w:gridCol w:w="399"/>
      </w:tblGrid>
      <w:tr>
        <w:trPr/>
        <w:tc>
          <w:tcPr>
            <w:tcW w:w="7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28: Capital Ratios for the Bank</w:t>
            </w:r>
          </w:p>
        </w:tc>
      </w:tr>
      <w:tr>
        <w:trPr/>
        <w:tc>
          <w:tcPr>
            <w:tcW w:w="15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Actual Ratio</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Required for Capital Adequacy Purposes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Ratio to be Well-Capitalized under Prompt Corrective Action Provisions</w:t>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Ratio</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Ratio</w:t>
            </w:r>
          </w:p>
        </w:tc>
      </w:tr>
      <w:tr>
        <w:trPr/>
        <w:tc>
          <w:tcPr>
            <w:tcW w:w="157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385,982 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482,477 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289,486 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385,982 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9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313,610 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9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209,267 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261,584 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7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342,984 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257,238 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342,984 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9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278,674 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9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listed capital adequacy ratios exclude capital conservation buffers.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Legislative and Regulatory Developments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19, 2026, the federal banking agencies issued several proposals to revise the U.S. regulatory capital framework. The proposals would, among other things, modify aspects of the standardized approach to risk-based capital that applies to the Company, including to make the risk weights for certain residential mortgage exposures more risk-sensitive and decrease the risk weights of corporate exposures, which could affect certain aspects of the Company’s regulatory capital calculations. The Company is continuing to evaluate these proposals and their potential impact on its regulatory capital position.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25, 2026, the FDIC issued a proposal to revise deposit insurance assessment thresholds, rate schedules, and adjustments. Among other changes, the proposal would reduce initial base assessment rate schedules applicable to small institutions, including the Bank, by two basis points. The Company is continuing to evaluate the proposal and its potential impact on the Bank.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11, 2026, the 21st Century ROAD to Housing Act (the “Housing Act”) became law. The Housing Act is generally designed to incentivize new home construction, including through changes to certain banking laws to which the Bank is subject. Among other changes, Sections 901 and 902 of the Housing Act expanded the types of custodial deposits and amounts of reciprocal deposits, respectively, that may be excluded from treatment as brokered deposits. In addition, Section 903 of the Housing Act increased from $3 billion to $6 billion the maximum asset size for certain well-rated insured depository institutions to qualify for less frequent safety-and-soundness examinations by their primary federal regulator, allowing eligible institutions to be examined every 18 months instead of every 12 months. The Company is continuing to evaluate the Housing Act and its potential impacts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Journal Prime Index.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total interest income was $72.3 million for the three months ended June 30, 2026 and $248.9 million for the year ended December 31, 2025. Our total interest expense was $26.2 million for the three months ended June 30, 2026 and $97.0 million for the year ended December 31, 2025. Overall, our net interest income was $46.1 million for the three months ended June 30, 2026 and $151.9 million for the year ended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June 30, 2026, the Company carried a slightly higher balance of assets than liabilities that will reprice within the next twelve months in the event that interest rates fall.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overnight federal funds rate (the rate used in the interest rate shock scenarios listed below) was 3.63%, decreasing from 3.64% at December 31, 2025. The scenarios presented assume that interest rates change instantaneously (“shock”) and that there are no significant changes in the structure of the Company’s balance sheet over the twelve months being measured.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Table 29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June 30, 2026 and December 31, 2025. </w:t>
      </w:r>
    </w:p>
    <w:tbl>
      <w:tblPr>
        <w:tblW w:w="10205" w:type="dxa"/>
        <w:jc w:val="left"/>
        <w:tblInd w:w="0" w:type="dxa"/>
        <w:tblLayout w:type="fixed"/>
        <w:tblCellMar>
          <w:top w:w="28" w:type="dxa"/>
          <w:left w:w="28" w:type="dxa"/>
          <w:bottom w:w="28" w:type="dxa"/>
          <w:right w:w="28" w:type="dxa"/>
        </w:tblCellMar>
      </w:tblPr>
      <w:tblGrid>
        <w:gridCol w:w="537"/>
        <w:gridCol w:w="473"/>
        <w:gridCol w:w="474"/>
        <w:gridCol w:w="174"/>
        <w:gridCol w:w="174"/>
        <w:gridCol w:w="174"/>
        <w:gridCol w:w="390"/>
        <w:gridCol w:w="365"/>
        <w:gridCol w:w="857"/>
        <w:gridCol w:w="174"/>
        <w:gridCol w:w="174"/>
        <w:gridCol w:w="174"/>
        <w:gridCol w:w="403"/>
        <w:gridCol w:w="379"/>
        <w:gridCol w:w="891"/>
        <w:gridCol w:w="174"/>
        <w:gridCol w:w="174"/>
        <w:gridCol w:w="174"/>
        <w:gridCol w:w="390"/>
        <w:gridCol w:w="365"/>
        <w:gridCol w:w="857"/>
        <w:gridCol w:w="174"/>
        <w:gridCol w:w="174"/>
        <w:gridCol w:w="174"/>
        <w:gridCol w:w="386"/>
        <w:gridCol w:w="361"/>
        <w:gridCol w:w="989"/>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29: Estimated Effect on Net Interest Income (“NII”) and EVE from Changing Interest Rates</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Interest Rates</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Change in NII</w:t>
              <w:br/>
              <w:t>(as % of NII)</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Estimated Change in EVE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 of EVE)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Change in NII</w:t>
              <w:br/>
              <w:t>(as % of NII)</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Estimated Change in EVE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 of EVE)</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basis points)</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r>
      <w:tr>
        <w:trPr/>
        <w:tc>
          <w:tcPr>
            <w:tcW w:w="14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+300 (shock)</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85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8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85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98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+200 (shock)</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9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+100 (shock)</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9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+ 0 (flat)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-100 (shock)</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9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-200 (shock)</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9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-300 (shock)</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9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as amended (the “Exchange Act”), as of June 30, 2026.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such term is defined in Rule 13a-15(f) under the Exchange Act) that occurred during the three months ended June 30, 2026 that has materially affected, or is reasonably likely to materially affect, such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under Item 1A of the Company’s 2025 Annual Report on Form 10-K, previously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hanging="27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Unregistered Sales of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ind w:left="0" w:right="0" w:hanging="27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240" w:after="283"/>
        <w:ind w:left="0" w:right="0" w:hanging="27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Issuer Purchases of Equity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3. Defaults Upon Senior Securities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4. Mine Safety Disclosures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report or hereby incorporated by reference to filings previously made with the SEC.</w:t>
      </w:r>
    </w:p>
    <w:tbl>
      <w:tblPr>
        <w:tblW w:w="10205" w:type="dxa"/>
        <w:jc w:val="left"/>
        <w:tblInd w:w="0" w:type="dxa"/>
        <w:tblLayout w:type="fixed"/>
        <w:tblCellMar>
          <w:top w:w="28" w:type="dxa"/>
          <w:left w:w="28" w:type="dxa"/>
          <w:bottom w:w="28" w:type="dxa"/>
          <w:right w:w="28" w:type="dxa"/>
        </w:tblCellMar>
      </w:tblPr>
      <w:tblGrid>
        <w:gridCol w:w="387"/>
        <w:gridCol w:w="340"/>
        <w:gridCol w:w="341"/>
        <w:gridCol w:w="1919"/>
        <w:gridCol w:w="1828"/>
        <w:gridCol w:w="1787"/>
        <w:gridCol w:w="197"/>
        <w:gridCol w:w="197"/>
        <w:gridCol w:w="193"/>
        <w:gridCol w:w="219"/>
        <w:gridCol w:w="178"/>
        <w:gridCol w:w="165"/>
        <w:gridCol w:w="245"/>
        <w:gridCol w:w="245"/>
        <w:gridCol w:w="246"/>
        <w:gridCol w:w="260"/>
        <w:gridCol w:w="260"/>
        <w:gridCol w:w="261"/>
        <w:gridCol w:w="272"/>
        <w:gridCol w:w="272"/>
        <w:gridCol w:w="393"/>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5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56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106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553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both"/>
              <w:rPr/>
            </w:pPr>
            <w:hyperlink w:anchor="a2026q210-qexx311.htm">
              <w:r>
                <w:rPr>
                  <w:rStyle w:val="InternetLink"/>
                  <w:rFonts w:ascii="Times New Roman;serif" w:hAnsi="Times New Roman;serif"/>
                  <w:b w:val="false"/>
                  <w:color w:val="0000FF"/>
                  <w:sz w:val="20"/>
                  <w:u w:val="single"/>
                </w:rPr>
                <w:t>Certification of Chief Executive Officer pursuant to Rule 13a-14(a)/15d-14(a), as adopted pursuant to Section 302 of the Sarbanes-Oxley Act of 2002</w:t>
              </w:r>
            </w:hyperlink>
          </w:p>
        </w:tc>
        <w:tc>
          <w:tcPr>
            <w:tcW w:w="5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Filed</w:t>
            </w:r>
          </w:p>
        </w:tc>
      </w:tr>
      <w:tr>
        <w:trPr/>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553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2026q210-qexx312.htm">
              <w:r>
                <w:rPr>
                  <w:rStyle w:val="InternetLink"/>
                  <w:rFonts w:ascii="Times New Roman;serif" w:hAnsi="Times New Roman;serif"/>
                  <w:b w:val="false"/>
                  <w:color w:val="0000FF"/>
                  <w:sz w:val="20"/>
                  <w:u w:val="single"/>
                </w:rPr>
                <w:t>Certification of Chief Financial Officer pursuant to Rule 13a-14(a)/15d-14(a), as adopted pursuant to Section 302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Filed</w:t>
            </w:r>
          </w:p>
        </w:tc>
      </w:tr>
      <w:tr>
        <w:trPr/>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553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2026q210-q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Filed</w:t>
            </w:r>
          </w:p>
        </w:tc>
      </w:tr>
      <w:tr>
        <w:trPr/>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553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a2026q210-q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Filed</w:t>
            </w:r>
          </w:p>
        </w:tc>
      </w:tr>
      <w:tr>
        <w:trPr/>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Interactive Data</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Filed</w:t>
            </w:r>
          </w:p>
        </w:tc>
      </w:tr>
      <w:tr>
        <w:trPr/>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in Exhibit 101)</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Filed</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4492" w:type="dxa"/>
        <w:jc w:val="left"/>
        <w:tblInd w:w="0" w:type="dxa"/>
        <w:tblLayout w:type="fixed"/>
        <w:tblCellMar>
          <w:top w:w="28" w:type="dxa"/>
          <w:left w:w="28" w:type="dxa"/>
          <w:bottom w:w="28" w:type="dxa"/>
          <w:right w:w="28" w:type="dxa"/>
        </w:tblCellMar>
      </w:tblPr>
      <w:tblGrid>
        <w:gridCol w:w="124"/>
        <w:gridCol w:w="109"/>
        <w:gridCol w:w="109"/>
        <w:gridCol w:w="449"/>
        <w:gridCol w:w="449"/>
        <w:gridCol w:w="451"/>
        <w:gridCol w:w="109"/>
        <w:gridCol w:w="109"/>
        <w:gridCol w:w="109"/>
        <w:gridCol w:w="723"/>
        <w:gridCol w:w="723"/>
        <w:gridCol w:w="10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Five Star Bancorp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James E. Beckwith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James E. Beckwith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Heather C. Luck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Heather C. Luck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James E. Beckwith,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Five Star Bancorp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5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897"/>
        <w:gridCol w:w="897"/>
        <w:gridCol w:w="126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James E. Beckwith</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James E. Beckwith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Heather C. Luck,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Five Star Bancorp (the “Registrant”);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98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252"/>
        <w:gridCol w:w="1252"/>
        <w:gridCol w:w="178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Heather C. Luck</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Heather C. Luck</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Five Star Bancorp (the “Company”) for the period ended June 30, 2026,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52"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897"/>
        <w:gridCol w:w="897"/>
        <w:gridCol w:w="126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James E. Beckwith</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James E. Beckwith</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Five Star Bancorp (the “Company”) for the period ended June 30, 2026, as filed with the Securities and Exchange Commission on the date hereof (the “Report”), I, Heather C. Luck, Executive Vice President &amp; Chief Financial Officer of the Company, hereby certify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5981"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252"/>
        <w:gridCol w:w="1252"/>
        <w:gridCol w:w="178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Heather C. Luck</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Heather C. Luck</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34267</Words>
  <Characters>187907</Characters>
  <CharactersWithSpaces>219289</CharactersWithSpaces>
  <Paragraphs>7019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