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spacing w:lineRule="auto" w:line="288" w:before="240" w:after="283"/>
        <w:jc w:val="center"/>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2022</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lineRule="auto" w:line="288" w:before="240" w:after="283"/>
        <w:jc w:val="center"/>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 to __________________</w:t>
      </w:r>
    </w:p>
    <w:p>
      <w:pPr>
        <w:pStyle w:val="TextBody"/>
        <w:spacing w:lineRule="auto" w:line="288" w:before="24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001-40379</w:t>
      </w:r>
    </w:p>
    <w:p>
      <w:pPr>
        <w:pStyle w:val="TextBody"/>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FIVE STAR BANCORP</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187" w:type="dxa"/>
        <w:jc w:val="left"/>
        <w:tblInd w:w="0" w:type="dxa"/>
        <w:tblCellMar>
          <w:top w:w="28" w:type="dxa"/>
          <w:left w:w="28" w:type="dxa"/>
          <w:bottom w:w="28" w:type="dxa"/>
          <w:right w:w="28" w:type="dxa"/>
        </w:tblCellMar>
      </w:tblPr>
      <w:tblGrid>
        <w:gridCol w:w="1795"/>
        <w:gridCol w:w="1577"/>
        <w:gridCol w:w="1593"/>
        <w:gridCol w:w="109"/>
        <w:gridCol w:w="109"/>
        <w:gridCol w:w="109"/>
        <w:gridCol w:w="845"/>
        <w:gridCol w:w="845"/>
        <w:gridCol w:w="1205"/>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75-3100966</w:t>
            </w:r>
          </w:p>
        </w:tc>
      </w:tr>
      <w:tr>
        <w:trPr/>
        <w:tc>
          <w:tcPr>
            <w:tcW w:w="4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980" w:type="dxa"/>
        <w:jc w:val="left"/>
        <w:tblInd w:w="0" w:type="dxa"/>
        <w:tblCellMar>
          <w:top w:w="28" w:type="dxa"/>
          <w:left w:w="28" w:type="dxa"/>
          <w:bottom w:w="28" w:type="dxa"/>
          <w:right w:w="28" w:type="dxa"/>
        </w:tblCellMar>
      </w:tblPr>
      <w:tblGrid>
        <w:gridCol w:w="679"/>
        <w:gridCol w:w="595"/>
        <w:gridCol w:w="600"/>
        <w:gridCol w:w="294"/>
        <w:gridCol w:w="294"/>
        <w:gridCol w:w="296"/>
        <w:gridCol w:w="494"/>
        <w:gridCol w:w="494"/>
        <w:gridCol w:w="496"/>
        <w:gridCol w:w="125"/>
        <w:gridCol w:w="125"/>
        <w:gridCol w:w="126"/>
        <w:gridCol w:w="109"/>
        <w:gridCol w:w="109"/>
        <w:gridCol w:w="109"/>
        <w:gridCol w:w="303"/>
        <w:gridCol w:w="303"/>
        <w:gridCol w:w="429"/>
      </w:tblGrid>
      <w:tr>
        <w:trPr/>
        <w:tc>
          <w:tcPr>
            <w:tcW w:w="67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3100 Zinfandel Drive</w:t>
            </w:r>
          </w:p>
        </w:tc>
        <w:tc>
          <w:tcPr>
            <w:tcW w:w="8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Suite 100</w:t>
            </w:r>
          </w:p>
        </w:tc>
        <w:tc>
          <w:tcPr>
            <w:tcW w:w="14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Rancho Cordova</w:t>
            </w:r>
          </w:p>
        </w:tc>
        <w:tc>
          <w:tcPr>
            <w:tcW w:w="3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95670</w:t>
            </w:r>
          </w:p>
        </w:tc>
      </w:tr>
      <w:tr>
        <w:trPr/>
        <w:tc>
          <w:tcPr>
            <w:tcW w:w="4618"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24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val="false"/>
          <w:color w:val="000000"/>
          <w:sz w:val="20"/>
          <w:u w:val="single"/>
        </w:rPr>
        <w:t>(916) 626-5000</w:t>
      </w:r>
    </w:p>
    <w:p>
      <w:pPr>
        <w:pStyle w:val="TextBody"/>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formal fiscal year, if changed since last report)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12(b) of the Act:</w:t>
      </w:r>
    </w:p>
    <w:tbl>
      <w:tblPr>
        <w:tblW w:w="8308" w:type="dxa"/>
        <w:jc w:val="left"/>
        <w:tblInd w:w="0" w:type="dxa"/>
        <w:tblCellMar>
          <w:top w:w="28" w:type="dxa"/>
          <w:left w:w="28" w:type="dxa"/>
          <w:bottom w:w="28" w:type="dxa"/>
          <w:right w:w="28" w:type="dxa"/>
        </w:tblCellMar>
      </w:tblPr>
      <w:tblGrid>
        <w:gridCol w:w="1162"/>
        <w:gridCol w:w="1017"/>
        <w:gridCol w:w="1030"/>
        <w:gridCol w:w="464"/>
        <w:gridCol w:w="464"/>
        <w:gridCol w:w="466"/>
        <w:gridCol w:w="1085"/>
        <w:gridCol w:w="1085"/>
        <w:gridCol w:w="1535"/>
      </w:tblGrid>
      <w:tr>
        <w:trPr/>
        <w:tc>
          <w:tcPr>
            <w:tcW w:w="1162"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20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per share</w:t>
            </w:r>
          </w:p>
        </w:tc>
        <w:tc>
          <w:tcPr>
            <w:tcW w:w="13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FSBC</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lineRule="auto" w:line="276" w:before="0" w:after="0"/>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lineRule="auto" w:line="288" w:before="0" w:after="0"/>
        <w:jc w:val="both"/>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w:t>
      </w:r>
    </w:p>
    <w:p>
      <w:pPr>
        <w:pStyle w:val="TextBody"/>
        <w:spacing w:lineRule="auto" w:line="288" w:before="0" w:after="0"/>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of May 6, 2022, there were 17,245,449 shares of the registrant’s common stock, no par value,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667" w:type="dxa"/>
        <w:jc w:val="left"/>
        <w:tblInd w:w="0" w:type="dxa"/>
        <w:tblCellMar>
          <w:top w:w="28" w:type="dxa"/>
          <w:left w:w="28" w:type="dxa"/>
          <w:bottom w:w="28" w:type="dxa"/>
          <w:right w:w="28" w:type="dxa"/>
        </w:tblCellMar>
      </w:tblPr>
      <w:tblGrid>
        <w:gridCol w:w="337"/>
        <w:gridCol w:w="296"/>
        <w:gridCol w:w="297"/>
        <w:gridCol w:w="2454"/>
        <w:gridCol w:w="2454"/>
        <w:gridCol w:w="2457"/>
        <w:gridCol w:w="109"/>
        <w:gridCol w:w="109"/>
        <w:gridCol w:w="154"/>
      </w:tblGrid>
      <w:tr>
        <w:trPr/>
        <w:tc>
          <w:tcPr>
            <w:tcW w:w="3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3">
              <w:r>
                <w:rPr>
                  <w:rStyle w:val="InternetLink"/>
                  <w:rFonts w:ascii="Times New Roman;sans-serif" w:hAnsi="Times New Roman;sans-serif"/>
                  <w:b w:val="false"/>
                  <w:strike w:val="false"/>
                  <w:dstrike w:val="false"/>
                  <w:color w:val="000000"/>
                  <w:sz w:val="20"/>
                  <w:u w:val="none"/>
                  <w:effect w:val="none"/>
                </w:rPr>
                <w:t>PART I</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3">
              <w:r>
                <w:rPr>
                  <w:rStyle w:val="InternetLink"/>
                  <w:rFonts w:ascii="Times New Roman;sans-serif" w:hAnsi="Times New Roman;sans-serif"/>
                  <w:b w:val="false"/>
                  <w:color w:val="0000FF"/>
                  <w:sz w:val="20"/>
                  <w:u w:val="single"/>
                </w:rPr>
                <w:t>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3">
              <w:r>
                <w:rPr>
                  <w:rStyle w:val="InternetLink"/>
                  <w:rFonts w:ascii="Times New Roman;sans-serif" w:hAnsi="Times New Roman;sans-serif"/>
                  <w:b w:val="false"/>
                  <w:strike w:val="false"/>
                  <w:dstrike w:val="false"/>
                  <w:color w:val="000000"/>
                  <w:sz w:val="20"/>
                  <w:u w:val="none"/>
                  <w:effect w:val="none"/>
                </w:rPr>
                <w:t>5</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6">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6">
              <w:r>
                <w:rPr>
                  <w:rStyle w:val="InternetLink"/>
                  <w:rFonts w:ascii="Times New Roman;sans-serif" w:hAnsi="Times New Roman;sans-serif"/>
                  <w:b w:val="false"/>
                  <w:color w:val="0000FF"/>
                  <w:sz w:val="20"/>
                  <w:u w:val="single"/>
                </w:rPr>
                <w:t>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6">
              <w:r>
                <w:rPr>
                  <w:rStyle w:val="InternetLink"/>
                  <w:rFonts w:ascii="Times New Roman;sans-serif" w:hAnsi="Times New Roman;sans-serif"/>
                  <w:b w:val="false"/>
                  <w:strike w:val="false"/>
                  <w:dstrike w:val="false"/>
                  <w:color w:val="000000"/>
                  <w:sz w:val="20"/>
                  <w:u w:val="none"/>
                  <w:effect w:val="none"/>
                </w:rPr>
                <w:t>5</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9">
              <w:r>
                <w:rPr>
                  <w:rStyle w:val="InternetLink"/>
                </w:rPr>
                <w:t>Consolidated Balance Sheets</w:t>
              </w:r>
            </w:hyperlink>
            <w:hyperlink w:anchor="i996f15dd32d84690b9982a2725300141_19">
              <w:r>
                <w:rPr>
                  <w:rStyle w:val="InternetLink"/>
                </w:rPr>
                <w:t xml:space="preserve"> </w:t>
              </w:r>
            </w:hyperlink>
            <w:hyperlink w:anchor="i996f15dd32d84690b9982a2725300141_19">
              <w:r>
                <w:rPr>
                  <w:rStyle w:val="InternetLink"/>
                </w:rPr>
                <w:t>(unaudited)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9">
              <w:r>
                <w:rPr>
                  <w:rStyle w:val="InternetLink"/>
                  <w:rFonts w:ascii="Times New Roman;sans-serif" w:hAnsi="Times New Roman;sans-serif"/>
                  <w:b w:val="false"/>
                  <w:strike w:val="false"/>
                  <w:dstrike w:val="false"/>
                  <w:color w:val="000000"/>
                  <w:sz w:val="20"/>
                  <w:u w:val="none"/>
                  <w:effect w:val="none"/>
                </w:rPr>
                <w:t>5</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22">
              <w:r>
                <w:rPr>
                  <w:rStyle w:val="InternetLink"/>
                </w:rPr>
                <w:t>Consolidated Statements of Income</w:t>
              </w:r>
            </w:hyperlink>
            <w:hyperlink w:anchor="i996f15dd32d84690b9982a2725300141_22">
              <w:r>
                <w:rPr>
                  <w:rStyle w:val="InternetLink"/>
                </w:rPr>
                <w:t xml:space="preserve">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22">
              <w:r>
                <w:rPr>
                  <w:rStyle w:val="InternetLink"/>
                  <w:rFonts w:ascii="Times New Roman;sans-serif" w:hAnsi="Times New Roman;sans-serif"/>
                  <w:b w:val="false"/>
                  <w:strike w:val="false"/>
                  <w:dstrike w:val="false"/>
                  <w:color w:val="000000"/>
                  <w:sz w:val="20"/>
                  <w:u w:val="none"/>
                  <w:effect w:val="none"/>
                </w:rPr>
                <w:t>6</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25">
              <w:r>
                <w:rPr>
                  <w:rStyle w:val="InternetLink"/>
                </w:rPr>
                <w:t>Consolidated Statements of Comprehensive Income</w:t>
              </w:r>
            </w:hyperlink>
            <w:hyperlink w:anchor="i996f15dd32d84690b9982a2725300141_25">
              <w:r>
                <w:rPr>
                  <w:rStyle w:val="InternetLink"/>
                </w:rPr>
                <w:t xml:space="preserve">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25">
              <w:r>
                <w:rPr>
                  <w:rStyle w:val="InternetLink"/>
                  <w:rFonts w:ascii="Times New Roman;sans-serif" w:hAnsi="Times New Roman;sans-serif"/>
                  <w:b w:val="false"/>
                  <w:strike w:val="false"/>
                  <w:dstrike w:val="false"/>
                  <w:color w:val="000000"/>
                  <w:sz w:val="20"/>
                  <w:u w:val="none"/>
                  <w:effect w:val="none"/>
                </w:rPr>
                <w:t>7</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28">
              <w:r>
                <w:rPr>
                  <w:rStyle w:val="InternetLink"/>
                </w:rPr>
                <w:t>Consolidated Statements of Changes in Shareholders’ Equity</w:t>
              </w:r>
            </w:hyperlink>
            <w:hyperlink w:anchor="i996f15dd32d84690b9982a2725300141_28">
              <w:r>
                <w:rPr>
                  <w:rStyle w:val="InternetLink"/>
                </w:rPr>
                <w:t xml:space="preserve">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28">
              <w:r>
                <w:rPr>
                  <w:rStyle w:val="InternetLink"/>
                  <w:rFonts w:ascii="Times New Roman;sans-serif" w:hAnsi="Times New Roman;sans-serif"/>
                  <w:b w:val="false"/>
                  <w:strike w:val="false"/>
                  <w:dstrike w:val="false"/>
                  <w:color w:val="000000"/>
                  <w:sz w:val="20"/>
                  <w:u w:val="none"/>
                  <w:effect w:val="none"/>
                </w:rPr>
                <w:t>8</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31">
              <w:r>
                <w:rPr>
                  <w:rStyle w:val="InternetLink"/>
                </w:rPr>
                <w:t>Consolidated Statements of Cash Flows</w:t>
              </w:r>
            </w:hyperlink>
            <w:hyperlink w:anchor="i996f15dd32d84690b9982a2725300141_31">
              <w:r>
                <w:rPr>
                  <w:rStyle w:val="InternetLink"/>
                </w:rPr>
                <w:t xml:space="preserve">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31">
              <w:r>
                <w:rPr>
                  <w:rStyle w:val="InternetLink"/>
                  <w:rFonts w:ascii="Times New Roman;sans-serif" w:hAnsi="Times New Roman;sans-serif"/>
                  <w:b w:val="false"/>
                  <w:strike w:val="false"/>
                  <w:dstrike w:val="false"/>
                  <w:color w:val="000000"/>
                  <w:sz w:val="20"/>
                  <w:u w:val="none"/>
                  <w:effect w:val="none"/>
                </w:rPr>
                <w:t>9</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34">
              <w:r>
                <w:rPr>
                  <w:rStyle w:val="InternetLink"/>
                </w:rPr>
                <w:t>Notes to Consolidated Financial Statements</w:t>
              </w:r>
            </w:hyperlink>
            <w:hyperlink w:anchor="i996f15dd32d84690b9982a2725300141_34">
              <w:r>
                <w:rPr>
                  <w:rStyle w:val="InternetLink"/>
                </w:rPr>
                <w:t xml:space="preserve">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34">
              <w:r>
                <w:rPr>
                  <w:rStyle w:val="InternetLink"/>
                  <w:rFonts w:ascii="Times New Roman;sans-serif" w:hAnsi="Times New Roman;sans-serif"/>
                  <w:b w:val="false"/>
                  <w:strike w:val="false"/>
                  <w:dstrike w:val="false"/>
                  <w:color w:val="000000"/>
                  <w:sz w:val="20"/>
                  <w:u w:val="none"/>
                  <w:effect w:val="none"/>
                </w:rPr>
                <w:t>10</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76">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76">
              <w:r>
                <w:rPr>
                  <w:rStyle w:val="InternetLink"/>
                  <w:rFonts w:ascii="Times New Roman;sans-serif" w:hAnsi="Times New Roman;sans-serif"/>
                  <w:b w:val="false"/>
                  <w:strike w:val="false"/>
                  <w:dstrike w:val="false"/>
                  <w:color w:val="000000"/>
                  <w:sz w:val="20"/>
                  <w:u w:val="none"/>
                  <w:effect w:val="none"/>
                </w:rPr>
                <w:t>36</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57">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57">
              <w:r>
                <w:rPr>
                  <w:rStyle w:val="InternetLink"/>
                  <w:rFonts w:ascii="Times New Roman;sans-serif" w:hAnsi="Times New Roman;sans-serif"/>
                  <w:b w:val="false"/>
                  <w:color w:val="0000FF"/>
                  <w:sz w:val="20"/>
                  <w:u w:val="single"/>
                </w:rPr>
                <w:t>Quantitative and Qualitative Disclosure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57">
              <w:r>
                <w:rPr>
                  <w:rStyle w:val="InternetLink"/>
                  <w:rFonts w:ascii="Times New Roman;sans-serif" w:hAnsi="Times New Roman;sans-serif"/>
                  <w:b w:val="false"/>
                  <w:strike w:val="false"/>
                  <w:dstrike w:val="false"/>
                  <w:color w:val="000000"/>
                  <w:sz w:val="20"/>
                  <w:u w:val="none"/>
                  <w:effect w:val="none"/>
                </w:rPr>
                <w:t>70</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60">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60">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60">
              <w:r>
                <w:rPr>
                  <w:rStyle w:val="InternetLink"/>
                  <w:rFonts w:ascii="Times New Roman;sans-serif" w:hAnsi="Times New Roman;sans-serif"/>
                  <w:b w:val="false"/>
                  <w:strike w:val="false"/>
                  <w:dstrike w:val="false"/>
                  <w:color w:val="000000"/>
                  <w:sz w:val="20"/>
                  <w:u w:val="none"/>
                  <w:effect w:val="none"/>
                </w:rPr>
                <w:t>70</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63">
              <w:r>
                <w:rPr>
                  <w:rStyle w:val="InternetLink"/>
                  <w:rFonts w:ascii="Times New Roman;sans-serif" w:hAnsi="Times New Roman;sans-serif"/>
                  <w:b w:val="false"/>
                  <w:strike w:val="false"/>
                  <w:dstrike w:val="false"/>
                  <w:color w:val="000000"/>
                  <w:sz w:val="20"/>
                  <w:u w:val="none"/>
                  <w:effect w:val="none"/>
                </w:rPr>
                <w:t>PART II</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63">
              <w:r>
                <w:rPr>
                  <w:rStyle w:val="InternetLink"/>
                  <w:rFonts w:ascii="Times New Roman;sans-serif" w:hAnsi="Times New Roman;sans-serif"/>
                  <w:b w:val="false"/>
                  <w:color w:val="0000FF"/>
                  <w:sz w:val="20"/>
                  <w:u w:val="single"/>
                </w:rPr>
                <w:t>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63">
              <w:r>
                <w:rPr>
                  <w:rStyle w:val="InternetLink"/>
                  <w:rFonts w:ascii="Times New Roman;sans-serif" w:hAnsi="Times New Roman;sans-serif"/>
                  <w:b w:val="false"/>
                  <w:strike w:val="false"/>
                  <w:dstrike w:val="false"/>
                  <w:color w:val="000000"/>
                  <w:sz w:val="20"/>
                  <w:u w:val="none"/>
                  <w:effect w:val="none"/>
                </w:rPr>
                <w:t>71</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66">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66">
              <w:r>
                <w:rPr>
                  <w:rStyle w:val="InternetLink"/>
                  <w:rFonts w:ascii="Times New Roman;sans-serif" w:hAnsi="Times New Roman;sans-serif"/>
                  <w:b w:val="false"/>
                  <w:color w:val="0000FF"/>
                  <w:sz w:val="20"/>
                  <w:u w:val="single"/>
                </w:rPr>
                <w:t>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66">
              <w:r>
                <w:rPr>
                  <w:rStyle w:val="InternetLink"/>
                  <w:rFonts w:ascii="Times New Roman;sans-serif" w:hAnsi="Times New Roman;sans-serif"/>
                  <w:b w:val="false"/>
                  <w:strike w:val="false"/>
                  <w:dstrike w:val="false"/>
                  <w:color w:val="000000"/>
                  <w:sz w:val="20"/>
                  <w:u w:val="none"/>
                  <w:effect w:val="none"/>
                </w:rPr>
                <w:t>71</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69">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69">
              <w:r>
                <w:rPr>
                  <w:rStyle w:val="InternetLink"/>
                  <w:rFonts w:ascii="Times New Roman;sans-serif" w:hAnsi="Times New Roman;sans-serif"/>
                  <w:b w:val="false"/>
                  <w:color w:val="0000FF"/>
                  <w:sz w:val="20"/>
                  <w:u w:val="single"/>
                </w:rPr>
                <w:t>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69">
              <w:r>
                <w:rPr>
                  <w:rStyle w:val="InternetLink"/>
                  <w:rFonts w:ascii="Times New Roman;sans-serif" w:hAnsi="Times New Roman;sans-serif"/>
                  <w:b w:val="false"/>
                  <w:strike w:val="false"/>
                  <w:dstrike w:val="false"/>
                  <w:color w:val="000000"/>
                  <w:sz w:val="20"/>
                  <w:u w:val="none"/>
                  <w:effect w:val="none"/>
                </w:rPr>
                <w:t>71</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72">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72">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72">
              <w:r>
                <w:rPr>
                  <w:rStyle w:val="InternetLink"/>
                  <w:rFonts w:ascii="Times New Roman;sans-serif" w:hAnsi="Times New Roman;sans-serif"/>
                  <w:b w:val="false"/>
                  <w:strike w:val="false"/>
                  <w:dstrike w:val="false"/>
                  <w:color w:val="000000"/>
                  <w:sz w:val="20"/>
                  <w:u w:val="none"/>
                  <w:effect w:val="none"/>
                </w:rPr>
                <w:t>71</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75">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75">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75">
              <w:r>
                <w:rPr>
                  <w:rStyle w:val="InternetLink"/>
                  <w:rFonts w:ascii="Times New Roman;sans-serif" w:hAnsi="Times New Roman;sans-serif"/>
                  <w:b w:val="false"/>
                  <w:strike w:val="false"/>
                  <w:dstrike w:val="false"/>
                  <w:color w:val="000000"/>
                  <w:sz w:val="20"/>
                  <w:u w:val="none"/>
                  <w:effect w:val="none"/>
                </w:rPr>
                <w:t>71</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78">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78">
              <w:r>
                <w:rPr>
                  <w:rStyle w:val="InternetLink"/>
                  <w:rFonts w:ascii="Times New Roman;sans-serif" w:hAnsi="Times New Roman;sans-serif"/>
                  <w:b w:val="false"/>
                  <w:color w:val="0000FF"/>
                  <w:sz w:val="20"/>
                  <w:u w:val="single"/>
                </w:rPr>
                <w:t>Mine Safety Disclosures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78">
              <w:r>
                <w:rPr>
                  <w:rStyle w:val="InternetLink"/>
                  <w:rFonts w:ascii="Times New Roman;sans-serif" w:hAnsi="Times New Roman;sans-serif"/>
                  <w:b w:val="false"/>
                  <w:strike w:val="false"/>
                  <w:dstrike w:val="false"/>
                  <w:color w:val="000000"/>
                  <w:sz w:val="20"/>
                  <w:u w:val="none"/>
                  <w:effect w:val="none"/>
                </w:rPr>
                <w:t>71</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81">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81">
              <w:r>
                <w:rPr>
                  <w:rStyle w:val="InternetLink"/>
                  <w:rFonts w:ascii="Times New Roman;sans-serif" w:hAnsi="Times New Roman;sans-serif"/>
                  <w:b w:val="false"/>
                  <w:color w:val="0000FF"/>
                  <w:sz w:val="20"/>
                  <w:u w:val="single"/>
                </w:rPr>
                <w:t>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81">
              <w:r>
                <w:rPr>
                  <w:rStyle w:val="InternetLink"/>
                  <w:rFonts w:ascii="Times New Roman;sans-serif" w:hAnsi="Times New Roman;sans-serif"/>
                  <w:b w:val="false"/>
                  <w:strike w:val="false"/>
                  <w:dstrike w:val="false"/>
                  <w:color w:val="000000"/>
                  <w:sz w:val="20"/>
                  <w:u w:val="none"/>
                  <w:effect w:val="none"/>
                </w:rPr>
                <w:t>71</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84">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84">
              <w:r>
                <w:rPr>
                  <w:rStyle w:val="InternetLink"/>
                  <w:rFonts w:ascii="Times New Roman;sans-serif" w:hAnsi="Times New Roman;sans-serif"/>
                  <w:b w:val="false"/>
                  <w:color w:val="0000FF"/>
                  <w:sz w:val="20"/>
                  <w:u w:val="single"/>
                </w:rPr>
                <w:t>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84">
              <w:r>
                <w:rPr>
                  <w:rStyle w:val="InternetLink"/>
                  <w:rFonts w:ascii="Times New Roman;sans-serif" w:hAnsi="Times New Roman;sans-serif"/>
                  <w:b w:val="false"/>
                  <w:strike w:val="false"/>
                  <w:dstrike w:val="false"/>
                  <w:color w:val="000000"/>
                  <w:sz w:val="20"/>
                  <w:u w:val="none"/>
                  <w:effect w:val="none"/>
                </w:rPr>
                <w:t>72</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95" w:type="dxa"/>
            <w:gridSpan w:val="6"/>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96f15dd32d84690b9982a2725300141_187">
              <w:r>
                <w:rPr>
                  <w:rStyle w:val="InternetLink"/>
                  <w:rFonts w:ascii="Times New Roman;sans-serif" w:hAnsi="Times New Roman;sans-serif"/>
                  <w:b w:val="false"/>
                  <w:color w:val="0000FF"/>
                  <w:sz w:val="20"/>
                  <w:u w:val="single"/>
                </w:rPr>
                <w:t>SIGNATURES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96f15dd32d84690b9982a2725300141_187">
              <w:r>
                <w:rPr>
                  <w:rStyle w:val="InternetLink"/>
                  <w:rFonts w:ascii="Times New Roman;sans-serif" w:hAnsi="Times New Roman;sans-serif"/>
                  <w:b w:val="false"/>
                  <w:strike w:val="false"/>
                  <w:dstrike w:val="false"/>
                  <w:color w:val="000000"/>
                  <w:sz w:val="20"/>
                  <w:u w:val="none"/>
                  <w:effect w:val="none"/>
                </w:rPr>
                <w:t>73</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uncertain market conditions and economic trends nationally, regionally, and particularly in Northern California and California, including as a result of the coronavirus, and variants thereof;</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risks related to the concentration of our business in California, and specifically within Northern California, including risks associated with any downturn in the real estate sector;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occurrence or impact of climate change or natural or man-made disasters or calamities, such as wildfires, droughts, and earthquakes;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risks related to the impact of the COVID-19 pandemic on our business and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market interest rates that affect the pricing of our loans and deposits and our net interest income;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risks related to our strategic focus on lending to small to medium-sized businesses;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sufficiency of the assumptions and estimates we make in establishing reserves for potential loan losses and the value of loan collateral and securities;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attract and retain executive officers and key employees and their customer and community relationships;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risks associated with our loan portfolios, and specifically with our commercial real estate loans;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level of nonperforming assets and the costs associated with resolving problem loans, if any, and complying with government-imposed foreclosure moratoriums;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maintain adequate liquidity and to maintain capital necessary to fund our growth strategy and operations and to satisfy minimum regulatory capital levels;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effects of increased competition from a wide variety of local, regional, national, and other providers of financial and investment services;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risks associated with unauthorized access, cyber-crime, and other threats to data security;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comply with various governmental and regulatory requirements applicable to financial institutions, including supervisory actions by federal and state banking agencies;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impact of recent and future legislative and regulatory changes, including changes in banking, securities, and tax laws and regulations and their application by our regulators, and economic stimulus programs;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governmental monetary and fiscal policies, including the policies of the Board of Governors of the Federal Reserve System (the "Federal Reserve");</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changes in the U.S. economy, including an economic slowdown, inflation, deflation, housing prices, employment levels, rate of growth, and general business conditions;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our ability to implement, maintain, and improve effective internal controls;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factors that are discussed in the sections entitled “Management’s Discussion and Analysis of Financial Condition and Results of Operations” and “Risk Factors.”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considered exhaustive and should be read together with other cautionary statements that are included in this report, including those discussed in the section entitled “Risk Factors.” Additional factors that could cause results or performance to materially differ from those expressed in our forward-looking statements are detailed in the section entitled “Risk Factors” of our Annual Report on Form 10-K for the year ended December 31, 2021, and other filings we may make with the Securities and Exchange Commission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FIVE STAR BANCORP AND SUBSIDIARY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 2022 and December 31, 2021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left"/>
        <w:tblInd w:w="0" w:type="dxa"/>
        <w:tblCellMar>
          <w:top w:w="28" w:type="dxa"/>
          <w:left w:w="28" w:type="dxa"/>
          <w:bottom w:w="28" w:type="dxa"/>
          <w:right w:w="28" w:type="dxa"/>
        </w:tblCellMar>
      </w:tblPr>
      <w:tblGrid>
        <w:gridCol w:w="2966"/>
        <w:gridCol w:w="2245"/>
        <w:gridCol w:w="2269"/>
        <w:gridCol w:w="196"/>
        <w:gridCol w:w="871"/>
        <w:gridCol w:w="109"/>
        <w:gridCol w:w="109"/>
        <w:gridCol w:w="109"/>
        <w:gridCol w:w="109"/>
        <w:gridCol w:w="196"/>
        <w:gridCol w:w="871"/>
        <w:gridCol w:w="155"/>
      </w:tblGrid>
      <w:tr>
        <w:trPr/>
        <w:tc>
          <w:tcPr>
            <w:tcW w:w="2966"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22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w:t>
              <w:br/>
              <w:t>2021</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due from financial institutions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deposits in banks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 deposits in banks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available-for-sale, at fair value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148,807 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held-to-maturity, at amortized cost (fair value of $4,459 and $5,197 at March 31, 2022 and December 31, 2021,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10,671 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investment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1,934,460 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loan losses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Loans held for investment, net of allowance for loan losses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1,911,217 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Home Loan Bank of San Francisco (“FHLB”) stock</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 right-of-use asset ("ROUA")</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Premises and equipment,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Bank-owned life insurance ("BOLI"),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receivable and other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2,778,249 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2,556,761 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902,118 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1,383,772 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deposits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2,503,092 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2,285,890 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Subordinated notes,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payable and other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2,547,188 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2,321,715 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11)</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no par value; 10,000,000 shares authorized; zero issued and outstanding at March 31, 2022 and December 31, 2021</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no par value; 100,000,000 shares authorized; 17,246,199 shares issued and outstanding at March 31, 2022; 17,224,848 shares issued and outstanding at December 31, 2021</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235,046 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2,778,249 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2,556,761 </w:t>
            </w:r>
          </w:p>
        </w:tc>
        <w:tc>
          <w:tcPr>
            <w:tcW w:w="1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FIVE STAR BANCORP AND SUBSIDIARY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tbl>
      <w:tblPr>
        <w:tblW w:w="7284" w:type="dxa"/>
        <w:jc w:val="left"/>
        <w:tblInd w:w="0" w:type="dxa"/>
        <w:tblCellMar>
          <w:top w:w="28" w:type="dxa"/>
          <w:left w:w="28" w:type="dxa"/>
          <w:bottom w:w="28" w:type="dxa"/>
          <w:right w:w="28" w:type="dxa"/>
        </w:tblCellMar>
      </w:tblPr>
      <w:tblGrid>
        <w:gridCol w:w="1749"/>
        <w:gridCol w:w="1533"/>
        <w:gridCol w:w="1548"/>
        <w:gridCol w:w="211"/>
        <w:gridCol w:w="721"/>
        <w:gridCol w:w="109"/>
        <w:gridCol w:w="109"/>
        <w:gridCol w:w="109"/>
        <w:gridCol w:w="109"/>
        <w:gridCol w:w="211"/>
        <w:gridCol w:w="721"/>
        <w:gridCol w:w="154"/>
      </w:tblGrid>
      <w:tr>
        <w:trPr/>
        <w:tc>
          <w:tcPr>
            <w:tcW w:w="1749"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Three Months Ended</w:t>
              <w:br/>
              <w:t>March 31,</w:t>
            </w:r>
          </w:p>
        </w:tc>
      </w:tr>
      <w:tr>
        <w:trPr/>
        <w:tc>
          <w:tcPr>
            <w:tcW w:w="4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2021</w:t>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and fee income</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Loans, including fees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Taxable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Nontaxable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Interest-bearing deposits in other banks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22,850 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19,190 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Subordinated notes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interest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loan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interest income after provision for loan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Non-interest income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 charges on deposit accounts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gain on sale of securities available-for-sale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sale of loans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Loan-related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FHLB stock dividends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Earnings on BOLI</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Non-interest expense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Salaries and employee benefits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Occupancy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Data processing and software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Federal Deposit Insurance Corporation ("FDIC") insurance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Professional services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Advertising and promotional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Loan-related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9,575 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8,804 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provision for income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 earnings per share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 earnings per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FIVE STAR BANCORP AND SUBSIDIARY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678" w:type="dxa"/>
        <w:jc w:val="left"/>
        <w:tblInd w:w="0" w:type="dxa"/>
        <w:tblCellMar>
          <w:top w:w="28" w:type="dxa"/>
          <w:left w:w="28" w:type="dxa"/>
          <w:bottom w:w="28" w:type="dxa"/>
          <w:right w:w="28" w:type="dxa"/>
        </w:tblCellMar>
      </w:tblPr>
      <w:tblGrid>
        <w:gridCol w:w="2290"/>
        <w:gridCol w:w="2009"/>
        <w:gridCol w:w="2030"/>
        <w:gridCol w:w="211"/>
        <w:gridCol w:w="616"/>
        <w:gridCol w:w="109"/>
        <w:gridCol w:w="109"/>
        <w:gridCol w:w="109"/>
        <w:gridCol w:w="109"/>
        <w:gridCol w:w="211"/>
        <w:gridCol w:w="721"/>
        <w:gridCol w:w="154"/>
      </w:tblGrid>
      <w:tr>
        <w:trPr/>
        <w:tc>
          <w:tcPr>
            <w:tcW w:w="2290"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r>
      <w:tr>
        <w:trPr/>
        <w:tc>
          <w:tcPr>
            <w:tcW w:w="6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holding loss on securities available-for-sale during the period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net realized gains included in net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other comprehensive loss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FIVE STAR BANCORP AND SUBSIDIARY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 and 2021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10205" w:type="dxa"/>
        <w:jc w:val="left"/>
        <w:tblInd w:w="0" w:type="dxa"/>
        <w:tblCellMar>
          <w:top w:w="28" w:type="dxa"/>
          <w:left w:w="28" w:type="dxa"/>
          <w:bottom w:w="28" w:type="dxa"/>
          <w:right w:w="28" w:type="dxa"/>
        </w:tblCellMar>
      </w:tblPr>
      <w:tblGrid>
        <w:gridCol w:w="1189"/>
        <w:gridCol w:w="653"/>
        <w:gridCol w:w="659"/>
        <w:gridCol w:w="109"/>
        <w:gridCol w:w="109"/>
        <w:gridCol w:w="109"/>
        <w:gridCol w:w="540"/>
        <w:gridCol w:w="541"/>
        <w:gridCol w:w="215"/>
        <w:gridCol w:w="109"/>
        <w:gridCol w:w="109"/>
        <w:gridCol w:w="109"/>
        <w:gridCol w:w="211"/>
        <w:gridCol w:w="826"/>
        <w:gridCol w:w="109"/>
        <w:gridCol w:w="109"/>
        <w:gridCol w:w="109"/>
        <w:gridCol w:w="109"/>
        <w:gridCol w:w="211"/>
        <w:gridCol w:w="721"/>
        <w:gridCol w:w="109"/>
        <w:gridCol w:w="109"/>
        <w:gridCol w:w="109"/>
        <w:gridCol w:w="109"/>
        <w:gridCol w:w="308"/>
        <w:gridCol w:w="924"/>
        <w:gridCol w:w="160"/>
        <w:gridCol w:w="109"/>
        <w:gridCol w:w="109"/>
        <w:gridCol w:w="109"/>
        <w:gridCol w:w="211"/>
        <w:gridCol w:w="826"/>
        <w:gridCol w:w="157"/>
      </w:tblGrid>
      <w:tr>
        <w:trPr/>
        <w:tc>
          <w:tcPr>
            <w:tcW w:w="118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Retained </w:t>
              <w:br/>
              <w:t xml:space="preserve">Earnings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w:t>
              <w:br/>
              <w:t xml:space="preserve">Other </w:t>
              <w:br/>
              <w:t xml:space="preserve">Comprehensive </w:t>
              <w:br/>
              <w:t xml:space="preserve">Income (Loss), </w:t>
              <w:br/>
              <w:t xml:space="preserve">Net of Taxes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r>
      <w:tr>
        <w:trPr/>
        <w:tc>
          <w:tcPr>
            <w:tcW w:w="2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Shares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11,000,273 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133,775 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stock award plans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forfeitures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 ($1.00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11,007,005 </w:t>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131,377 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17,224,848 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235,046 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stock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stock award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22,201 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forfeitures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adoption of ASC 842 on retained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 ($0.60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17,246,199 </w:t>
            </w:r>
          </w:p>
        </w:tc>
        <w:tc>
          <w:tcPr>
            <w:tcW w:w="2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218,721 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231,061 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FIVE STAR BANCORP AND SUBSIDIARY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 and 2021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9387" w:type="dxa"/>
        <w:jc w:val="left"/>
        <w:tblInd w:w="0" w:type="dxa"/>
        <w:tblCellMar>
          <w:top w:w="28" w:type="dxa"/>
          <w:left w:w="28" w:type="dxa"/>
          <w:bottom w:w="28" w:type="dxa"/>
          <w:right w:w="28" w:type="dxa"/>
        </w:tblCellMar>
      </w:tblPr>
      <w:tblGrid>
        <w:gridCol w:w="2429"/>
        <w:gridCol w:w="2138"/>
        <w:gridCol w:w="2152"/>
        <w:gridCol w:w="211"/>
        <w:gridCol w:w="828"/>
        <w:gridCol w:w="109"/>
        <w:gridCol w:w="109"/>
        <w:gridCol w:w="109"/>
        <w:gridCol w:w="109"/>
        <w:gridCol w:w="211"/>
        <w:gridCol w:w="828"/>
        <w:gridCol w:w="154"/>
      </w:tblGrid>
      <w:tr>
        <w:trPr/>
        <w:tc>
          <w:tcPr>
            <w:tcW w:w="2429" w:type="dxa"/>
            <w:tcBorders/>
            <w:shd w:fill="auto" w:val="clear"/>
            <w:vAlign w:val="center"/>
          </w:tcPr>
          <w:p>
            <w:pPr>
              <w:pStyle w:val="TableContents"/>
              <w:spacing w:before="0" w:after="283"/>
              <w:rPr>
                <w:sz w:val="4"/>
                <w:szCs w:val="4"/>
              </w:rPr>
            </w:pPr>
            <w:r>
              <w:rPr>
                <w:sz w:val="4"/>
                <w:szCs w:val="4"/>
              </w:rPr>
            </w:r>
          </w:p>
        </w:tc>
        <w:tc>
          <w:tcPr>
            <w:tcW w:w="2138"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Three months ended March 31,</w:t>
            </w:r>
          </w:p>
        </w:tc>
      </w:tr>
      <w:tr>
        <w:trPr/>
        <w:tc>
          <w:tcPr>
            <w:tcW w:w="6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2021</w:t>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114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provided by operating activities:</w:t>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loan losses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Loans originated for sale</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sale of loans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loans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gain on sale of securities available-for-sale</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Earnings on BOLI</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 compensation expense</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 stock compensation expense</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deferred loan fees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and accretion of security premiums and discounts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subordinated notes issuance costs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Decrease in operating lease liability</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operating lease ROUA</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taxes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changes in:</w:t>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receivable and other assets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payable and other liabilities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8,601 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114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securities available-for-sale</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Maturities, prepayments, and calls of securities available-for-sale</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securities available-for-sale</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Increase in time deposits in banks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Loan originations, net of repayments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(134,951)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premises and equipment</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BOLI</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(133,513)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(52,608)</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1148"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 in deposits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199,109 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dividends paid</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financing activities</w:t>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209,662 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188,106 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 in cash and cash equivalents</w:t>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79,635 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144,099 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at beginning of period</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290,493 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at end of period</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504,964 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434,592 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cash flow information:</w:t>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paid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noncash investing and financing activities:</w:t>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Transfer from loans held for investment to loans held for sale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Unrealized (loss) gain on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recorded in conjunction with adoption of ASC 842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ROUA recorded in conjunction with adoption of ASC 842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Cumulative effect of adoption of ASC 842 on retained earnings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Basis of Presentation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Nature of Operations and Principles of Consolidation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Five Star Bank (the “Bank”) was chartered on October 26, 1999 and began operations on December 20, 1999. Five Star Bancorp (“Bancorp” or the “Company”) was incorporated on September 16, 2002 and subsequently obtained approval from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 and two loan production offices in Santa Rosa and Sacramento.</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terminated its status as a Subchapter S corporation as of May 5, 2021, in connection with the Company’s Initial Public Offering (“IPO”) and became a taxable C Corporation. Prior to that date, as an S Corporation, the Company had no U.S. federal income tax expense.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9, 2021, the Company publicly filed a Registration Statement on Form S-1 with the SEC in connection with its IPO (the “Registration Statement”), which was subsequently amended on April 26, 2021 and May 3, 2021. The Registration Statement was declared effective by the SEC on May 4, 2021. In connection with the IPO, the Company issued 6,054,750 shares of common stock, no par value, which included 789,750 shares sold pursuant to the underwriters’ exercise of their option to purchase additional shares. The securities were sold to the public at a price of $20.00 per share and began trading on the Nasdaq Global Select Market on May 5, 2021. On May 7, 2021, the closing date of the IPO, the Company received total net proceeds of $111.2 million. The net proceeds less other related expenses, including audit fees, legal fees, listing fees, and other expenses, totaled $109.1 million.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Financial Statement Presentation and Consolidation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accounting principles generally accepted in the United States of America (“GAAP”) as contained within the Financial Accounting Standards Board’s (“FASB”) Accounting Standards Codification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2021, and the notes thereto, as filed in the Company’s Annual Report on Form 10-K, which was filed with the SEC on February 25,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consolidated financial statements include Five Star Bancorp and its wholly owned subsidiary, Five Star Bank. All significant intercompany transactions and balances are eliminated in consolidation.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months ended March 31, 2022 are not necessarily indicative of the results of operations that may be expected for any other interim period or for the year ending December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accounting and reporting policies conform to GAAP and to general practices within the banking industry.</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qualifies as an emerging growth company as defined in the Jumpstart Our Business Startups Act of 2012, and, as such, may take advantage of specified reduced reporting requirements and deferred accounting standards adoption dates, and is relieved of other significant requirements that are otherwise generally applicable to other public companies.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unaudited consolidated financial statements and the disclosures provided, and actual results could differ. The allowance for loan losses is the most significant accounting estimate reflected in the Company’s consolidated financial statements.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Per Share (“EPS”)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 </w:t>
      </w:r>
    </w:p>
    <w:tbl>
      <w:tblPr>
        <w:tblW w:w="7969" w:type="dxa"/>
        <w:jc w:val="left"/>
        <w:tblInd w:w="0" w:type="dxa"/>
        <w:tblCellMar>
          <w:top w:w="28" w:type="dxa"/>
          <w:left w:w="28" w:type="dxa"/>
          <w:bottom w:w="28" w:type="dxa"/>
          <w:right w:w="28" w:type="dxa"/>
        </w:tblCellMar>
      </w:tblPr>
      <w:tblGrid>
        <w:gridCol w:w="1771"/>
        <w:gridCol w:w="1554"/>
        <w:gridCol w:w="1565"/>
        <w:gridCol w:w="109"/>
        <w:gridCol w:w="109"/>
        <w:gridCol w:w="109"/>
        <w:gridCol w:w="275"/>
        <w:gridCol w:w="806"/>
        <w:gridCol w:w="109"/>
        <w:gridCol w:w="109"/>
        <w:gridCol w:w="109"/>
        <w:gridCol w:w="109"/>
        <w:gridCol w:w="244"/>
        <w:gridCol w:w="837"/>
        <w:gridCol w:w="154"/>
      </w:tblGrid>
      <w:tr>
        <w:trPr/>
        <w:tc>
          <w:tcPr>
            <w:tcW w:w="1771"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r>
      <w:tr>
        <w:trPr/>
        <w:tc>
          <w:tcPr>
            <w:tcW w:w="4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2021</w:t>
            </w:r>
          </w:p>
        </w:tc>
      </w:tr>
      <w:tr>
        <w:trPr/>
        <w:tc>
          <w:tcPr>
            <w:tcW w:w="48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17,102,508 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10,998,041 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Dilutive effects of assumed vesting of restricted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17,164,519 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10,998,041 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and 2021, there were no outstanding stock options. Anti-dilutive shares, which are excluded from the dilutive EPS calculation, were deemed to be immaterial.</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2021, pro forma EPS is calculated by applying a C Corporation effective tax rate of 29.56% to net income before provision for income taxes and using the determined pro forma net income balance to calculate EPS. For the three months ended March 31, 2022, pro forma EPS is actual EPS given that the Company was a C Corporation for the entire three-month period. The following reconciliation table provides a detailed calculation of pro forma EPS:</w:t>
      </w:r>
    </w:p>
    <w:tbl>
      <w:tblPr>
        <w:tblW w:w="7969" w:type="dxa"/>
        <w:jc w:val="left"/>
        <w:tblInd w:w="0" w:type="dxa"/>
        <w:tblCellMar>
          <w:top w:w="28" w:type="dxa"/>
          <w:left w:w="28" w:type="dxa"/>
          <w:bottom w:w="28" w:type="dxa"/>
          <w:right w:w="28" w:type="dxa"/>
        </w:tblCellMar>
      </w:tblPr>
      <w:tblGrid>
        <w:gridCol w:w="1771"/>
        <w:gridCol w:w="1554"/>
        <w:gridCol w:w="1565"/>
        <w:gridCol w:w="109"/>
        <w:gridCol w:w="109"/>
        <w:gridCol w:w="109"/>
        <w:gridCol w:w="244"/>
        <w:gridCol w:w="837"/>
        <w:gridCol w:w="109"/>
        <w:gridCol w:w="109"/>
        <w:gridCol w:w="109"/>
        <w:gridCol w:w="109"/>
        <w:gridCol w:w="244"/>
        <w:gridCol w:w="837"/>
        <w:gridCol w:w="154"/>
      </w:tblGrid>
      <w:tr>
        <w:trPr/>
        <w:tc>
          <w:tcPr>
            <w:tcW w:w="1771"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r>
      <w:tr>
        <w:trPr/>
        <w:tc>
          <w:tcPr>
            <w:tcW w:w="4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2021</w:t>
            </w:r>
          </w:p>
        </w:tc>
      </w:tr>
      <w:tr>
        <w:trPr/>
        <w:tc>
          <w:tcPr>
            <w:tcW w:w="48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provision for income taxes - GAAP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Actual/pro forma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Actual/pro forma 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17,102,508 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10,998,041 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Dilutive effects of assumed vesting of restricted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17,164,519 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10,998,041 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 (actual/pro forma)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 (actual/pro forma)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reported in previous consolidated financial statements have been reclassified to conform to current period presentation. These reclassifications did not affect previously reported amounts of net income, total assets, or total shareholders’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Recently Issued Accounting Standards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reflect recent accounting standards that are pending adoption by the Company. As discussed in Note 1, Basis of Presentation,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reflect effective dates for the Company as an emerging growth company with the extended transition period.</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Adopted</w:t>
      </w:r>
    </w:p>
    <w:p>
      <w:pPr>
        <w:pStyle w:val="TextBody"/>
        <w:spacing w:lineRule="auto" w:line="288" w:before="240" w:after="283"/>
        <w:jc w:val="both"/>
        <w:rPr/>
      </w:pPr>
      <w:r>
        <w:rPr>
          <w:rFonts w:ascii="Times New Roman;sans-serif" w:hAnsi="Times New Roman;sans-serif"/>
          <w:b w:val="false"/>
          <w:color w:val="000000"/>
          <w:sz w:val="20"/>
        </w:rPr>
        <w:t xml:space="preserve">In February 2016, the FASB issued ASU No. 2016-02, </w:t>
      </w:r>
      <w:r>
        <w:rPr>
          <w:rFonts w:ascii="Times New Roman;sans-serif" w:hAnsi="Times New Roman;sans-serif"/>
          <w:b w:val="false"/>
          <w:i/>
          <w:color w:val="000000"/>
          <w:sz w:val="20"/>
        </w:rPr>
        <w:t>Leases (Topic 842)</w:t>
      </w:r>
      <w:r>
        <w:rPr>
          <w:rFonts w:ascii="Times New Roman;sans-serif" w:hAnsi="Times New Roman;sans-serif"/>
          <w:b w:val="false"/>
          <w:color w:val="000000"/>
          <w:sz w:val="20"/>
        </w:rPr>
        <w:t>. ASU 2016-02, which, among other things, requires lessees to recognize most leases on the balance sheet, thus increasing reported assets and liabilities. Lessor accounting remains substantially similar to historical GAAP. The FASB has issued incremental guidance to Topic 842 standard through ASU No. 2018-10, 2018-11, and 2021-05. The Company has elected to use the transition relief approach as provided in ASU 2018-11, which permits the Company to use January 1, 2022 as both the application date and the adoption date, rather than the modified retrospective approach. The Company also elected certain relief options offered within the new standard, which include the package of practical expedients, the option not to recognize an ROUA and lease liability that arise from short-term leases (i.e., leases with terms of 12 months or less), and the option of hindsight when determining lease term. Substantially all of the Company’s lease agreements are considered operating leases and were not previously recognized on the Company’s balance sheets. As of January 1, 2022, the Company recorded an ROUA and corresponding lease liability for all applicable operating leases. While the guidance increased the Company’s gross assets and liabilities, the adoption of ASU 2016-02 did not have a material impact on the consolidated statements of income or the consolidated statements of cash flows. See Note 11, Commitments and Contingencies, for more information.</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pPr>
      <w:r>
        <w:rPr>
          <w:rFonts w:ascii="Times New Roman;sans-serif" w:hAnsi="Times New Roman;sans-serif"/>
          <w:b w:val="false"/>
          <w:color w:val="000000"/>
          <w:sz w:val="20"/>
        </w:rPr>
        <w:t xml:space="preserve">In August 2017, the FASB issued ASU No. 2017-12, </w:t>
      </w:r>
      <w:r>
        <w:rPr>
          <w:rFonts w:ascii="Times New Roman;sans-serif" w:hAnsi="Times New Roman;sans-serif"/>
          <w:b w:val="false"/>
          <w:i/>
          <w:color w:val="000000"/>
          <w:sz w:val="20"/>
        </w:rPr>
        <w:t xml:space="preserve">Derivatives and Hedging (Topic 815): Targeted Improvements to Accounting for Hedging Activities. </w:t>
      </w:r>
      <w:r>
        <w:rPr>
          <w:rFonts w:ascii="Times New Roman;sans-serif" w:hAnsi="Times New Roman;sans-serif"/>
          <w:b w:val="false"/>
          <w:color w:val="000000"/>
          <w:sz w:val="20"/>
        </w:rPr>
        <w:t>The primary objective of the amendments in this update is to simplify the application of hedge accounting. More specifically, the amendments in this update better align an entity’s risk management activities and financial reporting for hedging relationships through changes to both the designation and measurement guidance for qualifying hedging relationships and the presentation of hedge results. Furthermore, the amendments expand and refine hedge accounting for both nonfinancial and financial risk components and align the recognition and presentation of the effects of the hedging instrument and the hedged item in the financial statements. Additionally, amendments in this update require an entity to present the earnings effect of the hedging instrument in the same income statement line item in which the earnings effect of the hedged item is reported. Hedge ineffectiveness is no longer separately measured and reported. The amendments in this update were effective for the Company beginning on January 1, 2022. The impact of adopting this ASU was immaterial to the Company’s consolidated financial statements.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Not Yet Adopted</w:t>
      </w:r>
    </w:p>
    <w:p>
      <w:pPr>
        <w:pStyle w:val="TextBody"/>
        <w:spacing w:lineRule="auto" w:line="288" w:before="240" w:after="283"/>
        <w:jc w:val="both"/>
        <w:rPr/>
      </w:pPr>
      <w:r>
        <w:rPr>
          <w:rFonts w:ascii="Times New Roman;sans-serif" w:hAnsi="Times New Roman;sans-serif"/>
          <w:b w:val="false"/>
          <w:color w:val="000000"/>
          <w:sz w:val="20"/>
        </w:rPr>
        <w:t xml:space="preserve">In June 2016, the FASB issued ASU No. 2016-13, </w:t>
      </w:r>
      <w:r>
        <w:rPr>
          <w:rFonts w:ascii="Times New Roman;sans-serif" w:hAnsi="Times New Roman;sans-serif"/>
          <w:b w:val="false"/>
          <w:i/>
          <w:color w:val="000000"/>
          <w:sz w:val="20"/>
        </w:rPr>
        <w:t>Financial Instruments - Credit Losses (Topic 326): Measurement of Credit Losses on Financial Instruments</w:t>
      </w:r>
      <w:r>
        <w:rPr>
          <w:rFonts w:ascii="Times New Roman;sans-serif" w:hAnsi="Times New Roman;sans-serif"/>
          <w:b w:val="false"/>
          <w:color w:val="000000"/>
          <w:sz w:val="20"/>
        </w:rPr>
        <w:t>. The standard will replace the “incurred loss” model with a “current expected credit loss” (“CECL”) model. The CECL model will apply to estimated credit losses on loans receivable, held-to-maturity debt securities, unfunded loan commitments, and certain other financial assets measured at amortized cost. The CECL model is based on lifetime expected losses, rather than incurred losses, and requires the recognition of credit loss expense in the consolidated statement of income and a related allowance for credit losses on the consolidated statement of condition at the time of origination or purchase of a loan receivable or held-to-maturity debt security. Likewise, subsequent changes in this estimate are recorded through credit loss expense and related allowance. The CECL model requires the use of not only relevant historical experience and current conditions, but reasonable and supportable forecasts of future events and circumstances, incorporating a broad range of information in developing credit loss estimates, which could result in significant changes to both the timing and amount of credit loss expense and allowance. Under ASU 2016-13, available-for-sale debt securities are evaluated for impairment if fair value is less than amortized cost. Estimated credit losses are recorded through a credit loss expense and an allowance, rather than a write-down of the investment. Changes in fair value that are not credit-related will continue to be recorded in other comprehensive income. The ASU also expands the disclosure requirements regarding assumptions, models, and methods for estimating the allowance for loan losses. In addition, entities will need to disclose the amortized cost balance for each class of financial asset by credit quality indicator, disaggregated by the year of origination. In March 2022, the FASB issued ASU No. 2022-02, which eliminates the recognition and measurement guidance on troubled debt restructurings and requires enhanced disclosures about loan modifications for borrowers experiencing financial difficulties. ASU 2016-13, and subsequently, ASU 2022-02, are effective for the Company for fiscal years beginning after December 15, 2022, including interim periods within those fiscal years. Entities will apply a modified retrospective approach through a cumulative-effect adjustment to retained earnings as of the beginning of the first reporting period in which the guidance is effective. While the Company believes the change from an incurred loss model to a CECL model has the potential to increase the allowance for loan losses at the adoption date, the Company cannot reasonably quantify the impact of the adoption of the amendments to its financial condition or results of operations at this time due to the complexity of and extensive changes resulting from these amendments. The Company is working with a third-party vendor to identify data gaps and determine the appropriate methodologies and resources to utilize in preparation for its transition to the new accounting standard, including but not limited to the use of certain tools to forecast future economic conditions that affect the cash flows of loans over their lifetime.</w:t>
      </w:r>
    </w:p>
    <w:p>
      <w:pPr>
        <w:pStyle w:val="TextBody"/>
        <w:spacing w:lineRule="auto" w:line="288" w:before="240" w:after="283"/>
        <w:jc w:val="both"/>
        <w:rPr/>
      </w:pPr>
      <w:r>
        <w:rPr>
          <w:rFonts w:ascii="Times New Roman;sans-serif" w:hAnsi="Times New Roman;sans-serif"/>
          <w:b w:val="false"/>
          <w:color w:val="000000"/>
          <w:sz w:val="20"/>
        </w:rPr>
        <w:t xml:space="preserve">In March 2020, the FASB issued ASU No. 2020-04, </w:t>
      </w:r>
      <w:r>
        <w:rPr>
          <w:rFonts w:ascii="Times New Roman;sans-serif" w:hAnsi="Times New Roman;sans-serif"/>
          <w:b w:val="false"/>
          <w:i/>
          <w:color w:val="000000"/>
          <w:sz w:val="20"/>
        </w:rPr>
        <w:t>Reference Rate Reform (Topic 848)</w:t>
      </w:r>
      <w:r>
        <w:rPr>
          <w:rFonts w:ascii="Times New Roman;sans-serif" w:hAnsi="Times New Roman;sans-serif"/>
          <w:b w:val="false"/>
          <w:color w:val="000000"/>
          <w:sz w:val="20"/>
        </w:rPr>
        <w:t xml:space="preserve">. The amendments in this ASU are elective and provide optional guidance for a limited period of time to ease the potential burden in accounting for (or recognizing the effects of) reference rate reform. The amendments in this ASU provide optional expedients and exceptions for applying GAAP to contracts, hedging relationships, and other transactions that reference the London Inter-Bank Offered Rate (“LIBOR”) or another reference rate expected to be discontinued because of reference rate reform. Additionally, in January 2021, the FASB issued ASU No. 2021-01, </w:t>
      </w:r>
      <w:r>
        <w:rPr>
          <w:rFonts w:ascii="Times New Roman;sans-serif" w:hAnsi="Times New Roman;sans-serif"/>
          <w:b w:val="false"/>
          <w:i/>
          <w:color w:val="000000"/>
          <w:sz w:val="20"/>
        </w:rPr>
        <w:t>Reference Rate Reform (Topic 848),</w:t>
      </w:r>
      <w:r>
        <w:rPr>
          <w:color w:val="000000"/>
        </w:rPr>
        <w:t xml:space="preserve"> </w:t>
      </w:r>
      <w:r>
        <w:rPr>
          <w:rFonts w:ascii="Times New Roman;sans-serif" w:hAnsi="Times New Roman;sans-serif"/>
          <w:b w:val="false"/>
          <w:color w:val="000000"/>
          <w:sz w:val="20"/>
        </w:rPr>
        <w:t>which refines the scope of ASC 848 and clarifies its guidance, permitting entities to elect certain optional expedients and exceptions when accounting for derivative contracts and certain hedging relationships affected by changes in the interest rates used for discounting cash flows, computing variation margin settlements, and calculating price alignment interest in connection with reference rate reform activities under way in global financial markets. The amendments in these ASUs may be elected as of March 12, 2020 through December 31, 2022. An entity may choose to elect the amendments in these updates at an interim period subsequent to March 12, 2020, with adoption methods varying based on transaction type. The Company has not elected to apply these amendments; however, the Company is assessing the applicability of the ASUs and continues to monitor guidance for reference rate reform from FASB and its impact on the Company’s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Fair Value of Assets and Liabilities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Hierarchy and Fair Value Measurement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require the Company to maximize the use of observable inputs and minimize the use of unobservable inputs when measuring fair value. The standard describes three levels of inputs that may be used to measure fair value:</w:t>
      </w:r>
    </w:p>
    <w:p>
      <w:pPr>
        <w:pStyle w:val="TextBody"/>
        <w:spacing w:lineRule="auto" w:line="288" w:before="240" w:after="283"/>
        <w:jc w:val="both"/>
        <w:rPr/>
      </w:pPr>
      <w:r>
        <w:rPr>
          <w:rFonts w:ascii="Times New Roman;sans-serif" w:hAnsi="Times New Roman;sans-serif"/>
          <w:b w:val="false"/>
          <w:color w:val="000000"/>
          <w:sz w:val="20"/>
          <w:u w:val="single"/>
        </w:rPr>
        <w:t>Level 1</w:t>
      </w:r>
      <w:r>
        <w:rPr>
          <w:rFonts w:ascii="Times New Roman;sans-serif" w:hAnsi="Times New Roman;sans-serif"/>
          <w:b w:val="false"/>
          <w:color w:val="000000"/>
          <w:sz w:val="20"/>
        </w:rPr>
        <w:t>: Quoted prices (unadjusted) for identical assets or liabilities in active markets that the Company has the ability to access as of the measurement date.</w:t>
      </w:r>
    </w:p>
    <w:p>
      <w:pPr>
        <w:pStyle w:val="TextBody"/>
        <w:spacing w:lineRule="auto" w:line="288" w:before="240" w:after="283"/>
        <w:jc w:val="both"/>
        <w:rPr/>
      </w:pPr>
      <w:r>
        <w:rPr>
          <w:rFonts w:ascii="Times New Roman;sans-serif" w:hAnsi="Times New Roman;sans-serif"/>
          <w:b w:val="false"/>
          <w:color w:val="000000"/>
          <w:sz w:val="20"/>
          <w:u w:val="single"/>
        </w:rPr>
        <w:t>Level 2</w:t>
      </w:r>
      <w:r>
        <w:rPr>
          <w:rFonts w:ascii="Times New Roman;sans-serif" w:hAnsi="Times New Roman;sans-serif"/>
          <w:b w:val="false"/>
          <w:color w:val="000000"/>
          <w:sz w:val="20"/>
        </w:rPr>
        <w:t>: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spacing w:lineRule="auto" w:line="288" w:before="240" w:after="283"/>
        <w:jc w:val="both"/>
        <w:rPr/>
      </w:pPr>
      <w:r>
        <w:rPr>
          <w:rFonts w:ascii="Times New Roman;sans-serif" w:hAnsi="Times New Roman;sans-serif"/>
          <w:b w:val="false"/>
          <w:color w:val="000000"/>
          <w:sz w:val="20"/>
          <w:u w:val="single"/>
        </w:rPr>
        <w:t>Level 3</w:t>
      </w:r>
      <w:r>
        <w:rPr>
          <w:rFonts w:ascii="Times New Roman;sans-serif" w:hAnsi="Times New Roman;sans-serif"/>
          <w:b w:val="false"/>
          <w:color w:val="000000"/>
          <w:sz w:val="20"/>
        </w:rPr>
        <w:t>: Significant unobservable inputs that reflect the Company’s own assumptions about the assumptions that market participants would use in pricing an asset or liability.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assets and liabilities that were required to be recorded at fair value on a recurring basis.</w:t>
      </w:r>
    </w:p>
    <w:tbl>
      <w:tblPr>
        <w:tblW w:w="10205" w:type="dxa"/>
        <w:jc w:val="left"/>
        <w:tblInd w:w="0" w:type="dxa"/>
        <w:tblCellMar>
          <w:top w:w="28" w:type="dxa"/>
          <w:left w:w="28" w:type="dxa"/>
          <w:bottom w:w="28" w:type="dxa"/>
          <w:right w:w="28" w:type="dxa"/>
        </w:tblCellMar>
      </w:tblPr>
      <w:tblGrid>
        <w:gridCol w:w="1012"/>
        <w:gridCol w:w="891"/>
        <w:gridCol w:w="898"/>
        <w:gridCol w:w="109"/>
        <w:gridCol w:w="109"/>
        <w:gridCol w:w="109"/>
        <w:gridCol w:w="211"/>
        <w:gridCol w:w="826"/>
        <w:gridCol w:w="109"/>
        <w:gridCol w:w="109"/>
        <w:gridCol w:w="109"/>
        <w:gridCol w:w="109"/>
        <w:gridCol w:w="265"/>
        <w:gridCol w:w="509"/>
        <w:gridCol w:w="138"/>
        <w:gridCol w:w="109"/>
        <w:gridCol w:w="109"/>
        <w:gridCol w:w="109"/>
        <w:gridCol w:w="211"/>
        <w:gridCol w:w="826"/>
        <w:gridCol w:w="109"/>
        <w:gridCol w:w="109"/>
        <w:gridCol w:w="109"/>
        <w:gridCol w:w="109"/>
        <w:gridCol w:w="357"/>
        <w:gridCol w:w="688"/>
        <w:gridCol w:w="186"/>
        <w:gridCol w:w="109"/>
        <w:gridCol w:w="109"/>
        <w:gridCol w:w="109"/>
        <w:gridCol w:w="389"/>
        <w:gridCol w:w="389"/>
        <w:gridCol w:w="556"/>
      </w:tblGrid>
      <w:tr>
        <w:trPr/>
        <w:tc>
          <w:tcPr>
            <w:tcW w:w="101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r>
      <w:tr>
        <w:trPr/>
        <w:tc>
          <w:tcPr>
            <w:tcW w:w="28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in</w:t>
              <w:br/>
              <w:t>Active Markets for</w:t>
              <w:br/>
              <w:t>Identical Assets</w:t>
              <w:b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Other</w:t>
              <w:br/>
              <w:t>Observable</w:t>
              <w:br/>
              <w:t>Inputs</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Measurement</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Categories: Changes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Fair Value Recorded</w:t>
            </w:r>
          </w:p>
          <w:p>
            <w:pPr>
              <w:pStyle w:val="TableContents"/>
              <w:spacing w:lineRule="auto" w:line="240" w:before="0" w:after="0"/>
              <w:jc w:val="center"/>
              <w:rPr/>
            </w:pPr>
            <w:r>
              <w:rPr>
                <w:rFonts w:ascii="Times New Roman;sans-serif" w:hAnsi="Times New Roman;sans-serif"/>
                <w:b w:val="false"/>
                <w:color w:val="000000"/>
                <w:sz w:val="20"/>
              </w:rPr>
              <w:t>In</w:t>
            </w:r>
            <w:r>
              <w:rPr>
                <w:rFonts w:ascii="Times New Roman;sans-serif" w:hAnsi="Times New Roman;sans-serif"/>
                <w:b w:val="false"/>
                <w:color w:val="000000"/>
                <w:sz w:val="13"/>
              </w:rPr>
              <w:t>1</w:t>
            </w:r>
          </w:p>
        </w:tc>
      </w:tr>
      <w:tr>
        <w:trPr/>
        <w:tc>
          <w:tcPr>
            <w:tcW w:w="2801"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 mortgage-backed securities, obligations of states and political subdivisions, collateralized mortgage obligations, and 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OCI</w:t>
            </w:r>
          </w:p>
        </w:tc>
      </w:tr>
      <w:tr>
        <w:trPr/>
        <w:tc>
          <w:tcPr>
            <w:tcW w:w="2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interest rate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w:t>
            </w:r>
          </w:p>
        </w:tc>
      </w:tr>
      <w:tr>
        <w:trPr/>
        <w:tc>
          <w:tcPr>
            <w:tcW w:w="2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interest rate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w:t>
            </w:r>
          </w:p>
        </w:tc>
      </w:tr>
      <w:tr>
        <w:trPr/>
        <w:tc>
          <w:tcPr>
            <w:tcW w:w="2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 mortgage-backed securities, obligations of states and political subdivisions, collateralized mortgage obligations, and 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OCI</w:t>
            </w:r>
          </w:p>
        </w:tc>
      </w:tr>
      <w:tr>
        <w:trPr/>
        <w:tc>
          <w:tcPr>
            <w:tcW w:w="2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interest rate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w:t>
            </w:r>
          </w:p>
        </w:tc>
      </w:tr>
      <w:tr>
        <w:trPr/>
        <w:tc>
          <w:tcPr>
            <w:tcW w:w="2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interest rate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w:t>
            </w:r>
          </w:p>
        </w:tc>
      </w:tr>
    </w:tbl>
    <w:p>
      <w:pPr>
        <w:pStyle w:val="TextBody"/>
        <w:spacing w:lineRule="auto" w:line="288" w:before="24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Other comprehensive income (“OCI”) or net income (“NI”).</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 are recorded at fair value on a recurring basis. When available, quoted market prices (Level 1)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Level 2 securities include U.S. agencies' or government-sponsored enterprises’ ("GSEs") debt securities, mortgage-backed securities, government agency issued bonds, privately issued collateralized mortgage obligations, and corporate bonds. As of March 31, 2022 and December 31, 2021, there were no Level 1 or Level 3 available-for-sale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impaired loans and other real estate owned (“OREO”). As of March 31, 2022 and December 31, 2021, the Company did not carry any assets measured at fair value on a non-recurring basis.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Disclosures about Fair Value of Financial Instruments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is a summary of fair value estimates for financial instruments as of March 31, 2022 and December 31, 2021. The carrying amounts in the following table are recorded in the consolidated balance sheets under the indicated captions. Further, management has not disclosed the fair value of financial instruments specifically excluded from disclosure requirements, such as BOLI. </w:t>
      </w:r>
    </w:p>
    <w:tbl>
      <w:tblPr>
        <w:tblW w:w="10205" w:type="dxa"/>
        <w:jc w:val="left"/>
        <w:tblInd w:w="0" w:type="dxa"/>
        <w:tblCellMar>
          <w:top w:w="28" w:type="dxa"/>
          <w:left w:w="28" w:type="dxa"/>
          <w:bottom w:w="28" w:type="dxa"/>
          <w:right w:w="28" w:type="dxa"/>
        </w:tblCellMar>
      </w:tblPr>
      <w:tblGrid>
        <w:gridCol w:w="896"/>
        <w:gridCol w:w="502"/>
        <w:gridCol w:w="405"/>
        <w:gridCol w:w="109"/>
        <w:gridCol w:w="109"/>
        <w:gridCol w:w="109"/>
        <w:gridCol w:w="211"/>
        <w:gridCol w:w="826"/>
        <w:gridCol w:w="109"/>
        <w:gridCol w:w="109"/>
        <w:gridCol w:w="109"/>
        <w:gridCol w:w="109"/>
        <w:gridCol w:w="211"/>
        <w:gridCol w:w="826"/>
        <w:gridCol w:w="109"/>
        <w:gridCol w:w="109"/>
        <w:gridCol w:w="109"/>
        <w:gridCol w:w="109"/>
        <w:gridCol w:w="301"/>
        <w:gridCol w:w="301"/>
        <w:gridCol w:w="302"/>
        <w:gridCol w:w="109"/>
        <w:gridCol w:w="109"/>
        <w:gridCol w:w="109"/>
        <w:gridCol w:w="211"/>
        <w:gridCol w:w="826"/>
        <w:gridCol w:w="109"/>
        <w:gridCol w:w="109"/>
        <w:gridCol w:w="109"/>
        <w:gridCol w:w="109"/>
        <w:gridCol w:w="211"/>
        <w:gridCol w:w="826"/>
        <w:gridCol w:w="109"/>
        <w:gridCol w:w="109"/>
        <w:gridCol w:w="109"/>
        <w:gridCol w:w="109"/>
        <w:gridCol w:w="278"/>
        <w:gridCol w:w="278"/>
        <w:gridCol w:w="396"/>
      </w:tblGrid>
      <w:tr>
        <w:trPr/>
        <w:tc>
          <w:tcPr>
            <w:tcW w:w="896"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1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r>
      <w:tr>
        <w:trPr/>
        <w:tc>
          <w:tcPr>
            <w:tcW w:w="18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w:t>
              <w:br/>
              <w:t>Amounts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br/>
              <w:t>Hierarchy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w:t>
              <w:br/>
              <w:t>Amounts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br/>
              <w:t>Hierarchy</w:t>
            </w:r>
          </w:p>
        </w:tc>
      </w:tr>
      <w:tr>
        <w:trPr/>
        <w:tc>
          <w:tcPr>
            <w:tcW w:w="1803"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r>
      <w:tr>
        <w:trPr/>
        <w:tc>
          <w:tcPr>
            <w:tcW w:w="1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 banks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r>
      <w:tr>
        <w:trPr/>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held-to-maturity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 of allowance for loan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stock and other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1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by the Company to estimate the fair value of its financial instruments at March 31, 2022 and December 31, 2021:</w:t>
      </w:r>
    </w:p>
    <w:p>
      <w:pPr>
        <w:pStyle w:val="TextBody"/>
        <w:spacing w:lineRule="auto" w:line="288" w:before="240" w:after="283"/>
        <w:jc w:val="both"/>
        <w:rPr/>
      </w:pPr>
      <w:r>
        <w:rPr>
          <w:rFonts w:ascii="Times New Roman;sans-serif" w:hAnsi="Times New Roman;sans-serif"/>
          <w:b w:val="false"/>
          <w:color w:val="000000"/>
          <w:sz w:val="20"/>
          <w:u w:val="single"/>
        </w:rPr>
        <w:t>Cash and cash equivalents and time deposits in banks</w:t>
      </w:r>
      <w:r>
        <w:rPr>
          <w:rFonts w:ascii="Times New Roman;sans-serif" w:hAnsi="Times New Roman;sans-serif"/>
          <w:b w:val="false"/>
          <w:color w:val="000000"/>
          <w:sz w:val="20"/>
        </w:rPr>
        <w:t>: The carrying amount is estimated to be fair value due to the liquid nature of the assets and their short-term maturities.</w:t>
      </w:r>
    </w:p>
    <w:p>
      <w:pPr>
        <w:pStyle w:val="TextBody"/>
        <w:spacing w:lineRule="auto" w:line="288" w:before="240" w:after="283"/>
        <w:jc w:val="both"/>
        <w:rPr/>
      </w:pPr>
      <w:r>
        <w:rPr>
          <w:rFonts w:ascii="Times New Roman;sans-serif" w:hAnsi="Times New Roman;sans-serif"/>
          <w:b w:val="false"/>
          <w:color w:val="000000"/>
          <w:sz w:val="20"/>
          <w:u w:val="single"/>
        </w:rPr>
        <w:t>Investment securities</w:t>
      </w:r>
      <w:r>
        <w:rPr>
          <w:rFonts w:ascii="Times New Roman;sans-serif" w:hAnsi="Times New Roman;sans-serif"/>
          <w:b w:val="false"/>
          <w:color w:val="000000"/>
          <w:sz w:val="20"/>
        </w:rPr>
        <w:t>: See discussion above for the methods and assumptions used by the Company to estimate the fair value of investment securities.</w:t>
      </w:r>
    </w:p>
    <w:p>
      <w:pPr>
        <w:pStyle w:val="TextBody"/>
        <w:spacing w:lineRule="auto" w:line="288" w:before="240" w:after="283"/>
        <w:jc w:val="both"/>
        <w:rPr/>
      </w:pPr>
      <w:r>
        <w:rPr>
          <w:rFonts w:ascii="Times New Roman;sans-serif" w:hAnsi="Times New Roman;sans-serif"/>
          <w:b w:val="false"/>
          <w:color w:val="000000"/>
          <w:sz w:val="20"/>
          <w:u w:val="single"/>
        </w:rPr>
        <w:t>Loans held for sale</w:t>
      </w:r>
      <w:r>
        <w:rPr>
          <w:rFonts w:ascii="Times New Roman;sans-serif" w:hAnsi="Times New Roman;sans-serif"/>
          <w:b w:val="false"/>
          <w:color w:val="000000"/>
          <w:sz w:val="20"/>
        </w:rPr>
        <w:t>: For loans held for sale, the fair value is based on what secondary markets are currently offering for portfolios with similar characteristics.</w:t>
      </w:r>
    </w:p>
    <w:p>
      <w:pPr>
        <w:pStyle w:val="TextBody"/>
        <w:spacing w:lineRule="auto" w:line="288" w:before="240" w:after="283"/>
        <w:jc w:val="both"/>
        <w:rPr/>
      </w:pPr>
      <w:r>
        <w:rPr>
          <w:rFonts w:ascii="Times New Roman;sans-serif" w:hAnsi="Times New Roman;sans-serif"/>
          <w:b w:val="false"/>
          <w:color w:val="000000"/>
          <w:sz w:val="20"/>
          <w:u w:val="single"/>
        </w:rPr>
        <w:t>Loans held for investment:</w:t>
      </w:r>
      <w:r>
        <w:rPr>
          <w:color w:val="000000"/>
        </w:rPr>
        <w:t xml:space="preserve"> </w:t>
      </w:r>
      <w:r>
        <w:rPr>
          <w:rFonts w:ascii="Times New Roman;sans-serif" w:hAnsi="Times New Roman;sans-serif"/>
          <w:b w:val="false"/>
          <w:color w:val="000000"/>
          <w:sz w:val="20"/>
        </w:rPr>
        <w:t>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loan losses is considered to be a reasonable estimate of loan discount for credit quality concerns.</w:t>
      </w:r>
    </w:p>
    <w:p>
      <w:pPr>
        <w:pStyle w:val="TextBody"/>
        <w:spacing w:lineRule="auto" w:line="288" w:before="240" w:after="283"/>
        <w:jc w:val="both"/>
        <w:rPr/>
      </w:pPr>
      <w:r>
        <w:rPr>
          <w:rFonts w:ascii="Times New Roman;sans-serif" w:hAnsi="Times New Roman;sans-serif"/>
          <w:b w:val="false"/>
          <w:color w:val="000000"/>
          <w:sz w:val="20"/>
          <w:u w:val="single"/>
        </w:rPr>
        <w:t>Interest receivable and payable</w:t>
      </w:r>
      <w:r>
        <w:rPr>
          <w:rFonts w:ascii="Times New Roman;sans-serif" w:hAnsi="Times New Roman;sans-serif"/>
          <w:b w:val="false"/>
          <w:color w:val="000000"/>
          <w:sz w:val="20"/>
        </w:rPr>
        <w:t>: For interest receivable and payable, the carrying amount is estimated to be fair value.</w:t>
      </w:r>
    </w:p>
    <w:p>
      <w:pPr>
        <w:pStyle w:val="TextBody"/>
        <w:spacing w:lineRule="auto" w:line="288" w:before="240" w:after="283"/>
        <w:jc w:val="both"/>
        <w:rPr/>
      </w:pPr>
      <w:r>
        <w:rPr>
          <w:rFonts w:ascii="Times New Roman;sans-serif" w:hAnsi="Times New Roman;sans-serif"/>
          <w:b w:val="false"/>
          <w:color w:val="000000"/>
          <w:sz w:val="20"/>
          <w:u w:val="single"/>
        </w:rPr>
        <w:t>Derivatives - interest rate swap</w:t>
      </w:r>
      <w:r>
        <w:rPr>
          <w:rFonts w:ascii="Times New Roman;sans-serif" w:hAnsi="Times New Roman;sans-serif"/>
          <w:b w:val="false"/>
          <w:color w:val="000000"/>
          <w:sz w:val="20"/>
        </w:rPr>
        <w:t>: See above for a discussion of the methods and assumptions used by the Company to estimate the fair value of derivatives.</w:t>
      </w:r>
    </w:p>
    <w:p>
      <w:pPr>
        <w:pStyle w:val="TextBody"/>
        <w:spacing w:lineRule="auto" w:line="288" w:before="240" w:after="283"/>
        <w:jc w:val="both"/>
        <w:rPr/>
      </w:pPr>
      <w:r>
        <w:rPr>
          <w:rFonts w:ascii="Times New Roman;sans-serif" w:hAnsi="Times New Roman;sans-serif"/>
          <w:b w:val="false"/>
          <w:color w:val="000000"/>
          <w:sz w:val="20"/>
          <w:u w:val="single"/>
        </w:rPr>
        <w:t>Deposits</w:t>
      </w:r>
      <w:r>
        <w:rPr>
          <w:rFonts w:ascii="Times New Roman;sans-serif" w:hAnsi="Times New Roman;sans-serif"/>
          <w:b w:val="false"/>
          <w:color w:val="000000"/>
          <w:sz w:val="20"/>
        </w:rPr>
        <w:t>: The fair values for demand deposits are, by definition, equal to the amount payable on demand at the reporting date represented by their carrying amount. Fair values for fixed rate certificates of deposit are estimated using a discounted cash flow analysis that uses interest rates being offered at each reporting date by the Company for certificates with similar remaining maturities. For variable rate time deposits, cost approximates fair value.</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pPr>
      <w:r>
        <w:rPr>
          <w:rFonts w:ascii="Times New Roman;sans-serif" w:hAnsi="Times New Roman;sans-serif"/>
          <w:b w:val="false"/>
          <w:color w:val="000000"/>
          <w:sz w:val="20"/>
          <w:u w:val="single"/>
        </w:rPr>
        <w:t>Subordinated Notes</w:t>
      </w:r>
      <w:r>
        <w:rPr>
          <w:rFonts w:ascii="Times New Roman;sans-serif" w:hAnsi="Times New Roman;sans-serif"/>
          <w:b w:val="false"/>
          <w:color w:val="000000"/>
          <w:sz w:val="20"/>
        </w:rPr>
        <w:t>: The fair value is estimated by discounting the future cash flow using the current three-month LIBOR. The Company's subordinated notes are not registered securities and were issued through private placements, resulting in a Level 3 classification. The notes are recorded at carrying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Investment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securities portfolio includes obligations of states and political subdivisions, securities issued by U.S. federal government agencies such as the Small Business Administration (the “SBA”), and securities issued by U.S. GSEs, such as the Federal National Mortgage Association (the “FNMA”), the Federal Home Loan Mortgage Corporation (the “FHLMC”), and the FHLB. The Company also invests in residential and commercial mortgage-backed securities, collateralized mortgage obligations issued or guaranteed by the GSEs, and corporate bonds, as reflected in the following tables.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amortized cost and fair value related to securities held-to-maturity as of March 31, 2022 and December 31, 2021 is presented below.</w:t>
      </w:r>
    </w:p>
    <w:tbl>
      <w:tblPr>
        <w:tblW w:w="8744" w:type="dxa"/>
        <w:jc w:val="left"/>
        <w:tblInd w:w="0" w:type="dxa"/>
        <w:tblCellMar>
          <w:top w:w="28" w:type="dxa"/>
          <w:left w:w="28" w:type="dxa"/>
          <w:bottom w:w="28" w:type="dxa"/>
          <w:right w:w="28" w:type="dxa"/>
        </w:tblCellMar>
      </w:tblPr>
      <w:tblGrid>
        <w:gridCol w:w="1427"/>
        <w:gridCol w:w="1256"/>
        <w:gridCol w:w="1261"/>
        <w:gridCol w:w="109"/>
        <w:gridCol w:w="109"/>
        <w:gridCol w:w="109"/>
        <w:gridCol w:w="216"/>
        <w:gridCol w:w="632"/>
        <w:gridCol w:w="113"/>
        <w:gridCol w:w="109"/>
        <w:gridCol w:w="109"/>
        <w:gridCol w:w="109"/>
        <w:gridCol w:w="211"/>
        <w:gridCol w:w="466"/>
        <w:gridCol w:w="109"/>
        <w:gridCol w:w="109"/>
        <w:gridCol w:w="109"/>
        <w:gridCol w:w="109"/>
        <w:gridCol w:w="213"/>
        <w:gridCol w:w="441"/>
        <w:gridCol w:w="110"/>
        <w:gridCol w:w="109"/>
        <w:gridCol w:w="109"/>
        <w:gridCol w:w="109"/>
        <w:gridCol w:w="211"/>
        <w:gridCol w:w="616"/>
        <w:gridCol w:w="154"/>
      </w:tblGrid>
      <w:tr>
        <w:trPr/>
        <w:tc>
          <w:tcPr>
            <w:tcW w:w="1427"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Unrealized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Gains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r>
      <w:tr>
        <w:trPr/>
        <w:tc>
          <w:tcPr>
            <w:tcW w:w="394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securities issued by states and political subdivisions,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amortized cost and fair value related to securities available-for-sale as of March 31, 2022 and December 31, 2021 is presented below.</w:t>
      </w:r>
    </w:p>
    <w:tbl>
      <w:tblPr>
        <w:tblW w:w="9492" w:type="dxa"/>
        <w:jc w:val="left"/>
        <w:tblInd w:w="0" w:type="dxa"/>
        <w:tblCellMar>
          <w:top w:w="28" w:type="dxa"/>
          <w:left w:w="28" w:type="dxa"/>
          <w:bottom w:w="28" w:type="dxa"/>
          <w:right w:w="28" w:type="dxa"/>
        </w:tblCellMar>
      </w:tblPr>
      <w:tblGrid>
        <w:gridCol w:w="1426"/>
        <w:gridCol w:w="1257"/>
        <w:gridCol w:w="1262"/>
        <w:gridCol w:w="109"/>
        <w:gridCol w:w="109"/>
        <w:gridCol w:w="109"/>
        <w:gridCol w:w="211"/>
        <w:gridCol w:w="826"/>
        <w:gridCol w:w="109"/>
        <w:gridCol w:w="109"/>
        <w:gridCol w:w="109"/>
        <w:gridCol w:w="109"/>
        <w:gridCol w:w="211"/>
        <w:gridCol w:w="466"/>
        <w:gridCol w:w="109"/>
        <w:gridCol w:w="109"/>
        <w:gridCol w:w="109"/>
        <w:gridCol w:w="109"/>
        <w:gridCol w:w="211"/>
        <w:gridCol w:w="796"/>
        <w:gridCol w:w="109"/>
        <w:gridCol w:w="109"/>
        <w:gridCol w:w="109"/>
        <w:gridCol w:w="109"/>
        <w:gridCol w:w="211"/>
        <w:gridCol w:w="826"/>
        <w:gridCol w:w="154"/>
      </w:tblGrid>
      <w:tr>
        <w:trPr/>
        <w:tc>
          <w:tcPr>
            <w:tcW w:w="1426"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Gross Unrealized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r>
      <w:tr>
        <w:trPr/>
        <w:tc>
          <w:tcPr>
            <w:tcW w:w="394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Gains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(Losses)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94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149,610 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investment debt securities by contractual maturity at March 31, 2022 and December 31, 2021 are shown below. Expected maturities may differ from contractual maturities if the issuers of the securities have the right to call or prepay obligations with or without call or prepayment penalties.</w:t>
      </w:r>
    </w:p>
    <w:tbl>
      <w:tblPr>
        <w:tblW w:w="12600" w:type="dxa"/>
        <w:jc w:val="left"/>
        <w:tblInd w:w="0" w:type="dxa"/>
        <w:tblCellMar>
          <w:top w:w="28" w:type="dxa"/>
          <w:left w:w="28" w:type="dxa"/>
          <w:bottom w:w="28" w:type="dxa"/>
          <w:right w:w="28" w:type="dxa"/>
        </w:tblCellMar>
      </w:tblPr>
      <w:tblGrid>
        <w:gridCol w:w="957"/>
        <w:gridCol w:w="301"/>
        <w:gridCol w:w="303"/>
        <w:gridCol w:w="109"/>
        <w:gridCol w:w="109"/>
        <w:gridCol w:w="109"/>
        <w:gridCol w:w="216"/>
        <w:gridCol w:w="632"/>
        <w:gridCol w:w="113"/>
        <w:gridCol w:w="109"/>
        <w:gridCol w:w="109"/>
        <w:gridCol w:w="109"/>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6"/>
        <w:gridCol w:w="632"/>
        <w:gridCol w:w="113"/>
        <w:gridCol w:w="109"/>
        <w:gridCol w:w="109"/>
        <w:gridCol w:w="109"/>
        <w:gridCol w:w="211"/>
        <w:gridCol w:w="616"/>
        <w:gridCol w:w="109"/>
        <w:gridCol w:w="109"/>
        <w:gridCol w:w="109"/>
        <w:gridCol w:w="109"/>
        <w:gridCol w:w="211"/>
        <w:gridCol w:w="826"/>
        <w:gridCol w:w="109"/>
        <w:gridCol w:w="109"/>
        <w:gridCol w:w="109"/>
        <w:gridCol w:w="109"/>
        <w:gridCol w:w="211"/>
        <w:gridCol w:w="826"/>
        <w:gridCol w:w="154"/>
      </w:tblGrid>
      <w:tr>
        <w:trPr/>
        <w:tc>
          <w:tcPr>
            <w:tcW w:w="95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0" w:type="dxa"/>
            <w:gridSpan w:val="21"/>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5" w:type="dxa"/>
            <w:gridSpan w:val="21"/>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r>
      <w:tr>
        <w:trPr/>
        <w:tc>
          <w:tcPr>
            <w:tcW w:w="15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4"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4"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r>
      <w:tr>
        <w:trPr/>
        <w:tc>
          <w:tcPr>
            <w:tcW w:w="15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1561"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but within five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not due at a single maturity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149,610 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investment securities and gross gains and losses are shown in the following table:</w:t>
      </w:r>
    </w:p>
    <w:tbl>
      <w:tblPr>
        <w:tblW w:w="4419" w:type="dxa"/>
        <w:jc w:val="left"/>
        <w:tblInd w:w="0" w:type="dxa"/>
        <w:tblCellMar>
          <w:top w:w="28" w:type="dxa"/>
          <w:left w:w="28" w:type="dxa"/>
          <w:bottom w:w="28" w:type="dxa"/>
          <w:right w:w="28" w:type="dxa"/>
        </w:tblCellMar>
      </w:tblPr>
      <w:tblGrid>
        <w:gridCol w:w="628"/>
        <w:gridCol w:w="553"/>
        <w:gridCol w:w="559"/>
        <w:gridCol w:w="109"/>
        <w:gridCol w:w="109"/>
        <w:gridCol w:w="109"/>
        <w:gridCol w:w="211"/>
        <w:gridCol w:w="617"/>
        <w:gridCol w:w="109"/>
        <w:gridCol w:w="109"/>
        <w:gridCol w:w="109"/>
        <w:gridCol w:w="109"/>
        <w:gridCol w:w="211"/>
        <w:gridCol w:w="723"/>
        <w:gridCol w:w="154"/>
      </w:tblGrid>
      <w:tr>
        <w:trPr/>
        <w:tc>
          <w:tcPr>
            <w:tcW w:w="628"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w:t>
            </w:r>
          </w:p>
        </w:tc>
      </w:tr>
      <w:tr>
        <w:trPr/>
        <w:tc>
          <w:tcPr>
            <w:tcW w:w="174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2021</w:t>
            </w:r>
          </w:p>
        </w:tc>
      </w:tr>
      <w:tr>
        <w:trPr/>
        <w:tc>
          <w:tcPr>
            <w:tcW w:w="174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proceeds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Pledged investment securities are shown in the following table:</w:t>
      </w:r>
    </w:p>
    <w:tbl>
      <w:tblPr>
        <w:tblW w:w="6915" w:type="dxa"/>
        <w:jc w:val="left"/>
        <w:tblInd w:w="0" w:type="dxa"/>
        <w:tblCellMar>
          <w:top w:w="28" w:type="dxa"/>
          <w:left w:w="28" w:type="dxa"/>
          <w:bottom w:w="28" w:type="dxa"/>
          <w:right w:w="28" w:type="dxa"/>
        </w:tblCellMar>
      </w:tblPr>
      <w:tblGrid>
        <w:gridCol w:w="1432"/>
        <w:gridCol w:w="1261"/>
        <w:gridCol w:w="1267"/>
        <w:gridCol w:w="109"/>
        <w:gridCol w:w="109"/>
        <w:gridCol w:w="109"/>
        <w:gridCol w:w="211"/>
        <w:gridCol w:w="721"/>
        <w:gridCol w:w="109"/>
        <w:gridCol w:w="109"/>
        <w:gridCol w:w="109"/>
        <w:gridCol w:w="109"/>
        <w:gridCol w:w="245"/>
        <w:gridCol w:w="837"/>
        <w:gridCol w:w="178"/>
      </w:tblGrid>
      <w:tr>
        <w:trPr/>
        <w:tc>
          <w:tcPr>
            <w:tcW w:w="1432"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2021</w:t>
            </w:r>
          </w:p>
        </w:tc>
      </w:tr>
      <w:tr>
        <w:trPr/>
        <w:tc>
          <w:tcPr>
            <w:tcW w:w="396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to the State of California: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 deposits of public funds and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63,363 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pledged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63,363 </w:t>
            </w:r>
          </w:p>
        </w:tc>
        <w:tc>
          <w:tcPr>
            <w:tcW w:w="1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gross unrealized losses and fair values aggregated by investment category and length of time that individual available-for-sale securities have been in a continuous unrealized loss position at March 31, 2022 and December 31, 2021:</w:t>
      </w:r>
    </w:p>
    <w:tbl>
      <w:tblPr>
        <w:tblW w:w="10205" w:type="dxa"/>
        <w:jc w:val="left"/>
        <w:tblInd w:w="0" w:type="dxa"/>
        <w:tblCellMar>
          <w:top w:w="28" w:type="dxa"/>
          <w:left w:w="28" w:type="dxa"/>
          <w:bottom w:w="28" w:type="dxa"/>
          <w:right w:w="28" w:type="dxa"/>
        </w:tblCellMar>
      </w:tblPr>
      <w:tblGrid>
        <w:gridCol w:w="847"/>
        <w:gridCol w:w="512"/>
        <w:gridCol w:w="371"/>
        <w:gridCol w:w="109"/>
        <w:gridCol w:w="109"/>
        <w:gridCol w:w="109"/>
        <w:gridCol w:w="211"/>
        <w:gridCol w:w="826"/>
        <w:gridCol w:w="109"/>
        <w:gridCol w:w="109"/>
        <w:gridCol w:w="109"/>
        <w:gridCol w:w="109"/>
        <w:gridCol w:w="217"/>
        <w:gridCol w:w="694"/>
        <w:gridCol w:w="112"/>
        <w:gridCol w:w="109"/>
        <w:gridCol w:w="109"/>
        <w:gridCol w:w="109"/>
        <w:gridCol w:w="211"/>
        <w:gridCol w:w="721"/>
        <w:gridCol w:w="109"/>
        <w:gridCol w:w="109"/>
        <w:gridCol w:w="109"/>
        <w:gridCol w:w="109"/>
        <w:gridCol w:w="217"/>
        <w:gridCol w:w="694"/>
        <w:gridCol w:w="112"/>
        <w:gridCol w:w="109"/>
        <w:gridCol w:w="109"/>
        <w:gridCol w:w="109"/>
        <w:gridCol w:w="211"/>
        <w:gridCol w:w="826"/>
        <w:gridCol w:w="109"/>
        <w:gridCol w:w="109"/>
        <w:gridCol w:w="109"/>
        <w:gridCol w:w="109"/>
        <w:gridCol w:w="215"/>
        <w:gridCol w:w="757"/>
        <w:gridCol w:w="162"/>
      </w:tblGrid>
      <w:tr>
        <w:trPr/>
        <w:tc>
          <w:tcPr>
            <w:tcW w:w="847"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&lt; 12 continuous months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xml:space="preserve">≥ </w:t>
            </w:r>
            <w:r>
              <w:rPr>
                <w:rFonts w:ascii="Times New Roman;sans-serif" w:hAnsi="Times New Roman;sans-serif"/>
                <w:b w:val="false"/>
                <w:color w:val="000000"/>
                <w:sz w:val="20"/>
              </w:rPr>
              <w:t xml:space="preserve">12 continuous months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securities</w:t>
              <w:br/>
              <w:t xml:space="preserve">in a loss position </w:t>
            </w:r>
          </w:p>
        </w:tc>
      </w:tr>
      <w:tr>
        <w:trPr/>
        <w:tc>
          <w:tcPr>
            <w:tcW w:w="173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w:t>
            </w:r>
          </w:p>
        </w:tc>
      </w:tr>
      <w:tr>
        <w:trPr/>
        <w:tc>
          <w:tcPr>
            <w:tcW w:w="1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mortgaged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temporarily impaired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temporarily impaired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1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c>
          <w:tcPr>
            <w:tcW w:w="1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150 and 91 available-for-sale securities in unrealized loss positions at March 31, 2022 and December 31, 2021, respectively. As of March 31, 2022, the investment portfolio included 24 investment securities that had been in a continuous loss position for twelve months or more and 126 investment securities that had been in a loss position for less than twelve months.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evaluates each available-for-sale investment security in an unrealized loss position to determine if the impairment is temporary or other than temporary and has determined that no investment security is other than temporarily impaired. The unrealized losses are due primarily to interest rate changes. The Company does not intend, and it is more likely than not that the Company will not be required, to sell the securities before the earlier of the forecasted recovery or the maturity of the underlying debt security.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one held-to-maturity security in a continuous unrealized loss position at March 31, 2022. This security was in an unrealized loss position for less than 12 months. There were no held-to-maturity securities in a continuous loss position at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issued or guaranteed by government agencies such as GNMA and SBA or GSEs under conservatorship such as FNMA and FHLMC are guaranteed or sponsored by agencies of the U.S. government and have strong credit profiles. The Company therefore expects to receive all contractual interest payments on time and believes the risk of credit losses on these securities is remote.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in obligations of states and political subdivisions are deemed credit worthy after management’s comprehensive analysis of the issuers’ latest financial information, credit ratings by major credit agencies, and/or credit enhancements.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Non-Marketable Securities Included in Other Assets</w:t>
      </w:r>
    </w:p>
    <w:p>
      <w:pPr>
        <w:pStyle w:val="TextBody"/>
        <w:spacing w:lineRule="auto" w:line="288" w:before="240" w:after="283"/>
        <w:jc w:val="both"/>
        <w:rPr/>
      </w:pPr>
      <w:r>
        <w:rPr>
          <w:rFonts w:ascii="Times New Roman;sans-serif" w:hAnsi="Times New Roman;sans-serif"/>
          <w:b w:val="false"/>
          <w:color w:val="000000"/>
          <w:sz w:val="20"/>
          <w:u w:val="single"/>
        </w:rPr>
        <w:t>FHLB capital stock</w:t>
      </w:r>
      <w:r>
        <w:rPr>
          <w:rFonts w:ascii="Times New Roman;sans-serif" w:hAnsi="Times New Roman;sans-serif"/>
          <w:b w:val="false"/>
          <w:color w:val="000000"/>
          <w:sz w:val="20"/>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$6.7 million of FHLB stock at March 31, 2022 and December 31, 2021.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March 31, 2022 and December 31, 2021. On February 16, 2022, FHLB announced a cash dividend for the fourth quarter of 2021 at an annualized dividend rate of 6.00%, which was paid on March 10, 2022. For the three months ended March 31, 2022 and 2021, cash dividends received on FHLB capital stock in the amount of $0.1 million were recorded as non-interest income on the consolidated statements of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Loans and Allowance for Loan Losses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loan portfolio is its largest class of earning assets and typically provides higher yields than other types of earning assets. Associated with the higher yields is an inherent amount of credit risk which the Company attempts to mitigate with strong underwriting. As of March 31, 2022 and December 31, 2021, the carrying value of total loans held for investment amounted to $2.1 billion and $1.9 billion, respectively. The following table presents the balance of each major product type within the Company’s portfolio as of the dates indicated.</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tbl>
      <w:tblPr>
        <w:tblW w:w="8150" w:type="dxa"/>
        <w:jc w:val="left"/>
        <w:tblInd w:w="0" w:type="dxa"/>
        <w:tblCellMar>
          <w:top w:w="28" w:type="dxa"/>
          <w:left w:w="28" w:type="dxa"/>
          <w:bottom w:w="28" w:type="dxa"/>
          <w:right w:w="28" w:type="dxa"/>
        </w:tblCellMar>
      </w:tblPr>
      <w:tblGrid>
        <w:gridCol w:w="1757"/>
        <w:gridCol w:w="1548"/>
        <w:gridCol w:w="1554"/>
        <w:gridCol w:w="109"/>
        <w:gridCol w:w="109"/>
        <w:gridCol w:w="109"/>
        <w:gridCol w:w="211"/>
        <w:gridCol w:w="976"/>
        <w:gridCol w:w="109"/>
        <w:gridCol w:w="109"/>
        <w:gridCol w:w="109"/>
        <w:gridCol w:w="109"/>
        <w:gridCol w:w="211"/>
        <w:gridCol w:w="976"/>
        <w:gridCol w:w="154"/>
      </w:tblGrid>
      <w:tr>
        <w:trPr/>
        <w:tc>
          <w:tcPr>
            <w:tcW w:w="1757"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2021</w:t>
            </w:r>
          </w:p>
        </w:tc>
      </w:tr>
      <w:tr>
        <w:trPr/>
        <w:tc>
          <w:tcPr>
            <w:tcW w:w="485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Paycheck Protection Program (“PPP”)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1,936,066 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deferred loan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loan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net of allowance for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2,056,254 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1,911,217 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Underwriting</w:t>
      </w:r>
    </w:p>
    <w:p>
      <w:pPr>
        <w:pStyle w:val="TextBody"/>
        <w:spacing w:lineRule="auto" w:line="288" w:before="240" w:after="283"/>
        <w:jc w:val="both"/>
        <w:rPr/>
      </w:pPr>
      <w:r>
        <w:rPr>
          <w:rFonts w:ascii="Times New Roman;sans-serif" w:hAnsi="Times New Roman;sans-serif"/>
          <w:b w:val="false"/>
          <w:color w:val="000000"/>
          <w:sz w:val="20"/>
          <w:u w:val="single"/>
        </w:rPr>
        <w:t>Commercial loans:</w:t>
      </w:r>
      <w:r>
        <w:rPr>
          <w:color w:val="000000"/>
        </w:rPr>
        <w:t xml:space="preserve"> </w:t>
      </w:r>
      <w:r>
        <w:rPr>
          <w:rFonts w:ascii="Times New Roman;sans-serif" w:hAnsi="Times New Roman;sans-serif"/>
          <w:b w:val="false"/>
          <w:color w:val="000000"/>
          <w:sz w:val="20"/>
        </w:rPr>
        <w:t>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pStyle w:val="TextBody"/>
        <w:spacing w:lineRule="auto" w:line="288" w:before="240" w:after="283"/>
        <w:jc w:val="both"/>
        <w:rPr/>
      </w:pPr>
      <w:r>
        <w:rPr>
          <w:rFonts w:ascii="Times New Roman;sans-serif" w:hAnsi="Times New Roman;sans-serif"/>
          <w:b w:val="false"/>
          <w:color w:val="000000"/>
          <w:sz w:val="20"/>
          <w:u w:val="single"/>
        </w:rPr>
        <w:t>Real estate loans:</w:t>
      </w:r>
      <w:r>
        <w:rPr>
          <w:color w:val="000000"/>
        </w:rPr>
        <w:t xml:space="preserve"> </w:t>
      </w:r>
      <w:r>
        <w:rPr>
          <w:rFonts w:ascii="Times New Roman;sans-serif" w:hAnsi="Times New Roman;sans-serif"/>
          <w:b w:val="false"/>
          <w:color w:val="000000"/>
          <w:sz w:val="20"/>
        </w:rPr>
        <w:t>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pStyle w:val="TextBody"/>
        <w:spacing w:lineRule="auto" w:line="288" w:before="240" w:after="283"/>
        <w:jc w:val="both"/>
        <w:rPr/>
      </w:pPr>
      <w:r>
        <w:rPr>
          <w:rFonts w:ascii="Times New Roman;sans-serif" w:hAnsi="Times New Roman;sans-serif"/>
          <w:b w:val="false"/>
          <w:color w:val="000000"/>
          <w:sz w:val="20"/>
          <w:u w:val="single"/>
        </w:rPr>
        <w:t>Construction loans:</w:t>
      </w:r>
      <w:r>
        <w:rPr>
          <w:color w:val="000000"/>
        </w:rPr>
        <w:t xml:space="preserve"> </w:t>
      </w:r>
      <w:r>
        <w:rPr>
          <w:rFonts w:ascii="Times New Roman;sans-serif" w:hAnsi="Times New Roman;sans-serif"/>
          <w:b w:val="false"/>
          <w:color w:val="000000"/>
          <w:sz w:val="20"/>
        </w:rPr>
        <w:t>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by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pPr>
      <w:r>
        <w:rPr>
          <w:rFonts w:ascii="Times New Roman;sans-serif" w:hAnsi="Times New Roman;sans-serif"/>
          <w:b w:val="false"/>
          <w:color w:val="000000"/>
          <w:sz w:val="20"/>
          <w:u w:val="single"/>
        </w:rPr>
        <w:t>Residential real estate loans:</w:t>
      </w:r>
      <w:r>
        <w:rPr>
          <w:color w:val="000000"/>
        </w:rPr>
        <w:t xml:space="preserve"> </w:t>
      </w:r>
      <w:r>
        <w:rPr>
          <w:rFonts w:ascii="Times New Roman;sans-serif" w:hAnsi="Times New Roman;sans-serif"/>
          <w:b w:val="false"/>
          <w:color w:val="000000"/>
          <w:sz w:val="20"/>
        </w:rPr>
        <w:t>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pStyle w:val="TextBody"/>
        <w:spacing w:lineRule="auto" w:line="288" w:before="240" w:after="283"/>
        <w:jc w:val="both"/>
        <w:rPr/>
      </w:pPr>
      <w:r>
        <w:rPr>
          <w:rFonts w:ascii="Times New Roman;sans-serif" w:hAnsi="Times New Roman;sans-serif"/>
          <w:b w:val="false"/>
          <w:color w:val="000000"/>
          <w:sz w:val="20"/>
          <w:u w:val="single"/>
        </w:rPr>
        <w:t>Farmland loans:</w:t>
      </w:r>
      <w:r>
        <w:rPr>
          <w:color w:val="000000"/>
        </w:rPr>
        <w:t xml:space="preserve"> </w:t>
      </w:r>
      <w:r>
        <w:rPr>
          <w:rFonts w:ascii="Times New Roman;sans-serif" w:hAnsi="Times New Roman;sans-serif"/>
          <w:b w:val="false"/>
          <w:color w:val="000000"/>
          <w:sz w:val="20"/>
        </w:rPr>
        <w:t>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pStyle w:val="TextBody"/>
        <w:spacing w:lineRule="auto" w:line="288" w:before="240" w:after="283"/>
        <w:jc w:val="both"/>
        <w:rPr/>
      </w:pPr>
      <w:r>
        <w:rPr>
          <w:rFonts w:ascii="Times New Roman;sans-serif" w:hAnsi="Times New Roman;sans-serif"/>
          <w:b w:val="false"/>
          <w:color w:val="000000"/>
          <w:sz w:val="20"/>
          <w:u w:val="single"/>
        </w:rPr>
        <w:t>Consumer loans:</w:t>
      </w:r>
      <w:r>
        <w:rPr>
          <w:color w:val="000000"/>
        </w:rPr>
        <w:t xml:space="preserve"> </w:t>
      </w:r>
      <w:r>
        <w:rPr>
          <w:rFonts w:ascii="Times New Roman;sans-serif" w:hAnsi="Times New Roman;sans-serif"/>
          <w:b w:val="false"/>
          <w:color w:val="000000"/>
          <w:sz w:val="20"/>
        </w:rPr>
        <w:t>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Quality Indicators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 loan risk rating system to measure and monitor the quality of the loan portfolio. All loans are assigned a risk rating from the inception of the loan until the loan is paid off. The primary loan grades are as follows:</w:t>
      </w:r>
    </w:p>
    <w:p>
      <w:pPr>
        <w:pStyle w:val="TextBody"/>
        <w:spacing w:lineRule="auto" w:line="288" w:before="240" w:after="283"/>
        <w:jc w:val="both"/>
        <w:rPr/>
      </w:pPr>
      <w:r>
        <w:rPr>
          <w:rFonts w:ascii="Times New Roman;sans-serif" w:hAnsi="Times New Roman;sans-serif"/>
          <w:b w:val="false"/>
          <w:color w:val="000000"/>
          <w:sz w:val="20"/>
          <w:u w:val="single"/>
        </w:rPr>
        <w:t>Loans rated pass</w:t>
      </w:r>
      <w:r>
        <w:rPr>
          <w:rFonts w:ascii="Times New Roman;sans-serif" w:hAnsi="Times New Roman;sans-serif"/>
          <w:b w:val="false"/>
          <w:color w:val="000000"/>
          <w:sz w:val="20"/>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pStyle w:val="TextBody"/>
        <w:spacing w:lineRule="auto" w:line="288" w:before="240" w:after="283"/>
        <w:jc w:val="both"/>
        <w:rPr/>
      </w:pPr>
      <w:r>
        <w:rPr>
          <w:rFonts w:ascii="Times New Roman;sans-serif" w:hAnsi="Times New Roman;sans-serif"/>
          <w:b w:val="false"/>
          <w:color w:val="000000"/>
          <w:sz w:val="20"/>
          <w:u w:val="single"/>
        </w:rPr>
        <w:t>Loans rated watch</w:t>
      </w:r>
      <w:r>
        <w:rPr>
          <w:rFonts w:ascii="Times New Roman;sans-serif" w:hAnsi="Times New Roman;sans-serif"/>
          <w:b w:val="false"/>
          <w:color w:val="000000"/>
          <w:sz w:val="20"/>
        </w:rPr>
        <w:t>: These are loans which have deficient loan quality and potentially significant issues, but losses do not appear to be imminent, and the issues are expected to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loan is generally kept current. If left uncorrected, these potential weaknesses may result in deterioration of the repayment prospects for the asset or in the Company’s credit position at some future date.</w:t>
      </w:r>
    </w:p>
    <w:p>
      <w:pPr>
        <w:pStyle w:val="TextBody"/>
        <w:spacing w:lineRule="auto" w:line="288" w:before="240" w:after="283"/>
        <w:jc w:val="both"/>
        <w:rPr/>
      </w:pPr>
      <w:r>
        <w:rPr>
          <w:rFonts w:ascii="Times New Roman;sans-serif" w:hAnsi="Times New Roman;sans-serif"/>
          <w:b w:val="false"/>
          <w:color w:val="000000"/>
          <w:sz w:val="20"/>
          <w:u w:val="single"/>
        </w:rPr>
        <w:t>Loans rated substandard</w:t>
      </w:r>
      <w:r>
        <w:rPr>
          <w:rFonts w:ascii="Times New Roman;sans-serif" w:hAnsi="Times New Roman;sans-serif"/>
          <w:b w:val="false"/>
          <w:color w:val="000000"/>
          <w:sz w:val="20"/>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 The substandard loan category includes loans that management has determined not to be impaired, as well as loans that are impaired.</w:t>
      </w:r>
    </w:p>
    <w:p>
      <w:pPr>
        <w:pStyle w:val="TextBody"/>
        <w:spacing w:lineRule="auto" w:line="288" w:before="240" w:after="283"/>
        <w:jc w:val="both"/>
        <w:rPr/>
      </w:pPr>
      <w:r>
        <w:rPr>
          <w:rFonts w:ascii="Times New Roman;sans-serif" w:hAnsi="Times New Roman;sans-serif"/>
          <w:b w:val="false"/>
          <w:color w:val="000000"/>
          <w:sz w:val="20"/>
          <w:u w:val="single"/>
        </w:rPr>
        <w:t>Loans rated doubtful</w:t>
      </w:r>
      <w:r>
        <w:rPr>
          <w:rFonts w:ascii="Times New Roman;sans-serif" w:hAnsi="Times New Roman;sans-serif"/>
          <w:b w:val="false"/>
          <w:color w:val="000000"/>
          <w:sz w:val="20"/>
        </w:rPr>
        <w:t>: These are loans for which the collection or liquidation of the entire debt is highly questionable or improbable. Typically, the possibility of loss is extremely high. The losses on these loans are deferred until all pending factors have been addressed.</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credit quality indicators related to the Company’s loans by class as of March 31, 2022:</w:t>
      </w:r>
    </w:p>
    <w:tbl>
      <w:tblPr>
        <w:tblW w:w="10205" w:type="dxa"/>
        <w:jc w:val="left"/>
        <w:tblInd w:w="0" w:type="dxa"/>
        <w:tblCellMar>
          <w:top w:w="28" w:type="dxa"/>
          <w:left w:w="28" w:type="dxa"/>
          <w:bottom w:w="28" w:type="dxa"/>
          <w:right w:w="28" w:type="dxa"/>
        </w:tblCellMar>
      </w:tblPr>
      <w:tblGrid>
        <w:gridCol w:w="1063"/>
        <w:gridCol w:w="936"/>
        <w:gridCol w:w="939"/>
        <w:gridCol w:w="109"/>
        <w:gridCol w:w="109"/>
        <w:gridCol w:w="109"/>
        <w:gridCol w:w="211"/>
        <w:gridCol w:w="976"/>
        <w:gridCol w:w="109"/>
        <w:gridCol w:w="109"/>
        <w:gridCol w:w="109"/>
        <w:gridCol w:w="109"/>
        <w:gridCol w:w="211"/>
        <w:gridCol w:w="721"/>
        <w:gridCol w:w="109"/>
        <w:gridCol w:w="109"/>
        <w:gridCol w:w="109"/>
        <w:gridCol w:w="109"/>
        <w:gridCol w:w="250"/>
        <w:gridCol w:w="731"/>
        <w:gridCol w:w="130"/>
        <w:gridCol w:w="109"/>
        <w:gridCol w:w="109"/>
        <w:gridCol w:w="109"/>
        <w:gridCol w:w="244"/>
        <w:gridCol w:w="470"/>
        <w:gridCol w:w="127"/>
        <w:gridCol w:w="109"/>
        <w:gridCol w:w="109"/>
        <w:gridCol w:w="109"/>
        <w:gridCol w:w="211"/>
        <w:gridCol w:w="976"/>
        <w:gridCol w:w="156"/>
      </w:tblGrid>
      <w:tr>
        <w:trPr/>
        <w:tc>
          <w:tcPr>
            <w:tcW w:w="1063"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9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Doubtful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938"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2,081,399 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credit quality indicators related to the Company’s loans by class as of December 31, 2021:</w:t>
      </w:r>
    </w:p>
    <w:tbl>
      <w:tblPr>
        <w:tblW w:w="10130" w:type="dxa"/>
        <w:jc w:val="left"/>
        <w:tblInd w:w="0" w:type="dxa"/>
        <w:tblCellMar>
          <w:top w:w="28" w:type="dxa"/>
          <w:left w:w="28" w:type="dxa"/>
          <w:bottom w:w="28" w:type="dxa"/>
          <w:right w:w="28" w:type="dxa"/>
        </w:tblCellMar>
      </w:tblPr>
      <w:tblGrid>
        <w:gridCol w:w="1074"/>
        <w:gridCol w:w="946"/>
        <w:gridCol w:w="950"/>
        <w:gridCol w:w="109"/>
        <w:gridCol w:w="109"/>
        <w:gridCol w:w="109"/>
        <w:gridCol w:w="211"/>
        <w:gridCol w:w="976"/>
        <w:gridCol w:w="109"/>
        <w:gridCol w:w="109"/>
        <w:gridCol w:w="109"/>
        <w:gridCol w:w="109"/>
        <w:gridCol w:w="211"/>
        <w:gridCol w:w="616"/>
        <w:gridCol w:w="109"/>
        <w:gridCol w:w="109"/>
        <w:gridCol w:w="109"/>
        <w:gridCol w:w="109"/>
        <w:gridCol w:w="225"/>
        <w:gridCol w:w="769"/>
        <w:gridCol w:w="117"/>
        <w:gridCol w:w="109"/>
        <w:gridCol w:w="109"/>
        <w:gridCol w:w="109"/>
        <w:gridCol w:w="244"/>
        <w:gridCol w:w="470"/>
        <w:gridCol w:w="127"/>
        <w:gridCol w:w="109"/>
        <w:gridCol w:w="109"/>
        <w:gridCol w:w="109"/>
        <w:gridCol w:w="211"/>
        <w:gridCol w:w="976"/>
        <w:gridCol w:w="154"/>
      </w:tblGrid>
      <w:tr>
        <w:trPr/>
        <w:tc>
          <w:tcPr>
            <w:tcW w:w="107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Doubtful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97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1,916,805 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10,614 </w:t>
            </w:r>
          </w:p>
        </w:tc>
        <w:tc>
          <w:tcPr>
            <w:tcW w:w="1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1,936,066 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other consumer loans based on delinquency. Management also reviews loans graded “watch” or worse, regardless of loan type, no less than quarterly.</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age analysis of past due loans by class as of March 31, 2022 consisted of the following:</w:t>
      </w:r>
    </w:p>
    <w:tbl>
      <w:tblPr>
        <w:tblW w:w="10097" w:type="dxa"/>
        <w:jc w:val="left"/>
        <w:tblInd w:w="0" w:type="dxa"/>
        <w:tblCellMar>
          <w:top w:w="28" w:type="dxa"/>
          <w:left w:w="28" w:type="dxa"/>
          <w:bottom w:w="28" w:type="dxa"/>
          <w:right w:w="28" w:type="dxa"/>
        </w:tblCellMar>
      </w:tblPr>
      <w:tblGrid>
        <w:gridCol w:w="1074"/>
        <w:gridCol w:w="946"/>
        <w:gridCol w:w="950"/>
        <w:gridCol w:w="109"/>
        <w:gridCol w:w="109"/>
        <w:gridCol w:w="109"/>
        <w:gridCol w:w="211"/>
        <w:gridCol w:w="466"/>
        <w:gridCol w:w="109"/>
        <w:gridCol w:w="109"/>
        <w:gridCol w:w="109"/>
        <w:gridCol w:w="109"/>
        <w:gridCol w:w="335"/>
        <w:gridCol w:w="646"/>
        <w:gridCol w:w="173"/>
        <w:gridCol w:w="109"/>
        <w:gridCol w:w="109"/>
        <w:gridCol w:w="109"/>
        <w:gridCol w:w="245"/>
        <w:gridCol w:w="543"/>
        <w:gridCol w:w="127"/>
        <w:gridCol w:w="109"/>
        <w:gridCol w:w="109"/>
        <w:gridCol w:w="109"/>
        <w:gridCol w:w="211"/>
        <w:gridCol w:w="976"/>
        <w:gridCol w:w="109"/>
        <w:gridCol w:w="109"/>
        <w:gridCol w:w="109"/>
        <w:gridCol w:w="109"/>
        <w:gridCol w:w="211"/>
        <w:gridCol w:w="976"/>
        <w:gridCol w:w="154"/>
      </w:tblGrid>
      <w:tr>
        <w:trPr/>
        <w:tc>
          <w:tcPr>
            <w:tcW w:w="107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30-89</w:t>
              <w:br/>
              <w:t>Days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Greater Than</w:t>
              <w:br/>
              <w:t>90 Days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Past</w:t>
              <w:br/>
              <w:t>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Loans</w:t>
              <w:br/>
              <w:t>Receivable</w:t>
            </w:r>
          </w:p>
        </w:tc>
      </w:tr>
      <w:tr>
        <w:trPr/>
        <w:tc>
          <w:tcPr>
            <w:tcW w:w="297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2,080,850 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2,081,399 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There were no loans between 60-89 days past due nor any loans greater than 90 days past due and still accruing as of March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age analysis of past due loans by class as of December 31, 2021 consisted of the following:</w:t>
      </w:r>
    </w:p>
    <w:tbl>
      <w:tblPr>
        <w:tblW w:w="10141" w:type="dxa"/>
        <w:jc w:val="left"/>
        <w:tblInd w:w="0" w:type="dxa"/>
        <w:tblCellMar>
          <w:top w:w="28" w:type="dxa"/>
          <w:left w:w="28" w:type="dxa"/>
          <w:bottom w:w="28" w:type="dxa"/>
          <w:right w:w="28" w:type="dxa"/>
        </w:tblCellMar>
      </w:tblPr>
      <w:tblGrid>
        <w:gridCol w:w="1074"/>
        <w:gridCol w:w="946"/>
        <w:gridCol w:w="950"/>
        <w:gridCol w:w="109"/>
        <w:gridCol w:w="109"/>
        <w:gridCol w:w="109"/>
        <w:gridCol w:w="211"/>
        <w:gridCol w:w="466"/>
        <w:gridCol w:w="109"/>
        <w:gridCol w:w="109"/>
        <w:gridCol w:w="109"/>
        <w:gridCol w:w="109"/>
        <w:gridCol w:w="335"/>
        <w:gridCol w:w="646"/>
        <w:gridCol w:w="173"/>
        <w:gridCol w:w="109"/>
        <w:gridCol w:w="109"/>
        <w:gridCol w:w="109"/>
        <w:gridCol w:w="257"/>
        <w:gridCol w:w="569"/>
        <w:gridCol w:w="133"/>
        <w:gridCol w:w="109"/>
        <w:gridCol w:w="109"/>
        <w:gridCol w:w="109"/>
        <w:gridCol w:w="211"/>
        <w:gridCol w:w="976"/>
        <w:gridCol w:w="109"/>
        <w:gridCol w:w="109"/>
        <w:gridCol w:w="109"/>
        <w:gridCol w:w="109"/>
        <w:gridCol w:w="211"/>
        <w:gridCol w:w="976"/>
        <w:gridCol w:w="154"/>
      </w:tblGrid>
      <w:tr>
        <w:trPr/>
        <w:tc>
          <w:tcPr>
            <w:tcW w:w="107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Past </w:t>
              <w:br/>
              <w:t>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Loans</w:t>
              <w:br/>
              <w:t>Receivable</w:t>
            </w:r>
          </w:p>
        </w:tc>
      </w:tr>
      <w:tr>
        <w:trPr/>
        <w:tc>
          <w:tcPr>
            <w:tcW w:w="297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30-89</w:t>
              <w:br/>
              <w:t>Days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Greater Than</w:t>
              <w:br/>
              <w:t>90 Days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97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1,935,732 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1,936,066 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loans between 60-89 days past due nor any loans greater than 90 days past due and still accruing as of December 31, 2021.</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Impaired Loans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related to impaired loans as of March 31, 2022 and December 31, 2021 consisted of the following:</w:t>
      </w:r>
    </w:p>
    <w:tbl>
      <w:tblPr>
        <w:tblW w:w="10205" w:type="dxa"/>
        <w:jc w:val="left"/>
        <w:tblInd w:w="0" w:type="dxa"/>
        <w:tblCellMar>
          <w:top w:w="28" w:type="dxa"/>
          <w:left w:w="28" w:type="dxa"/>
          <w:bottom w:w="28" w:type="dxa"/>
          <w:right w:w="28" w:type="dxa"/>
        </w:tblCellMar>
      </w:tblPr>
      <w:tblGrid>
        <w:gridCol w:w="920"/>
        <w:gridCol w:w="766"/>
        <w:gridCol w:w="770"/>
        <w:gridCol w:w="109"/>
        <w:gridCol w:w="109"/>
        <w:gridCol w:w="109"/>
        <w:gridCol w:w="226"/>
        <w:gridCol w:w="662"/>
        <w:gridCol w:w="118"/>
        <w:gridCol w:w="109"/>
        <w:gridCol w:w="109"/>
        <w:gridCol w:w="109"/>
        <w:gridCol w:w="211"/>
        <w:gridCol w:w="616"/>
        <w:gridCol w:w="109"/>
        <w:gridCol w:w="109"/>
        <w:gridCol w:w="109"/>
        <w:gridCol w:w="109"/>
        <w:gridCol w:w="262"/>
        <w:gridCol w:w="578"/>
        <w:gridCol w:w="136"/>
        <w:gridCol w:w="109"/>
        <w:gridCol w:w="109"/>
        <w:gridCol w:w="109"/>
        <w:gridCol w:w="270"/>
        <w:gridCol w:w="596"/>
        <w:gridCol w:w="140"/>
        <w:gridCol w:w="109"/>
        <w:gridCol w:w="109"/>
        <w:gridCol w:w="109"/>
        <w:gridCol w:w="225"/>
        <w:gridCol w:w="498"/>
        <w:gridCol w:w="118"/>
        <w:gridCol w:w="109"/>
        <w:gridCol w:w="109"/>
        <w:gridCol w:w="109"/>
        <w:gridCol w:w="259"/>
        <w:gridCol w:w="572"/>
        <w:gridCol w:w="191"/>
      </w:tblGrid>
      <w:tr>
        <w:trPr/>
        <w:tc>
          <w:tcPr>
            <w:tcW w:w="920"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r>
      <w:tr>
        <w:trPr/>
        <w:tc>
          <w:tcPr>
            <w:tcW w:w="24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Recorded</w:t>
              <w:br/>
              <w:t>Investment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Unpaid</w:t>
              <w:br/>
              <w:t>Principal</w:t>
              <w:br/>
              <w:t>Balance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Related</w:t>
              <w:br/>
              <w:t>Allowance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Recorded</w:t>
              <w:br/>
              <w:t>Investment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Unpaid</w:t>
              <w:br/>
              <w:t>Principal</w:t>
              <w:br/>
              <w:t>Balance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Related</w:t>
              <w:br/>
              <w:t>Allowance</w:t>
            </w:r>
          </w:p>
        </w:tc>
      </w:tr>
      <w:tr>
        <w:trPr/>
        <w:tc>
          <w:tcPr>
            <w:tcW w:w="245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no related allowance recorded: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an allowance recorded: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4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by category: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impaired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collateral dependent loans were in process of foreclosure at March 31, 2022 or December 31, 2021.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related to impaired loans for the three months ended March 31, 2022 and 2021 consisted of the following:</w:t>
      </w:r>
    </w:p>
    <w:tbl>
      <w:tblPr>
        <w:tblW w:w="10205" w:type="dxa"/>
        <w:jc w:val="left"/>
        <w:tblInd w:w="0" w:type="dxa"/>
        <w:tblCellMar>
          <w:top w:w="28" w:type="dxa"/>
          <w:left w:w="28" w:type="dxa"/>
          <w:bottom w:w="28" w:type="dxa"/>
          <w:right w:w="28" w:type="dxa"/>
        </w:tblCellMar>
      </w:tblPr>
      <w:tblGrid>
        <w:gridCol w:w="751"/>
        <w:gridCol w:w="575"/>
        <w:gridCol w:w="578"/>
        <w:gridCol w:w="109"/>
        <w:gridCol w:w="109"/>
        <w:gridCol w:w="109"/>
        <w:gridCol w:w="367"/>
        <w:gridCol w:w="1076"/>
        <w:gridCol w:w="191"/>
        <w:gridCol w:w="109"/>
        <w:gridCol w:w="109"/>
        <w:gridCol w:w="109"/>
        <w:gridCol w:w="466"/>
        <w:gridCol w:w="897"/>
        <w:gridCol w:w="242"/>
        <w:gridCol w:w="109"/>
        <w:gridCol w:w="115"/>
        <w:gridCol w:w="115"/>
        <w:gridCol w:w="115"/>
        <w:gridCol w:w="115"/>
        <w:gridCol w:w="438"/>
        <w:gridCol w:w="969"/>
        <w:gridCol w:w="227"/>
        <w:gridCol w:w="109"/>
        <w:gridCol w:w="109"/>
        <w:gridCol w:w="109"/>
        <w:gridCol w:w="466"/>
        <w:gridCol w:w="897"/>
        <w:gridCol w:w="242"/>
        <w:gridCol w:w="109"/>
        <w:gridCol w:w="164"/>
      </w:tblGrid>
      <w:tr>
        <w:trPr/>
        <w:tc>
          <w:tcPr>
            <w:tcW w:w="751"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9" w:type="dxa"/>
            <w:gridSpan w:val="17"/>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2205" w:type="dxa"/>
            <w:gridSpan w:val="8"/>
            <w:tcBorders/>
            <w:shd w:fill="auto" w:val="clea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6"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109" w:type="dxa"/>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7"/>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2205" w:type="dxa"/>
            <w:gridSpan w:val="8"/>
            <w:tcBorders/>
            <w:shd w:fill="auto" w:val="clea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Recorded Investment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Income Recognized</w:t>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Recorded Investment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Income Recognized</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no related allowance recorded: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an allowance recorded: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by category: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impaired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Non-accrual loans, segregated by class, are as follows as of March 31, 2022 and December 31, 2021:</w:t>
      </w:r>
    </w:p>
    <w:tbl>
      <w:tblPr>
        <w:tblW w:w="4888" w:type="dxa"/>
        <w:jc w:val="left"/>
        <w:tblInd w:w="0" w:type="dxa"/>
        <w:tblCellMar>
          <w:top w:w="28" w:type="dxa"/>
          <w:left w:w="28" w:type="dxa"/>
          <w:bottom w:w="28" w:type="dxa"/>
          <w:right w:w="28" w:type="dxa"/>
        </w:tblCellMar>
      </w:tblPr>
      <w:tblGrid>
        <w:gridCol w:w="737"/>
        <w:gridCol w:w="649"/>
        <w:gridCol w:w="653"/>
        <w:gridCol w:w="109"/>
        <w:gridCol w:w="109"/>
        <w:gridCol w:w="109"/>
        <w:gridCol w:w="211"/>
        <w:gridCol w:w="616"/>
        <w:gridCol w:w="109"/>
        <w:gridCol w:w="109"/>
        <w:gridCol w:w="109"/>
        <w:gridCol w:w="109"/>
        <w:gridCol w:w="320"/>
        <w:gridCol w:w="705"/>
        <w:gridCol w:w="234"/>
      </w:tblGrid>
      <w:tr>
        <w:trPr/>
        <w:tc>
          <w:tcPr>
            <w:tcW w:w="737"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2021</w:t>
            </w:r>
          </w:p>
        </w:tc>
      </w:tr>
      <w:tr>
        <w:trPr/>
        <w:tc>
          <w:tcPr>
            <w:tcW w:w="203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non-accrual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foregone interest income related to non-accrual loans was $18.3 thousand and $6.8 thousand for the three months ended March 31, 2022 and 2021, respectively.</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Troubled Debt Restructuring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loan portfolio may include certain loans that have been modified in a troubled debt restructuring (“TDR”), which are loans for which concessions in terms have been granted because of the borrowers’ financial difficulties. These concessions typically result from the Company’s loss mitigation activities and could include reductions in the interest rate, payment extensions, forgiveness of principal, forbearance, or other actions. Certain TDRs are placed on non-accrual status at the time of restructure and may only be returned to accruing status after considering the borrower’s sustained repayment performance for a reasonable period, generally six months.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a loan is modified, it is measured based upon the present value of future cash flows discounted at the effective interest rate of the original loan agreement or the fair value of collateral less selling costs if the loan is collateral dependent. If the value of the modified loan is less than the recorded investment in the loan, impairment is recognized through a specific allowance or a charge-off of the loan.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loans outstanding with a TDR designation at March 31, 2022 or December 31, 2021.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4013 of the Coronavirus Aid, Relief, and Economic Security Act (“CARES Act”), as subsequently amended by the Consolidated Appropriations Act, 2021, provided TDR relief for borrowers affected by the COVID-19 pandemic. Specifically, the CARES Act, as amended, specified that to be eligible not to be considered a TDR, a loan modification must be (i) related to the COVID-19 pandemic; (ii) executed on a loan that was not more than 30 days past due as of December 31, 2020; and (iii) executed between March 1, 2020, and the earlier of (a) 60 days after the date of termination of the federal national emergency; or (b) January 1, 2022. In accordance with section 4013 of the CARES Act, the Company elected to apply the temporary accounting relief provisions for loan modifications that met certain criteria, which would otherwise be designated TDRs under existing GAAP. As of March 31, 2022 and December 31, 2021, six borrowing relationships with six loans totaling $12.2 million were continuing to benefit from payment relief. The Company accrues and recognizes interest income on loans under payment relief based on the original contractual interest rates. When payments resume at the end of the relief period, the payments will generally be applied to accrued interest due until accrued interest is fully paid.</w:t>
      </w:r>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activity in the allowance for loan losses for the periods presented.</w:t>
      </w:r>
    </w:p>
    <w:tbl>
      <w:tblPr>
        <w:tblW w:w="14287" w:type="dxa"/>
        <w:jc w:val="left"/>
        <w:tblInd w:w="0" w:type="dxa"/>
        <w:tblCellMar>
          <w:top w:w="28" w:type="dxa"/>
          <w:left w:w="28" w:type="dxa"/>
          <w:bottom w:w="28" w:type="dxa"/>
          <w:right w:w="28" w:type="dxa"/>
        </w:tblCellMar>
      </w:tblPr>
      <w:tblGrid>
        <w:gridCol w:w="429"/>
        <w:gridCol w:w="258"/>
        <w:gridCol w:w="259"/>
        <w:gridCol w:w="109"/>
        <w:gridCol w:w="109"/>
        <w:gridCol w:w="109"/>
        <w:gridCol w:w="196"/>
        <w:gridCol w:w="646"/>
        <w:gridCol w:w="109"/>
        <w:gridCol w:w="109"/>
        <w:gridCol w:w="109"/>
        <w:gridCol w:w="109"/>
        <w:gridCol w:w="196"/>
        <w:gridCol w:w="331"/>
        <w:gridCol w:w="109"/>
        <w:gridCol w:w="109"/>
        <w:gridCol w:w="109"/>
        <w:gridCol w:w="109"/>
        <w:gridCol w:w="196"/>
        <w:gridCol w:w="421"/>
        <w:gridCol w:w="109"/>
        <w:gridCol w:w="109"/>
        <w:gridCol w:w="109"/>
        <w:gridCol w:w="109"/>
        <w:gridCol w:w="196"/>
        <w:gridCol w:w="331"/>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196"/>
        <w:gridCol w:w="406"/>
        <w:gridCol w:w="109"/>
        <w:gridCol w:w="109"/>
        <w:gridCol w:w="109"/>
        <w:gridCol w:w="109"/>
        <w:gridCol w:w="196"/>
        <w:gridCol w:w="556"/>
        <w:gridCol w:w="109"/>
        <w:gridCol w:w="327"/>
        <w:gridCol w:w="196"/>
        <w:gridCol w:w="556"/>
        <w:gridCol w:w="109"/>
        <w:gridCol w:w="327"/>
        <w:gridCol w:w="196"/>
        <w:gridCol w:w="646"/>
        <w:gridCol w:w="154"/>
      </w:tblGrid>
      <w:tr>
        <w:trPr/>
        <w:tc>
          <w:tcPr>
            <w:tcW w:w="42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6"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Real Estate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Comml</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Comml</w:t>
              <w:br/>
              <w:t>Land and</w:t>
              <w:br/>
              <w:t xml:space="preserve">Devel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Comml</w:t>
              <w:br/>
              <w:t xml:space="preserve">Const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Resid</w:t>
              <w:br/>
              <w:t xml:space="preserve">Const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Resid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Farm-</w:t>
              <w:br/>
              <w:t xml:space="preserve">land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Secured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Unsec</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PPP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Consu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Unal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r>
      <w:tr>
        <w:trPr/>
        <w:tc>
          <w:tcPr>
            <w:tcW w:w="94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(recapture)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(recapture)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22,271 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the allowance for loan losses by impairment methodology for the periods presented.</w:t>
      </w:r>
    </w:p>
    <w:tbl>
      <w:tblPr>
        <w:tblW w:w="16762" w:type="dxa"/>
        <w:jc w:val="left"/>
        <w:tblInd w:w="0" w:type="dxa"/>
        <w:tblCellMar>
          <w:top w:w="28" w:type="dxa"/>
          <w:left w:w="28" w:type="dxa"/>
          <w:bottom w:w="28" w:type="dxa"/>
          <w:right w:w="28" w:type="dxa"/>
        </w:tblCellMar>
      </w:tblPr>
      <w:tblGrid>
        <w:gridCol w:w="594"/>
        <w:gridCol w:w="258"/>
        <w:gridCol w:w="259"/>
        <w:gridCol w:w="109"/>
        <w:gridCol w:w="109"/>
        <w:gridCol w:w="109"/>
        <w:gridCol w:w="196"/>
        <w:gridCol w:w="871"/>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327"/>
        <w:gridCol w:w="196"/>
        <w:gridCol w:w="556"/>
        <w:gridCol w:w="109"/>
        <w:gridCol w:w="327"/>
        <w:gridCol w:w="196"/>
        <w:gridCol w:w="871"/>
        <w:gridCol w:w="154"/>
      </w:tblGrid>
      <w:tr>
        <w:trPr/>
        <w:tc>
          <w:tcPr>
            <w:tcW w:w="5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6"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Real Estate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Comml</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Comml</w:t>
              <w:br/>
              <w:t>Land and</w:t>
              <w:br/>
              <w:t>Devel</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Comml</w:t>
              <w:br/>
              <w:t>Const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Resid</w:t>
              <w:br/>
              <w:t>Const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Resid</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Farm-</w:t>
              <w:br/>
              <w:t>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Secured</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Unsec</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PPP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Consu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11"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 of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allowance balance allocated 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individually evaluated for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collectively evaluated for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23,265 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individually evaluated for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collectively evaluated for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2,080,058 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1,760,551 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2,081,399 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allowance balance allocated 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individually evaluated for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collectively evaluated for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individually evaluated for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collectively evaluated for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1,935,478 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1,586,232 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54,214 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137,062 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1,936,066 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Pledged Loans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FHLB line of credit is secured under terms of a collateral agreement by a pledge of certain qualifying loans with unpaid principal balances of $1.2 billion and $941.2 million at March 31, 2022 and December 31, 2021, respectively. In addition, the Company pledges eligible tenants in common loans, which totaled $29.7 million and $33.4 million at March 31, 2022 and December 31, 2021, respectively, to secure its borrowing capacity with the Federal Reserve Bank of San Francisco. See Note 8, Long Term Debt and Other Borrowings, for further discussion of these borrowings.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Loans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and expects to have in the future, banking transactions in the ordinary course of its business with directors, officers, principal shareholders, and their businesses or associates. In accordance with applicable regulations and Bank policies, these loans are granted on substantially the same terms, including interest rates and collateral on loans, as those prevailing at the same time for comparable transactions with persons not related to the Company. Likewise, these transactions do not involve more than the normal risk of collectability or present other unfavorable features. Loan commitment to insiders and affiliates, net of cash collateral, totaled $8.9 million at March 31, 2022 and $9.7 million at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Note 6: Interest-Bearing Deposits</w:t>
      </w:r>
      <w:r>
        <w:rPr>
          <w:color w:val="00000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consisted of the following as of March 31, 2022 and December 31, 2021:</w:t>
      </w:r>
    </w:p>
    <w:tbl>
      <w:tblPr>
        <w:tblW w:w="5886" w:type="dxa"/>
        <w:jc w:val="left"/>
        <w:tblInd w:w="0" w:type="dxa"/>
        <w:tblCellMar>
          <w:top w:w="28" w:type="dxa"/>
          <w:left w:w="28" w:type="dxa"/>
          <w:bottom w:w="28" w:type="dxa"/>
          <w:right w:w="28" w:type="dxa"/>
        </w:tblCellMar>
      </w:tblPr>
      <w:tblGrid>
        <w:gridCol w:w="940"/>
        <w:gridCol w:w="826"/>
        <w:gridCol w:w="829"/>
        <w:gridCol w:w="109"/>
        <w:gridCol w:w="109"/>
        <w:gridCol w:w="109"/>
        <w:gridCol w:w="211"/>
        <w:gridCol w:w="976"/>
        <w:gridCol w:w="109"/>
        <w:gridCol w:w="109"/>
        <w:gridCol w:w="109"/>
        <w:gridCol w:w="109"/>
        <w:gridCol w:w="211"/>
        <w:gridCol w:w="976"/>
        <w:gridCol w:w="154"/>
      </w:tblGrid>
      <w:tr>
        <w:trPr/>
        <w:tc>
          <w:tcPr>
            <w:tcW w:w="94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2021</w:t>
            </w:r>
          </w:p>
        </w:tc>
      </w:tr>
      <w:tr>
        <w:trPr/>
        <w:tc>
          <w:tcPr>
            <w:tcW w:w="259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checking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$250 or more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time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1,561,807 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1,383,772 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Time deposits totaled $179.0 million and $104.3 million as of March 31, 2022 and December 31, 2021, respectively. As of March 31, 2022, scheduled maturities of time deposits for the next five years were as follows: </w:t>
      </w:r>
    </w:p>
    <w:tbl>
      <w:tblPr>
        <w:tblW w:w="3197" w:type="dxa"/>
        <w:jc w:val="left"/>
        <w:tblInd w:w="0" w:type="dxa"/>
        <w:tblCellMar>
          <w:top w:w="28" w:type="dxa"/>
          <w:left w:w="28" w:type="dxa"/>
          <w:bottom w:w="28" w:type="dxa"/>
          <w:right w:w="28" w:type="dxa"/>
        </w:tblCellMar>
      </w:tblPr>
      <w:tblGrid>
        <w:gridCol w:w="607"/>
        <w:gridCol w:w="535"/>
        <w:gridCol w:w="537"/>
        <w:gridCol w:w="109"/>
        <w:gridCol w:w="109"/>
        <w:gridCol w:w="109"/>
        <w:gridCol w:w="211"/>
        <w:gridCol w:w="826"/>
        <w:gridCol w:w="154"/>
      </w:tblGrid>
      <w:tr>
        <w:trPr/>
        <w:tc>
          <w:tcPr>
            <w:tcW w:w="60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time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179,034 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 following table shows the composition of network deposits for March 31, 2022 and December 31, 2021. There were no one-way deposits at March 31, 2022 and December 31, 2021. The composition of network deposits as of March 31, 2022 and December 31, 2021 was as follows: </w:t>
      </w:r>
    </w:p>
    <w:tbl>
      <w:tblPr>
        <w:tblW w:w="5039" w:type="dxa"/>
        <w:jc w:val="left"/>
        <w:tblInd w:w="0" w:type="dxa"/>
        <w:tblCellMar>
          <w:top w:w="28" w:type="dxa"/>
          <w:left w:w="28" w:type="dxa"/>
          <w:bottom w:w="28" w:type="dxa"/>
          <w:right w:w="28" w:type="dxa"/>
        </w:tblCellMar>
      </w:tblPr>
      <w:tblGrid>
        <w:gridCol w:w="716"/>
        <w:gridCol w:w="630"/>
        <w:gridCol w:w="633"/>
        <w:gridCol w:w="109"/>
        <w:gridCol w:w="109"/>
        <w:gridCol w:w="109"/>
        <w:gridCol w:w="211"/>
        <w:gridCol w:w="826"/>
        <w:gridCol w:w="109"/>
        <w:gridCol w:w="109"/>
        <w:gridCol w:w="109"/>
        <w:gridCol w:w="109"/>
        <w:gridCol w:w="223"/>
        <w:gridCol w:w="874"/>
        <w:gridCol w:w="163"/>
      </w:tblGrid>
      <w:tr>
        <w:trPr/>
        <w:tc>
          <w:tcPr>
            <w:tcW w:w="716"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2021</w:t>
            </w:r>
          </w:p>
        </w:tc>
      </w:tr>
      <w:tr>
        <w:trPr/>
        <w:tc>
          <w:tcPr>
            <w:tcW w:w="197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22,411 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307,636 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network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349,544 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330,047 </w:t>
            </w:r>
          </w:p>
        </w:tc>
        <w:tc>
          <w:tcPr>
            <w:tcW w:w="1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2022 and December 31, 2021, deposits from related parties (directors, executive officers, and principal shareholders) totaled $39.6 million and $32.4 million,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interest-bearing deposits for periods ended March 31, 2022, and 2021 consisted of the following:</w:t>
      </w:r>
    </w:p>
    <w:tbl>
      <w:tblPr>
        <w:tblW w:w="6757" w:type="dxa"/>
        <w:jc w:val="left"/>
        <w:tblInd w:w="0" w:type="dxa"/>
        <w:tblCellMar>
          <w:top w:w="28" w:type="dxa"/>
          <w:left w:w="28" w:type="dxa"/>
          <w:bottom w:w="28" w:type="dxa"/>
          <w:right w:w="28" w:type="dxa"/>
        </w:tblCellMar>
      </w:tblPr>
      <w:tblGrid>
        <w:gridCol w:w="1521"/>
        <w:gridCol w:w="1337"/>
        <w:gridCol w:w="1342"/>
        <w:gridCol w:w="109"/>
        <w:gridCol w:w="109"/>
        <w:gridCol w:w="109"/>
        <w:gridCol w:w="249"/>
        <w:gridCol w:w="551"/>
        <w:gridCol w:w="129"/>
        <w:gridCol w:w="109"/>
        <w:gridCol w:w="109"/>
        <w:gridCol w:w="109"/>
        <w:gridCol w:w="247"/>
        <w:gridCol w:w="547"/>
        <w:gridCol w:w="180"/>
      </w:tblGrid>
      <w:tr>
        <w:trPr/>
        <w:tc>
          <w:tcPr>
            <w:tcW w:w="1521"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r>
      <w:tr>
        <w:trPr/>
        <w:tc>
          <w:tcPr>
            <w:tcW w:w="4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2021</w:t>
            </w:r>
          </w:p>
        </w:tc>
      </w:tr>
      <w:tr>
        <w:trPr/>
        <w:tc>
          <w:tcPr>
            <w:tcW w:w="420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checking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$250 or more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time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on interest-bearing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for its banking operations under non-cancelable operating leases of various terms. The leases expire at dates through 2032 and provide for renewal options from zero to five years. In the normal course of business, it is expected that these leases will be renewed or replaced by leases on other properties. One of the leases provides for increases in future minimum annual rental payments based on defined increases in the Consumer Price Index, while the remaining leases include pre-defined rental increases over the term of the lease.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sublease agreement for space adjacent to the Redding location. The sublease has renewal terms extended to December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its Sacramento loan production office from a partnership comprised of some of the Company’s shareholders and certain members of its board of directors. The Sacramento loan production office lease extends through April 2023. Additionally, the Company leased its Natomas branch from the same partnership of related parties until July 13, 2021, at which time ownership of the property was transferred to an unrelated third-party landlord. Rent expense paid to the partnership under these leases was insignificant for the three months ended March 31, 2022 and $0.1 million for the three months ended March 31, 2021.</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 xml:space="preserve">The Company adopted ASU 2016-02,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i/>
          <w:color w:val="000000"/>
          <w:sz w:val="20"/>
        </w:rPr>
        <w:t>(Topic 842)</w:t>
      </w:r>
      <w:r>
        <w:rPr>
          <w:color w:val="000000"/>
        </w:rPr>
        <w:t xml:space="preserve"> </w:t>
      </w:r>
      <w:r>
        <w:rPr>
          <w:rFonts w:ascii="Times New Roman;sans-serif" w:hAnsi="Times New Roman;sans-serif"/>
          <w:b w:val="false"/>
          <w:color w:val="000000"/>
          <w:sz w:val="20"/>
        </w:rPr>
        <w:t>as of January 1, 2022, which requires the Company to record an ROUA on the consolidated balance sheets for those leases that convey rights to control use of identified assets for a period of time in exchange for consideration. The Company is also required to record a lease liability on the consolidated balance sheets for the present value of future payment commitments. All of the Company’s leases are comprised of operating leases in which the Company is the lessee of real estate property for branches and operations. The Company elected not to include short-term leases (i.e., leases with initial terms of 12 months or less) within the ROUA and lease liability. Known or determinable adjustments to the required minimum future lease payments were included in the calculation of the Company’s ROUA and lease liability. Adjustments to the required minimum future lease payments that are variable and will not be determinable until a future period, if any, such as changes in the Consumer Price Index, are included as variable lease costs. Additionally, expected variable payments for common area maintenance, taxes, and insurance were unknown and not determinable at lease commencement and, therefore, were not included in the determination of the Company’s ROUA or lease liability.</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the ROUA and lease liability is impacted by the amount of the periodic payment required, length of the lease term, and the discount rate used to calculate the present value of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ROUA and lease liability. ASC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2022, the rate for the remaining lease term as of January 1, 2022 was used. The lease liability is reduced based on the discounted present value of remaining payments as of each reporting period. The ROUA value is measured using the lease liability as adjusted for prepaid or accrued lease payments and remaining lease incentives, unamortized direct costs, and impairment, if any.</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lease expense for the three months ended March 31, 2022:</w:t>
      </w:r>
    </w:p>
    <w:p>
      <w:pPr>
        <w:pStyle w:val="TextBody"/>
        <w:spacing w:before="0" w:after="0"/>
        <w:rPr/>
      </w:pPr>
      <w:r>
        <w:rPr/>
      </w:r>
    </w:p>
    <w:tbl>
      <w:tblPr>
        <w:tblW w:w="3925" w:type="dxa"/>
        <w:jc w:val="left"/>
        <w:tblInd w:w="0" w:type="dxa"/>
        <w:tblCellMar>
          <w:top w:w="28" w:type="dxa"/>
          <w:left w:w="28" w:type="dxa"/>
          <w:bottom w:w="28" w:type="dxa"/>
          <w:right w:w="28" w:type="dxa"/>
        </w:tblCellMar>
      </w:tblPr>
      <w:tblGrid>
        <w:gridCol w:w="650"/>
        <w:gridCol w:w="573"/>
        <w:gridCol w:w="576"/>
        <w:gridCol w:w="109"/>
        <w:gridCol w:w="109"/>
        <w:gridCol w:w="109"/>
        <w:gridCol w:w="455"/>
        <w:gridCol w:w="1009"/>
        <w:gridCol w:w="335"/>
      </w:tblGrid>
      <w:tr>
        <w:trPr/>
        <w:tc>
          <w:tcPr>
            <w:tcW w:w="65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179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2016-02, rent expense under operating leases was $0.3 million during the three months ended March 31, 2021. Rent expense was partially offset by rent income of $5.2 thousand during the three months ended March 31, 2021.</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operating lease term and discount rate at March 31, 2022:</w:t>
      </w:r>
    </w:p>
    <w:p>
      <w:pPr>
        <w:pStyle w:val="TextBody"/>
        <w:spacing w:before="0" w:after="0"/>
        <w:rPr/>
      </w:pPr>
      <w:r>
        <w:rPr/>
      </w:r>
    </w:p>
    <w:tbl>
      <w:tblPr>
        <w:tblW w:w="5876" w:type="dxa"/>
        <w:jc w:val="left"/>
        <w:tblInd w:w="0" w:type="dxa"/>
        <w:tblCellMar>
          <w:top w:w="28" w:type="dxa"/>
          <w:left w:w="28" w:type="dxa"/>
          <w:bottom w:w="28" w:type="dxa"/>
          <w:right w:w="28" w:type="dxa"/>
        </w:tblCellMar>
      </w:tblPr>
      <w:tblGrid>
        <w:gridCol w:w="1486"/>
        <w:gridCol w:w="1308"/>
        <w:gridCol w:w="1316"/>
        <w:gridCol w:w="109"/>
        <w:gridCol w:w="109"/>
        <w:gridCol w:w="109"/>
        <w:gridCol w:w="293"/>
        <w:gridCol w:w="293"/>
        <w:gridCol w:w="853"/>
      </w:tblGrid>
      <w:tr>
        <w:trPr/>
        <w:tc>
          <w:tcPr>
            <w:tcW w:w="1486"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years</w:t>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85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future expected operating lease payments under the Company's operating lease agreements as of March 31, 2022: </w:t>
      </w:r>
    </w:p>
    <w:tbl>
      <w:tblPr>
        <w:tblW w:w="5433" w:type="dxa"/>
        <w:jc w:val="left"/>
        <w:tblInd w:w="0" w:type="dxa"/>
        <w:tblCellMar>
          <w:top w:w="28" w:type="dxa"/>
          <w:left w:w="28" w:type="dxa"/>
          <w:bottom w:w="28" w:type="dxa"/>
          <w:right w:w="28" w:type="dxa"/>
        </w:tblCellMar>
      </w:tblPr>
      <w:tblGrid>
        <w:gridCol w:w="1491"/>
        <w:gridCol w:w="1314"/>
        <w:gridCol w:w="1320"/>
        <w:gridCol w:w="109"/>
        <w:gridCol w:w="109"/>
        <w:gridCol w:w="109"/>
        <w:gridCol w:w="211"/>
        <w:gridCol w:w="616"/>
        <w:gridCol w:w="154"/>
      </w:tblGrid>
      <w:tr>
        <w:trPr/>
        <w:tc>
          <w:tcPr>
            <w:tcW w:w="1491"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expected operating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for present value of expected cash flows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Long Term Debt and Other Borrowings</w:t>
      </w:r>
    </w:p>
    <w:p>
      <w:pPr>
        <w:pStyle w:val="TextBody"/>
        <w:spacing w:lineRule="auto" w:line="288" w:before="240" w:after="283"/>
        <w:jc w:val="both"/>
        <w:rPr/>
      </w:pPr>
      <w:r>
        <w:rPr>
          <w:rFonts w:ascii="Times New Roman;sans-serif" w:hAnsi="Times New Roman;sans-serif"/>
          <w:b w:val="false"/>
          <w:color w:val="000000"/>
          <w:sz w:val="20"/>
          <w:u w:val="single"/>
        </w:rPr>
        <w:t>Subordinated notes</w:t>
      </w:r>
      <w:r>
        <w:rPr>
          <w:rFonts w:ascii="Times New Roman;sans-serif" w:hAnsi="Times New Roman;sans-serif"/>
          <w:b w:val="false"/>
          <w:color w:val="000000"/>
          <w:sz w:val="20"/>
        </w:rPr>
        <w:t>: On November 8, 2019, the Company completed a private placement of $3.8 million of fixed-to-floating rate subordinated notes to certain qualified investors. All of the debt was purchased by four existing members of the board of directors or their affiliates. The notes were used for general corporate purposes, capital management, and to support future growth. The subordinated notes have a maturity date of September 15, 2027 and bear interest, payable semi-annually, at the rate of 5.50% per annum until September 15, 2022. On that date, the interest rate will be adjusted to float at a rate equal to the three-month LIBOR plus 354.4 basis points (4.38% as of March 31, 2022) until maturity. The notes include a right of prepayment, on or after September 15, 2022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28, 2017, the Company completed a private placement of $25.0 million of fixed-to-floating rate subordinated notes to certain qualified investors, of which $8.0 million is owned by an entity that is controlled by a member of the board of directors and three principal shareholders. The notes were used for general corporate purposes, capital management, and to support future growth. The subordinated notes have a maturity date of September 15, 2027 and bear interest, payable semi-annually, at the rate of 6.00% per annum until September 15, 2022. On that date, the interest rate will be adjusted to float at a rate equal to the three-month LIBOR plus 404.4 basis points (4.88% as of March 31, 2022) until maturity. The notes include a right of prepayment, on or after September 15, 2022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subordinated notes have been structured to qualify as Tier 2 capital for the Company for regulatory capital purposes. Debt issuance costs incurred in conjunction with the notes were $0.6 million, of which $0.3 million has been amortized through March 31, 2022. The Company reflects debt issuance costs as a direct deduction from the face of the note. The debt issuance costs are amortized into interest expense through the maturity period. At March 31, 2022 and December 31, 2021, the Company’s subordinated debt outstanding was $28.4 million.</w:t>
      </w:r>
    </w:p>
    <w:p>
      <w:pPr>
        <w:pStyle w:val="TextBody"/>
        <w:spacing w:lineRule="auto" w:line="288" w:before="240" w:after="283"/>
        <w:jc w:val="both"/>
        <w:rPr/>
      </w:pPr>
      <w:r>
        <w:rPr>
          <w:rFonts w:ascii="Times New Roman;sans-serif" w:hAnsi="Times New Roman;sans-serif"/>
          <w:b w:val="false"/>
          <w:color w:val="000000"/>
          <w:sz w:val="20"/>
          <w:u w:val="single"/>
        </w:rPr>
        <w:t>Other borrowings:</w:t>
      </w:r>
      <w:r>
        <w:rPr>
          <w:color w:val="000000"/>
        </w:rPr>
        <w:t xml:space="preserve"> </w:t>
      </w:r>
      <w:r>
        <w:rPr>
          <w:rFonts w:ascii="Times New Roman;sans-serif" w:hAnsi="Times New Roman;sans-serif"/>
          <w:b w:val="false"/>
          <w:color w:val="000000"/>
          <w:sz w:val="20"/>
        </w:rPr>
        <w:t>In 2005, and through an amendment in 2014, the Company entered into an agreement with the FHLB which granted the FHLB a blanket lien on all loans receivable (except for construction and agricultural loans) as collateral for a borrowing line. Based on the dollar volume of qualifying loan collateral, the Company had a total financing availability of $855.9 million at March 31, 2022 and $696.3 million at December 31, 2021. At March 31, 2022 and December 31, 2021, the Company had no outstanding borrowings. As of March 31, 2022 and December 31, 2021, the Company had letters of credit (“LCs”) issued on its behalf totaling $495.5 million and $420.5 million, respectively, as discussed below.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2022 and December 31, 2021, LCs totaling $155.5 million and $80.5 million, respectively, were pledged to secure State of California deposits and $340.0 million were pledged to secure local agency deposits. The LCs issued reduced the Company’s available borrowing capacity to $360.4 million and $275.8 million as of March 31, 2022 and December 31, 2021,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the Company had five unsecured federal funds lines of credit totaling $150.0 million with five of its correspondent banks, respectively. During the quarter ended March 31, 2022, the borrowing capacity of one of the Company's existing unsecured federal funds lines of credit was increased by $10.0 million. As a result, at March 31, 2022, the Company had five unsecured federal funds lines of credit totaling $160.0 million with five of its correspondent banks, respectively. There were no amounts outstanding at March 31, 2022 and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2022 and December 31, 2021, the Company had the ability to borrow from the Federal Reserve Discount Window. At March 31, 2022 and December 31, 2021, the borrowing capacity under this arrangement was $18.0 million and $17.0 million, respectively. There were no amounts outstanding at March 31, 2022 and December 31, 2021. The borrowing line is secured by liens on the Company’s construction and agricultural loan portfolios.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terminated its status as a Subchapter S Corporation as of May 5, 2021, in connection with the IPO and became a taxable C Corporation. Prior to that date, as an S Corporation, the Company had no U.S. federal income tax expense. As such, any periods prior to May 5, 2021 will only reflect a state income tax rate and corresponding tax expense. Pro forma net income is calculated by adding back S Corporation tax to net income and using a combined C Corporation statutory tax rate for federal and state income taxes of 29.56%. For the 2022 period presented below, the tax rate reflects the actual effective tax rate for the three months ended March 31, 2022, as the Company was a C Corporation for the entire period. The following reconciliation table provides a detailed calculation of pro forma provision for income taxes:</w:t>
      </w:r>
    </w:p>
    <w:tbl>
      <w:tblPr>
        <w:tblW w:w="6914" w:type="dxa"/>
        <w:jc w:val="left"/>
        <w:tblInd w:w="0" w:type="dxa"/>
        <w:tblCellMar>
          <w:top w:w="28" w:type="dxa"/>
          <w:left w:w="28" w:type="dxa"/>
          <w:bottom w:w="28" w:type="dxa"/>
          <w:right w:w="28" w:type="dxa"/>
        </w:tblCellMar>
      </w:tblPr>
      <w:tblGrid>
        <w:gridCol w:w="1377"/>
        <w:gridCol w:w="1213"/>
        <w:gridCol w:w="1219"/>
        <w:gridCol w:w="109"/>
        <w:gridCol w:w="109"/>
        <w:gridCol w:w="109"/>
        <w:gridCol w:w="211"/>
        <w:gridCol w:w="721"/>
        <w:gridCol w:w="271"/>
        <w:gridCol w:w="109"/>
        <w:gridCol w:w="109"/>
        <w:gridCol w:w="109"/>
        <w:gridCol w:w="211"/>
        <w:gridCol w:w="721"/>
        <w:gridCol w:w="316"/>
      </w:tblGrid>
      <w:tr>
        <w:trPr/>
        <w:tc>
          <w:tcPr>
            <w:tcW w:w="1377"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w:t>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2021</w:t>
            </w:r>
          </w:p>
        </w:tc>
      </w:tr>
      <w:tr>
        <w:trPr/>
        <w:tc>
          <w:tcPr>
            <w:tcW w:w="380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13,522 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10,660 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Effective/pro forma tax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Actual/pro forma 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2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for the three months ended March 31, 2022 and 2021 differs from the statutory federal rate of 21.00% due to the following items, which relate primarily to the Company’s conversion from an S Corporation to a C Corporation during the second quarter of 2021:</w:t>
      </w:r>
    </w:p>
    <w:tbl>
      <w:tblPr>
        <w:tblW w:w="5602" w:type="dxa"/>
        <w:jc w:val="left"/>
        <w:tblInd w:w="0" w:type="dxa"/>
        <w:tblCellMar>
          <w:top w:w="28" w:type="dxa"/>
          <w:left w:w="28" w:type="dxa"/>
          <w:bottom w:w="28" w:type="dxa"/>
          <w:right w:w="28" w:type="dxa"/>
        </w:tblCellMar>
      </w:tblPr>
      <w:tblGrid>
        <w:gridCol w:w="1041"/>
        <w:gridCol w:w="916"/>
        <w:gridCol w:w="922"/>
        <w:gridCol w:w="109"/>
        <w:gridCol w:w="109"/>
        <w:gridCol w:w="109"/>
        <w:gridCol w:w="225"/>
        <w:gridCol w:w="659"/>
        <w:gridCol w:w="116"/>
        <w:gridCol w:w="116"/>
        <w:gridCol w:w="116"/>
        <w:gridCol w:w="116"/>
        <w:gridCol w:w="225"/>
        <w:gridCol w:w="659"/>
        <w:gridCol w:w="164"/>
      </w:tblGrid>
      <w:tr>
        <w:trPr/>
        <w:tc>
          <w:tcPr>
            <w:tcW w:w="104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w:t>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4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2021</w:t>
            </w:r>
          </w:p>
        </w:tc>
      </w:tr>
      <w:tr>
        <w:trPr/>
        <w:tc>
          <w:tcPr>
            <w:tcW w:w="287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U.S. federal income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resulting from: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of S Corporation status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Company’s federal and state statutory tax rate, net of federal benefit, of 29.56%, differed from the statutory California tax rate of 3.50% used for the three months ended March 31, 2021 due to the termination of the Company's Subchapter S Corporation status as of May 5,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Shareholders’ Equity</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20, 2022, the board of directors declared a $0.15 per common share dividend, totaling $2.6 million. On March 17, 2022, based on the filing of the Company's final S Corporation tax return, the board of directors declared a $0.45 per common share dividend to shareholders of record as of May 3, 2021, totaling $4.9 million, which was the remaining balance of the Company's accumulated adjustments account, and is described in further detail in the Company’s Proxy Statement filed with the SEC and mailed to shareholders on April 6, 2022.</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Incentive Arrangement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loan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its IPO in May 2021, the Company granted RSAs under the Equity Incentive Plan to employees, officers, executives, and non-employee directors. Shares granted to non-employee directors vested immediately upon grant, while shares granted to employees, officers, and executives vest ratably over three, five, or seven years (as defined in the respective agreements). Since the completion of the IPO, the Company has granted RSAs under the Equity Incentive Plan to executives and directors, which vest annually over three years and monthly over one year, respectively.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22,201 and 9,454 restricted shares during the three months ended March 31, 2022 and 2021, respectively. In addition, 850 and 2,722 restricted shares were forfeited during the three months ended March 31, 2022 and 2021, respectively. Non-cash stock compensation expense recognized for the three months ended March 31, 2022 and 2021 was $0.3 million and $0.1 million,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2022 and 2021, respectively, there were 138,856 and 6,296 unvested restricted shares. As of March 31, 2022, there was approximately $2.5 million of unrecognized compensation expense related to the 138,856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The impact of tax benefits for dividends paid on unvested restricted stock on the Company’s consolidated statements of income for the three months ended March 31, 2022 and 2021 was immaterial.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unvested restricted shares:</w:t>
      </w:r>
    </w:p>
    <w:tbl>
      <w:tblPr>
        <w:tblW w:w="8105" w:type="dxa"/>
        <w:jc w:val="left"/>
        <w:tblInd w:w="0" w:type="dxa"/>
        <w:tblCellMar>
          <w:top w:w="28" w:type="dxa"/>
          <w:left w:w="28" w:type="dxa"/>
          <w:bottom w:w="28" w:type="dxa"/>
          <w:right w:w="28" w:type="dxa"/>
        </w:tblCellMar>
      </w:tblPr>
      <w:tblGrid>
        <w:gridCol w:w="994"/>
        <w:gridCol w:w="872"/>
        <w:gridCol w:w="878"/>
        <w:gridCol w:w="109"/>
        <w:gridCol w:w="109"/>
        <w:gridCol w:w="109"/>
        <w:gridCol w:w="413"/>
        <w:gridCol w:w="413"/>
        <w:gridCol w:w="226"/>
        <w:gridCol w:w="109"/>
        <w:gridCol w:w="109"/>
        <w:gridCol w:w="109"/>
        <w:gridCol w:w="220"/>
        <w:gridCol w:w="642"/>
        <w:gridCol w:w="113"/>
        <w:gridCol w:w="109"/>
        <w:gridCol w:w="109"/>
        <w:gridCol w:w="109"/>
        <w:gridCol w:w="396"/>
        <w:gridCol w:w="399"/>
        <w:gridCol w:w="211"/>
        <w:gridCol w:w="109"/>
        <w:gridCol w:w="109"/>
        <w:gridCol w:w="109"/>
        <w:gridCol w:w="219"/>
        <w:gridCol w:w="641"/>
        <w:gridCol w:w="160"/>
      </w:tblGrid>
      <w:tr>
        <w:trPr/>
        <w:tc>
          <w:tcPr>
            <w:tcW w:w="99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74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4" w:type="dxa"/>
            <w:gridSpan w:val="21"/>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w:t>
            </w:r>
          </w:p>
        </w:tc>
      </w:tr>
      <w:tr>
        <w:trPr/>
        <w:tc>
          <w:tcPr>
            <w:tcW w:w="274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4"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74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Shares </w:t>
            </w:r>
          </w:p>
        </w:tc>
        <w:tc>
          <w:tcPr>
            <w:tcW w:w="3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Grant Date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Grant Date</w:t>
              <w:br/>
              <w:t>Fair Value</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127,751 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(10,246)</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138,856 </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6,296 </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Commitments and Contingencies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 with Off-Balance Sheet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amounts of unfunded loan commitments and standby letters of credit not reflected in the consolidated balance sheets are as follows:</w:t>
      </w:r>
    </w:p>
    <w:tbl>
      <w:tblPr>
        <w:tblW w:w="7049" w:type="dxa"/>
        <w:jc w:val="left"/>
        <w:tblInd w:w="0" w:type="dxa"/>
        <w:tblCellMar>
          <w:top w:w="28" w:type="dxa"/>
          <w:left w:w="28" w:type="dxa"/>
          <w:bottom w:w="28" w:type="dxa"/>
          <w:right w:w="28" w:type="dxa"/>
        </w:tblCellMar>
      </w:tblPr>
      <w:tblGrid>
        <w:gridCol w:w="1443"/>
        <w:gridCol w:w="1270"/>
        <w:gridCol w:w="1276"/>
        <w:gridCol w:w="109"/>
        <w:gridCol w:w="109"/>
        <w:gridCol w:w="109"/>
        <w:gridCol w:w="211"/>
        <w:gridCol w:w="826"/>
        <w:gridCol w:w="109"/>
        <w:gridCol w:w="109"/>
        <w:gridCol w:w="109"/>
        <w:gridCol w:w="109"/>
        <w:gridCol w:w="223"/>
        <w:gridCol w:w="874"/>
        <w:gridCol w:w="163"/>
      </w:tblGrid>
      <w:tr>
        <w:trPr/>
        <w:tc>
          <w:tcPr>
            <w:tcW w:w="1443"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2021</w:t>
            </w:r>
          </w:p>
        </w:tc>
      </w:tr>
      <w:tr>
        <w:trPr/>
        <w:tc>
          <w:tcPr>
            <w:tcW w:w="398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lines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137,354 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Undisbursed construction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Undisbursed commercial real estate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Agricultural lines of credit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Undisbursed agricultural real estate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commitments and standby letters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248,877 </w:t>
            </w:r>
          </w:p>
        </w:tc>
        <w:tc>
          <w:tcPr>
            <w:tcW w:w="1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an allowance for loan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loan losses on unfunded commitments totaled $0.1 million as of March 31, 2022 and December 31, 2021, which is recorded in interest payable and other liabilities in the consolidated balance sheets.</w:t>
      </w:r>
    </w:p>
    <w:p>
      <w:pPr>
        <w:pStyle w:val="TextBody"/>
        <w:spacing w:lineRule="auto" w:line="288" w:before="240" w:after="283"/>
        <w:jc w:val="both"/>
        <w:rPr/>
      </w:pPr>
      <w:r>
        <w:rPr>
          <w:rFonts w:ascii="Times New Roman;sans-serif" w:hAnsi="Times New Roman;sans-serif"/>
          <w:b w:val="false"/>
          <w:color w:val="000000"/>
          <w:sz w:val="20"/>
          <w:u w:val="single"/>
        </w:rPr>
        <w:t>Concentrations of credit risk</w:t>
      </w:r>
      <w:r>
        <w:rPr>
          <w:rFonts w:ascii="Times New Roman;sans-serif" w:hAnsi="Times New Roman;sans-serif"/>
          <w:b w:val="false"/>
          <w:color w:val="000000"/>
          <w:sz w:val="20"/>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judgment, a concentration of loans exists in real estate related loans, which represented approximately 91.98% of the Company’s loans held for investment at March 31, 2022 and 89.87% of the Company’s loans held for investment at December 31, 2021.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pStyle w:val="TextBody"/>
        <w:spacing w:lineRule="auto" w:line="288" w:before="240" w:after="283"/>
        <w:jc w:val="both"/>
        <w:rPr/>
      </w:pPr>
      <w:r>
        <w:rPr>
          <w:rFonts w:ascii="Times New Roman;sans-serif" w:hAnsi="Times New Roman;sans-serif"/>
          <w:b w:val="false"/>
          <w:color w:val="000000"/>
          <w:sz w:val="20"/>
          <w:u w:val="single"/>
        </w:rPr>
        <w:t>Deposit concentrations</w:t>
      </w:r>
      <w:r>
        <w:rPr>
          <w:rFonts w:ascii="Times New Roman;sans-serif" w:hAnsi="Times New Roman;sans-serif"/>
          <w:b w:val="false"/>
          <w:color w:val="000000"/>
          <w:sz w:val="20"/>
        </w:rPr>
        <w:t>: At March 31, 2022, the Company had 66 deposit relationships that exceeded $5.0 million each, totaling $1.2 billion, or approximately 46.75% of total deposits. The Company’s largest single deposit relationship at March 31, 2022 totaled $182.4 million, or approximately 7.29% of total deposits. Management maintains the Company’s liquidity position and lines of credit with correspondent banks to mitigate the risk of large withdrawals by this group of large depositors.</w:t>
      </w:r>
    </w:p>
    <w:p>
      <w:pPr>
        <w:pStyle w:val="TextBody"/>
        <w:spacing w:lineRule="auto" w:line="288" w:before="240" w:after="283"/>
        <w:jc w:val="both"/>
        <w:rPr/>
      </w:pPr>
      <w:r>
        <w:rPr>
          <w:rFonts w:ascii="Times New Roman;sans-serif" w:hAnsi="Times New Roman;sans-serif"/>
          <w:b w:val="false"/>
          <w:color w:val="000000"/>
          <w:sz w:val="20"/>
          <w:u w:val="single"/>
        </w:rPr>
        <w:t>Contingencies</w:t>
      </w:r>
      <w:r>
        <w:rPr>
          <w:rFonts w:ascii="Times New Roman;sans-serif" w:hAnsi="Times New Roman;sans-serif"/>
          <w:b w:val="false"/>
          <w:color w:val="000000"/>
          <w:sz w:val="20"/>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pStyle w:val="TextBody"/>
        <w:spacing w:lineRule="auto" w:line="288" w:before="240" w:after="283"/>
        <w:jc w:val="both"/>
        <w:rPr/>
      </w:pPr>
      <w:r>
        <w:rPr>
          <w:rFonts w:ascii="Times New Roman;sans-serif" w:hAnsi="Times New Roman;sans-serif"/>
          <w:b w:val="false"/>
          <w:color w:val="000000"/>
          <w:sz w:val="20"/>
          <w:u w:val="single"/>
        </w:rPr>
        <w:t>Correspondent banking agreements</w:t>
      </w:r>
      <w:r>
        <w:rPr>
          <w:rFonts w:ascii="Times New Roman;sans-serif" w:hAnsi="Times New Roman;sans-serif"/>
          <w:b w:val="false"/>
          <w:color w:val="000000"/>
          <w:sz w:val="20"/>
        </w:rPr>
        <w:t>: The Company maintains funds on deposit with other FDIC-insured financial institutions under correspondent banking agreements. Uninsured deposits through these agreements totaled $77.3 million and $147.2 million at March 31, 2022 and December 31, 2021, respectively.</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 Matters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Subsequent Events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2022, the board of directors declared a $0.15 per common share dividend, totaling $2.6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Company’s Annual Report on Form 10-K for the year ended December 31, 2021, which was filed with the U.S. Securities and Exchange Commission (“SEC”) on February 25, 2021. Average balances, including balances used in calculating certain financial ratios, are generally comprised of average daily balances.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 entitled “Cautionary Note Regarding Forward-Looking Statements” herein and in the section entitled “Risk Factors” in the Company's Annual Report on Form 10-K for the year ended December 31, 2021. We assume no obligation to update any of these forward-looking statements, except to the extent required by law.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references in this report to “we”, “our”, “us”, “the Company”, or “Bancorp” refer to Five Star Bancorp and our consolidated subsidiary. All references to “the Bank” refer to Five Star Bank, our wholly owned subsidiary.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Headquartered in the greater Sacramento metropolitan area of California, Five Star Bancorp is a bank holding company that operates through its wholly owned subsidiary, Five Star Bank, a California state-chartered bank. We provide a broad range of banking products and services to small and medium-sized businesses, professionals, and individuals primarily in Northern California through seven branch offices and two loan production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March 31, 2022, we had total assets of $2.8 billion, total loans held for investment, net of allowance for loan losses, of $2.1 billion, and total deposits of $2.5 billion.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Factors Affecting Comparability of Financial Results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Corporation Status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Beginning at our inception, we elected to be taxed for U.S. federal income tax purposes as an S Corporation. In conjunction with our initial public offering (“IPO”), we filed consents from the requisite amount of our shareholders to revoke our S Corporation election with the Internal Revenue Service (“IRS”), resulting in the commencement of our taxation as a C Corporation for U.S. federal and California state income tax purposes in the second quarter of fiscal year 2021. Prior to such revocation, our earnings were not subject to, and we did not pay, U.S. federal income tax, and we were not required to make any provision or recognize any liability for U.S. federal income tax in our consolidated financial statements. While we were not subject to, and did not pay, U.S. federal income tax, we were subject to, and paid, California S Corporation income tax at a current rate of 3.50%. Upon the termination of our status as an S Corporation, we commenced paying U.S. federal income tax and a higher California state income tax on our taxable earnings for each year (including the short year beginning on the date our status as an S Corporation terminated), and our consolidated financial statements reflect a provision for U.S. federal income tax and a higher California state income tax from that date forward. As a result of this change, the net income and earnings per share (“EPS”) data presented in our historical financial statements for periods prior to the termination of our S Corporation status, and the other related financial information set forth in this filing, which (unless otherwise specified) do not include any provision for U.S. federal income tax or the higher California state income tax rate, will not be comparable with our net income and EPS in periods after we commenced being taxed as a C Corporation. As a C Corporation, our net income is calculated by including a provision for U.S. federal income tax and a higher California state income tax rate at a combined statutory rate of 29.56%.</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termination of our status as an S Corporation may also affect our financial condition and cash flows. Historically, we made quarterly cash distributions to our shareholders in amounts estimated by us to be sufficient for them to pay estimated individual U.S. federal and California state income tax liabilities resulting from our taxable income that was “passed through” to them. However, these distributions were not consistent, as sometimes the distributions were less than or in excess of the shareholders’ estimated U.S. federal and California state income tax liabilities resulting from their ownership of our stock. In addition, these estimates were based on individual income tax rates, which may differ from the rates imposed on the income of C Corporations. As a C Corporation, no income is “passed through” to any shareholders, but, as noted above, we commenced paying U.S. federal income tax and a higher California state income tax. However, in the event of an adjustment to our reported taxable income for periods prior to the termination of our S Corporation status, it is possible that our pre-IPO shareholders would be liable for additional income taxes for those prior periods. Pursuant to the Tax Sharing Agreement we entered into with such shareholders,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such shareholders, who accepted distribution of the estimated balance of our federal accumulated adjustments account of $31.9 million under the Tax Sharing Agreement, in an amount equal to such shareholders’ incremental tax liability (including interest and penalties).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The amounts that we have historically distributed to our shareholders may not be indicative of the amount of U.S. federal and California state income tax that we will be required to pay going forward. Depending on our effective tax rate and our future dividend rate, our future cash flows and financial condition could be positively or adversely affected compared to our historical cash flows and financial condition.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deferred tax assets and liabilities will be recognized for the future tax consequences attributable to differences between the financial statement carrying amounts of our existing assets and liabilities and their respective tax bases.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in net income in the three months ended June 30,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highlights of the financial results table within the section entitled “—Executive Summary” below for the impact of being taxed as a C Corporation on our net income, EPS, and various other financial measures for the three months ended March 31, 2022 and 2021.</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Company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completion of our IPO, we began to, and will continue to, incur additional costs associated with operating as a public company. These costs include additional personnel, legal, consulting, regulatory, insurance, accounting, investor relations, and other expenses that we did not incur as a private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as well as rules adopted by the SEC, the Federal Deposit Insurance Corporation (“FDIC”), and national securities exchanges, require public companies to implement specified corporate governance practices that were inapplicable to us as a private company. These additional rules and regulations have increased, and are expected to continue to increase, our legal, regulatory, and financial compliance costs and will make some activities more time-consuming and costly.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accounting principles generally accepted in the United States of America (“GAAP”) as contained within the Financial Accounting Standards Board’s (“FASB”) Accounting Standards Codification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filed in our Annual Report on Form 10-K as of and for the year ended December 31, 2021, and the notes thereto.</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the Annual Report on Form 10-K for the year ended December 31, 2021. We have identified accounting policies and estimates, discussed below,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There have been no significant changes concerning our critical accounting estimates as described in our Annual Report on Form 10-K.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three months ended March 31, 2022 totaled $9.9 million, compared to net income of $10.3 million for the three months ended March 31, 2021.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are highlights of our operating and financial performance for the periods presented:</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Assets. </w:t>
      </w:r>
      <w:r>
        <w:rPr>
          <w:rFonts w:ascii="Times New Roman;sans-serif" w:hAnsi="Times New Roman;sans-serif"/>
          <w:b w:val="false"/>
          <w:color w:val="000000"/>
          <w:sz w:val="20"/>
        </w:rPr>
        <w:t>Total assets were $2.8 billion at March 31, 2022, representing a $221.5 million, or 8.66%, increase compared to $2.6 billion at December 31, 2021. The primary drivers of this increase are discussed below.</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Loans.</w:t>
      </w:r>
      <w:r>
        <w:rPr>
          <w:color w:val="000000"/>
        </w:rPr>
        <w:t xml:space="preserve"> </w:t>
      </w:r>
      <w:r>
        <w:rPr>
          <w:rFonts w:ascii="Times New Roman;sans-serif" w:hAnsi="Times New Roman;sans-serif"/>
          <w:b w:val="false"/>
          <w:color w:val="000000"/>
          <w:sz w:val="20"/>
        </w:rPr>
        <w:t>Total loans held for investment were $2.1 billion at March 31, 2022, compared to $1.9 billion at December 31, 2021, an increase of $145.7 million, or 7.53%. The increase was primarily attributed to a $174.3 million net increase in commercial real estate loans, partially offset by a $20.6 million net decrease in Paycheck Protection Program (“PPP”) loans, and a $12.1 million net decrease in commercial secured loans.</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PPP Loans. </w:t>
      </w:r>
      <w:r>
        <w:rPr>
          <w:rFonts w:ascii="Times New Roman;sans-serif" w:hAnsi="Times New Roman;sans-serif"/>
          <w:b w:val="false"/>
          <w:color w:val="000000"/>
          <w:sz w:val="20"/>
        </w:rPr>
        <w:t>As of March 31, 2022, there were five PPP loans outstanding totaling $1.5 million. Two of these PPP loans, or 40.00% of total PPP loans as of March 31, 2022, totaling $0.1 million were less than or equal to $0.15 million and had access to streamlined forgiveness processing. As of March 31, 2022, 1,424 PPP loan forgiveness applications had been submitted to the SBA and forgiveness payments had been received on 1,422 of these PPP loans, totaling $353.2 million in principal and interest. We expect full forgiveness, or repayment by the borrower, on all PPP loans to be completed in the near future.</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COVID-19 Deferments. </w:t>
      </w:r>
      <w:r>
        <w:rPr>
          <w:rFonts w:ascii="Times New Roman;sans-serif" w:hAnsi="Times New Roman;sans-serif"/>
          <w:b w:val="false"/>
          <w:color w:val="000000"/>
          <w:sz w:val="20"/>
        </w:rPr>
        <w:t>As of March 31, 2022, six borrowing relationships with six loans totaling $12.2 million were on COVID-19 deferment. All loans that ended COVID-19 deferments in the quarter ended March 31, 2022 returned to their contractual payment structures prior to the COVID-19 pandemic with no risk rating downgrades to classified nor any troubled debt restructuring ("TDR"), and we anticipate that the remaining loans on COVID-19 deferment will return to their pre-COVID-19 contractual payment statuses after their COVID-19 deferments end.</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Non-accrual Loans. </w:t>
      </w:r>
      <w:r>
        <w:rPr>
          <w:rFonts w:ascii="Times New Roman;sans-serif" w:hAnsi="Times New Roman;sans-serif"/>
          <w:b w:val="false"/>
          <w:color w:val="000000"/>
          <w:sz w:val="20"/>
        </w:rPr>
        <w:t>Credit quality remains strong, with non-accrual loans representing $1.3 million, or 0.06% of total loans held for investment, at March 31, 2022, compared to $0.6 million, or 0.03% of total loans held for investment, at December 31, 2021. The ratio of allowance for loan losses to total loans held for investment, or total loans at period end, was 1.15% at March 31, 2022 and 1.20% at December 31, 2021.</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Return on Average Assets (“ROAA”) and Return on Average Equity (“ROAE”). </w:t>
      </w:r>
      <w:r>
        <w:rPr>
          <w:rFonts w:ascii="Times New Roman;sans-serif" w:hAnsi="Times New Roman;sans-serif"/>
          <w:b w:val="false"/>
          <w:color w:val="000000"/>
          <w:sz w:val="20"/>
        </w:rPr>
        <w:t>ROAA and ROAE were 1.53% and 17.07%, respectively, for the quarter ended March 31, 2022, as compared to ROAA of 2.05% and ROAE of 32.08% for the quarter ended March 31, 2021. Pro forma ROAA and ROAE for the quarter ended March 31, 2022 were equal to actual ROAA and ROAE of 1.53% and 17.07%, respectively, as compared to pro forma ROAA of 1.49% and ROAE of 23.67% for the quarter ended March 31, 2021.</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Net Interest Margin. </w:t>
      </w:r>
      <w:r>
        <w:rPr>
          <w:rFonts w:ascii="Times New Roman;sans-serif" w:hAnsi="Times New Roman;sans-serif"/>
          <w:b w:val="false"/>
          <w:color w:val="000000"/>
          <w:sz w:val="20"/>
        </w:rPr>
        <w:t>Net interest margin was 3.60% and 3.83% for the three months ended March 31, 2022 and 2021, respectively. The fluctuations period-over-period were primarily attributable to decreases in average loan yields and increases in the Company’s interest-earning assets.</w:t>
      </w:r>
    </w:p>
    <w:p>
      <w:pPr>
        <w:pStyle w:val="TextBody"/>
        <w:spacing w:lineRule="auto" w:line="288" w:before="240" w:after="283"/>
        <w:ind w:left="0" w:right="0" w:hanging="360"/>
        <w:rPr/>
      </w:pPr>
      <w:r>
        <w:rPr>
          <w:color w:val="000000"/>
        </w:rPr>
        <w:t>•</w:t>
      </w:r>
      <w:r>
        <w:rPr>
          <w:rFonts w:ascii="Times New Roman;sans-serif" w:hAnsi="Times New Roman;sans-serif"/>
          <w:b/>
          <w:i/>
          <w:color w:val="000000"/>
          <w:sz w:val="20"/>
        </w:rPr>
        <w:t xml:space="preserve">Efficiency Ratio. </w:t>
      </w:r>
      <w:r>
        <w:rPr>
          <w:rFonts w:ascii="Times New Roman;sans-serif" w:hAnsi="Times New Roman;sans-serif"/>
          <w:b w:val="false"/>
          <w:color w:val="000000"/>
          <w:sz w:val="20"/>
        </w:rPr>
        <w:t>Efficiency ratio was 39.82% for the three months ended March 31, 2022, down from 44.77% for the corresponding period of 2021. The decrease was primarily attributable to an increase in net interest income period-over-period.</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Deposits. </w:t>
      </w:r>
      <w:r>
        <w:rPr>
          <w:rFonts w:ascii="Times New Roman;sans-serif" w:hAnsi="Times New Roman;sans-serif"/>
          <w:b w:val="false"/>
          <w:color w:val="000000"/>
          <w:sz w:val="20"/>
        </w:rPr>
        <w:t>Total deposits increased by $217.2 million from $2.3 billion at December 31, 2021 to $2.5 billion at March 31, 2022. Deposit increases were primarily attributable to an increase in the number of new deposit relationships, as well as normal fluctuations in some of our large existing accounts. Non-interest-bearing deposits increased by $39.2 million in the first three months of 2021 to $941.3 million, and represented 37.60% of total deposits at March 31, 2022, compared to 39.46% of total deposits at December 31, 2021. Our loan to deposit ratio was 83.52% at March 31, 2022, compared to 85.09% at December 31, 2021.</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Capital Ratios</w:t>
      </w:r>
      <w:r>
        <w:rPr>
          <w:rFonts w:ascii="Times New Roman;sans-serif" w:hAnsi="Times New Roman;sans-serif"/>
          <w:b w:val="false"/>
          <w:color w:val="000000"/>
          <w:sz w:val="20"/>
        </w:rPr>
        <w:t>. All capital ratios were above well-capitalized regulatory thresholds as of March 31, 2022. The total risk-based capital ratio for the Company was 13.07% at March 31, 2022, compared to 13.98% at December 31, 2021. The ratio of Tier 1 capital to average assets was 9.02% at March 31, 2022, compared to 9.47% at December 31, 2021. For additional information about the regulatory capital requirements applicable to the Company and the Bank, see the section entitled “—Financial Condition Summary—Capital Adequacy” below.</w:t>
      </w:r>
    </w:p>
    <w:p>
      <w:pPr>
        <w:pStyle w:val="TextBody"/>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Dividends. </w:t>
      </w:r>
      <w:r>
        <w:rPr>
          <w:rFonts w:ascii="Times New Roman;sans-serif" w:hAnsi="Times New Roman;sans-serif"/>
          <w:b w:val="false"/>
          <w:color w:val="000000"/>
          <w:sz w:val="20"/>
        </w:rPr>
        <w:t xml:space="preserve">The board of directors declared a cash dividend of $0.15 per share on January 20, 2022. Additionally, on March 17, 2022, based on the filing of the Company's final S Corporation tax return, the board of directors declared a $0.45 per common share dividend to shareholders of record as of May 3, 2021, totaling $4.9 million.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Highlights of the financial results are presented in the following tables:</w:t>
      </w:r>
    </w:p>
    <w:tbl>
      <w:tblPr>
        <w:tblW w:w="10205" w:type="dxa"/>
        <w:jc w:val="left"/>
        <w:tblInd w:w="0" w:type="dxa"/>
        <w:tblCellMar>
          <w:top w:w="28" w:type="dxa"/>
          <w:left w:w="28" w:type="dxa"/>
          <w:bottom w:w="28" w:type="dxa"/>
          <w:right w:w="28" w:type="dxa"/>
        </w:tblCellMar>
      </w:tblPr>
      <w:tblGrid>
        <w:gridCol w:w="2311"/>
        <w:gridCol w:w="2012"/>
        <w:gridCol w:w="2018"/>
        <w:gridCol w:w="109"/>
        <w:gridCol w:w="109"/>
        <w:gridCol w:w="109"/>
        <w:gridCol w:w="211"/>
        <w:gridCol w:w="976"/>
        <w:gridCol w:w="271"/>
        <w:gridCol w:w="109"/>
        <w:gridCol w:w="109"/>
        <w:gridCol w:w="109"/>
        <w:gridCol w:w="245"/>
        <w:gridCol w:w="1137"/>
        <w:gridCol w:w="370"/>
      </w:tblGrid>
      <w:tr>
        <w:trPr/>
        <w:tc>
          <w:tcPr>
            <w:tcW w:w="2311" w:type="dxa"/>
            <w:tcBorders/>
            <w:shd w:fill="auto" w:val="clear"/>
            <w:vAlign w:val="center"/>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r>
      <w:tr>
        <w:trPr/>
        <w:tc>
          <w:tcPr>
            <w:tcW w:w="63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6341"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financial condition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2,778,249 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2,556,761 </w:t>
            </w:r>
          </w:p>
        </w:tc>
        <w:tc>
          <w:tcPr>
            <w:tcW w:w="3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1,934,460 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2,285,890 </w:t>
            </w:r>
          </w:p>
        </w:tc>
        <w:tc>
          <w:tcPr>
            <w:tcW w:w="3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subordinated notes,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235,046 </w:t>
            </w:r>
          </w:p>
        </w:tc>
        <w:tc>
          <w:tcPr>
            <w:tcW w:w="3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quality ratios: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to 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Allowance for loan losses to total loans held for investment, excluding PPP loans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to non-accrual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3,954.30 </w:t>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to total loans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ratios: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to total assets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4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Tangible shareholders’ equity to tangible assets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tbl>
      <w:tblPr>
        <w:tblW w:w="7478" w:type="dxa"/>
        <w:jc w:val="left"/>
        <w:tblInd w:w="0" w:type="dxa"/>
        <w:tblCellMar>
          <w:top w:w="28" w:type="dxa"/>
          <w:left w:w="28" w:type="dxa"/>
          <w:bottom w:w="28" w:type="dxa"/>
          <w:right w:w="28" w:type="dxa"/>
        </w:tblCellMar>
      </w:tblPr>
      <w:tblGrid>
        <w:gridCol w:w="1411"/>
        <w:gridCol w:w="1241"/>
        <w:gridCol w:w="1248"/>
        <w:gridCol w:w="109"/>
        <w:gridCol w:w="109"/>
        <w:gridCol w:w="109"/>
        <w:gridCol w:w="252"/>
        <w:gridCol w:w="863"/>
        <w:gridCol w:w="324"/>
        <w:gridCol w:w="109"/>
        <w:gridCol w:w="109"/>
        <w:gridCol w:w="109"/>
        <w:gridCol w:w="251"/>
        <w:gridCol w:w="858"/>
        <w:gridCol w:w="376"/>
      </w:tblGrid>
      <w:tr>
        <w:trPr/>
        <w:tc>
          <w:tcPr>
            <w:tcW w:w="1411"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w:t>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2021</w:t>
            </w:r>
          </w:p>
        </w:tc>
      </w:tr>
      <w:tr>
        <w:trPr/>
        <w:tc>
          <w:tcPr>
            <w:tcW w:w="390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operating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21,862 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18,048 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pro forma operating data: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 forma net income</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 forma provision for income taxes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 forma net income per common share</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Performance and other financial ratios: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ROAA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ROAE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Efficiency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Cash dividend payout ratio on common stock</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107.10 </w:t>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pro forma ratios: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 forma ROAA</w:t>
            </w:r>
            <w:r>
              <w:rPr>
                <w:rFonts w:ascii="Times New Roman;sans-serif" w:hAnsi="Times New Roman;sans-serif"/>
                <w:b w:val="false"/>
                <w:color w:val="000000"/>
                <w:sz w:val="13"/>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 forma ROAE</w:t>
            </w:r>
            <w:r>
              <w:rPr>
                <w:rFonts w:ascii="Times New Roman;sans-serif" w:hAnsi="Times New Roman;sans-serif"/>
                <w:b w:val="false"/>
                <w:color w:val="000000"/>
                <w:sz w:val="13"/>
              </w:rPr>
              <w:t>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 allowance for loan losses to total loans held for investment, excluding PPP loans, is considered a non-GAAP financial measure. See the section entitled “Non-GAAP Financial Measures” for a reconciliation of our non-GAAP financial measures to the most directly comparable GAAP financial measure. Allowance for loan losses to total loans held for investment, excluding PPP loans, is defined as allowance for loan losses, divided by total loans held for investment less PPP loans. The most directly comparable GAAP financial measure is allowance for loan losses to total loans held for investment.</w:t>
      </w:r>
    </w:p>
    <w:p>
      <w:pPr>
        <w:pStyle w:val="TextBody"/>
        <w:spacing w:lineRule="auto" w:line="288" w:before="240" w:after="283"/>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Tangible shareholders’ equity to tangible assets is considered to be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as of any of the dates indicated. As a result, tangible shareholders’ equity to tangible assets is the same as total shareholders’ equity to total assets at the end of each of the periods indicated.</w:t>
      </w:r>
    </w:p>
    <w:p>
      <w:pPr>
        <w:pStyle w:val="TextBody"/>
        <w:spacing w:lineRule="auto" w:line="288" w:before="240" w:after="283"/>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For the three months ended March 31, 2021, we calculate our pro forma net income, provision for income taxes, net income per common share, ROAA, and ROAE by adding back our S Corporation tax to net income and applying a combined C Corporation effective tax rate for U.S. federal and California state income taxes of 29.56%. This calculation reflects only the change in our status as an S Corporation and does not give effect to any other transaction. For the three months ended March 31, 2022, our pro forma provision for income tax expense is the same as our actual C Corporation provision, given that the Company was taxed as a C Corporation for the entirety of the three month period, and thus pro forma calculations for the three months ended March 31, 2022 are equal to actuals.</w:t>
      </w:r>
    </w:p>
    <w:p>
      <w:pPr>
        <w:pStyle w:val="TextBody"/>
        <w:spacing w:lineRule="auto" w:line="288" w:before="240" w:after="283"/>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Cash dividend payout ratio on common stock is calculated as dividends on common shares divided by basic net income per common share.</w:t>
      </w:r>
    </w:p>
    <w:p>
      <w:pPr>
        <w:pStyle w:val="TextBody"/>
        <w:spacing w:lineRule="auto" w:line="288" w:before="240" w:after="283"/>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Pro forma ROAA and ROAE are calculated using pro forma net income balances, with no adjustments to average assets and average equity balances</w:t>
      </w:r>
      <w:r>
        <w:rPr>
          <w:rFonts w:ascii="Arial;sans-serif" w:hAnsi="Arial;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our results of operations compares the three months ended March 31, 2022 to the three months ended March 31, 2021. The results of operations for the three months ended March 31, 2022 are not necessarily indicative of the results of operations that may be expected for the year ending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Net Interest Income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is the most significant contributor to our net income. Net interest income represents interest income from interest-earning assets, such as loans and investments, less interest expense on interest-bearing liabilities, such as deposits,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pStyle w:val="TextBody"/>
        <w:spacing w:lineRule="auto" w:line="288" w:before="24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March 31, 2022 compared to three months ended March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income increased by $3.8 million, or 21.13%, to $21.9 million for the quarter ended March 31, 2022 from $18.0 million for the quarter ended March 31, 2021. Our net interest margin of 3.60% for the quarter ended March 31, 2022 decreased from our net interest margin of 3.83% for the quarter ended March 31, 2021, primarily due to a decrease in average loan yields, which decreased from 4.95% for the three months ended March 31, 2021 to 4.53% for the three months ended March 31, 2022. These decreases were primarily due to changes in the macroeconomic environment, which caused a majority of the Company’s fixed-rate loans funded in the current quarter to recognize yields lower than those recognized in prior quarters. The rates associated with the index utilized for a significant portion of the Company’s variable rate loans, the United States 5 Year Treasury index, were higher during the three months ended March 31, 2022, as compared to the three months ended March 31, 2021, but a majority of these loans were not scheduled to reprice during the three months ended March 31, 2022, also contributing to the downward trend in average loan yields. New loan originations drove increases in the average daily balance of loans from the three months ended March 31, 2021 to the three months ended March 31, 2022, which partially offset the aforementioned declining average loan yields.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pPr>
      <w:r>
        <w:rPr>
          <w:rFonts w:ascii="Times New Roman;sans-serif" w:hAnsi="Times New Roman;sans-serif"/>
          <w:b w:val="false"/>
          <w:i/>
          <w:color w:val="000000"/>
          <w:sz w:val="20"/>
        </w:rPr>
        <w:t xml:space="preserve">Average balance sheet, interest, and yield/rate analysis. </w:t>
      </w:r>
      <w:r>
        <w:rPr>
          <w:rFonts w:ascii="Times New Roman;sans-serif" w:hAnsi="Times New Roman;sans-serif"/>
          <w:b w:val="false"/>
          <w:color w:val="000000"/>
          <w:sz w:val="20"/>
        </w:rPr>
        <w:t>The following table presents average balance sheet information, interest income, interest expense and the corresponding average yield earned and rates paid for each period reported. The average balances are daily averages and include both performing and nonperforming loans.</w:t>
      </w:r>
    </w:p>
    <w:tbl>
      <w:tblPr>
        <w:tblW w:w="10205" w:type="dxa"/>
        <w:jc w:val="left"/>
        <w:tblInd w:w="0" w:type="dxa"/>
        <w:tblCellMar>
          <w:top w:w="28" w:type="dxa"/>
          <w:left w:w="28" w:type="dxa"/>
          <w:bottom w:w="28" w:type="dxa"/>
          <w:right w:w="28" w:type="dxa"/>
        </w:tblCellMar>
      </w:tblPr>
      <w:tblGrid>
        <w:gridCol w:w="748"/>
        <w:gridCol w:w="448"/>
        <w:gridCol w:w="374"/>
        <w:gridCol w:w="109"/>
        <w:gridCol w:w="109"/>
        <w:gridCol w:w="109"/>
        <w:gridCol w:w="211"/>
        <w:gridCol w:w="976"/>
        <w:gridCol w:w="109"/>
        <w:gridCol w:w="109"/>
        <w:gridCol w:w="109"/>
        <w:gridCol w:w="109"/>
        <w:gridCol w:w="211"/>
        <w:gridCol w:w="721"/>
        <w:gridCol w:w="109"/>
        <w:gridCol w:w="109"/>
        <w:gridCol w:w="109"/>
        <w:gridCol w:w="109"/>
        <w:gridCol w:w="255"/>
        <w:gridCol w:w="256"/>
        <w:gridCol w:w="458"/>
        <w:gridCol w:w="109"/>
        <w:gridCol w:w="109"/>
        <w:gridCol w:w="109"/>
        <w:gridCol w:w="211"/>
        <w:gridCol w:w="976"/>
        <w:gridCol w:w="109"/>
        <w:gridCol w:w="109"/>
        <w:gridCol w:w="109"/>
        <w:gridCol w:w="109"/>
        <w:gridCol w:w="211"/>
        <w:gridCol w:w="721"/>
        <w:gridCol w:w="109"/>
        <w:gridCol w:w="109"/>
        <w:gridCol w:w="109"/>
        <w:gridCol w:w="109"/>
        <w:gridCol w:w="255"/>
        <w:gridCol w:w="256"/>
        <w:gridCol w:w="519"/>
      </w:tblGrid>
      <w:tr>
        <w:trPr/>
        <w:tc>
          <w:tcPr>
            <w:tcW w:w="7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r>
      <w:tr>
        <w:trPr/>
        <w:tc>
          <w:tcPr>
            <w:tcW w:w="1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0"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1"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2021</w:t>
            </w:r>
          </w:p>
        </w:tc>
      </w:tr>
      <w:tr>
        <w:trPr/>
        <w:tc>
          <w:tcPr>
            <w:tcW w:w="1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Balance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Income/</w:t>
              <w:br/>
              <w:t>Expense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w:t>
              <w:br/>
              <w:t xml:space="preserve">Rate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Balance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Income/</w:t>
              <w:br/>
              <w:t>Expense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w:t>
              <w:br/>
              <w:t>Rate</w:t>
            </w:r>
          </w:p>
        </w:tc>
      </w:tr>
      <w:tr>
        <w:trPr/>
        <w:tc>
          <w:tcPr>
            <w:tcW w:w="157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Interest-earning deposits with banks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5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Investment securities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4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Loans held for investment and sale</w:t>
            </w:r>
            <w:r>
              <w:rPr>
                <w:rFonts w:ascii="Times New Roman;sans-serif" w:hAnsi="Times New Roman;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5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interest-earning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2,465,982 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1,911,112 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51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 and other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2,616,098 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2,037,093 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transaction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4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5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920,767 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4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5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Subordinated debt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4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1,444,848 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45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51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2,616,098 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2,037,093 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interest spread</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4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interest income/margin</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4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5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Interest income/expense is divided by the actual number of days in the period multiplied by the actual number of days in the year to correspond to stated interest rate terms, where applicable.</w:t>
      </w:r>
    </w:p>
    <w:p>
      <w:pPr>
        <w:pStyle w:val="TextBody"/>
        <w:spacing w:lineRule="auto" w:line="288" w:before="24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pStyle w:val="TextBody"/>
        <w:spacing w:lineRule="auto" w:line="288" w:before="240" w:after="283"/>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pStyle w:val="TextBody"/>
        <w:spacing w:lineRule="auto" w:line="288" w:before="240" w:after="283"/>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Net interest spread represents the average yield earned on interest-earning assets minus the average rate paid on interest-bearing liabilities.</w:t>
      </w:r>
    </w:p>
    <w:p>
      <w:pPr>
        <w:pStyle w:val="TextBody"/>
        <w:spacing w:lineRule="auto" w:line="288" w:before="240" w:after="283"/>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Net interest margin is computed by calculating the difference between interest income and interest expense, divided by the average balance of interest-earning assets, then annualized based on the number of days in the given period.</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pPr>
      <w:r>
        <w:rPr>
          <w:rFonts w:ascii="Times New Roman;sans-serif" w:hAnsi="Times New Roman;sans-serif"/>
          <w:b w:val="false"/>
          <w:i/>
          <w:color w:val="000000"/>
          <w:sz w:val="20"/>
        </w:rPr>
        <w:t xml:space="preserve">Analysis of changes in interest income and expenses. </w:t>
      </w:r>
      <w:r>
        <w:rPr>
          <w:rFonts w:ascii="Times New Roman;sans-serif" w:hAnsi="Times New Roman;sans-serif"/>
          <w:b w:val="false"/>
          <w:color w:val="000000"/>
          <w:sz w:val="20"/>
        </w:rPr>
        <w:t>Increases and decreases in interest income and interest expense result from changes in average balances (volume) of interest-earning assets and interest-bearing liabilities, as well as changes in average yields/interest 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tbl>
      <w:tblPr>
        <w:tblW w:w="7203" w:type="dxa"/>
        <w:jc w:val="left"/>
        <w:tblInd w:w="0" w:type="dxa"/>
        <w:tblCellMar>
          <w:top w:w="28" w:type="dxa"/>
          <w:left w:w="28" w:type="dxa"/>
          <w:bottom w:w="28" w:type="dxa"/>
          <w:right w:w="28" w:type="dxa"/>
        </w:tblCellMar>
      </w:tblPr>
      <w:tblGrid>
        <w:gridCol w:w="1180"/>
        <w:gridCol w:w="1036"/>
        <w:gridCol w:w="1039"/>
        <w:gridCol w:w="109"/>
        <w:gridCol w:w="109"/>
        <w:gridCol w:w="109"/>
        <w:gridCol w:w="211"/>
        <w:gridCol w:w="616"/>
        <w:gridCol w:w="109"/>
        <w:gridCol w:w="109"/>
        <w:gridCol w:w="109"/>
        <w:gridCol w:w="109"/>
        <w:gridCol w:w="219"/>
        <w:gridCol w:w="718"/>
        <w:gridCol w:w="113"/>
        <w:gridCol w:w="109"/>
        <w:gridCol w:w="109"/>
        <w:gridCol w:w="109"/>
        <w:gridCol w:w="211"/>
        <w:gridCol w:w="616"/>
        <w:gridCol w:w="154"/>
      </w:tblGrid>
      <w:tr>
        <w:trPr/>
        <w:tc>
          <w:tcPr>
            <w:tcW w:w="1180"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1"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2022 compared to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three months ended March 31, 2021</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Volume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Yield/Rate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325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deposits with banks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and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interest-earning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w:t>
            </w:r>
          </w:p>
        </w:tc>
        <w:tc>
          <w:tcPr>
            <w:tcW w:w="11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5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transaction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accounts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13"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interest income/margin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interest income increased by $3.7 million, or 19.07%, to $22.9 million for the three months ended March 31, 2022 from $19.2 million for the corresponding period for 2021. For the three months ended March 31, 2022, interest income from loans increased by $3.5 million to $22.1 million, as the average daily balance of loans increased by $451.4 million, or 29.58%, compared to the same period of 2021. This increase in interest income from greater average loan balances was offset by a 42 basis point decrease in loan yield to 4.53% for the three months ended March 31, 2022 as compared to the same period of 2021, as discussed above. Additionally, $0.6 million of PPP income from forgiven PPP loans was recognized in the three months ended March 31, 2022, compared to $2.0 million during the same period of 2021. Excluding PPP loans, average loans held for investment and sale increased by $618.9 million to $2.0 billion, and the related yield declined by 44 basis points for the three months ended March 31, 2022 compared to the same period of 2021. Average loans held for investment and sale, excluding PPP loans, and average loan yield, excluding PPP loans, are considered to be non-GAAP financial measures. See the section entitled “Non-GAAP Financial Measures” for a reconciliation of our non-GAAP financial measures to the most directly comparable GAAP financial measure.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interest expense decreased by $0.2 million to $1.0 million for the three months ended March 31, 2022 from $1.1 million for the same period of 2021. Interest expense on customer deposits decreased by $0.2 million to $0.5 million for the three months ended March 31, 2022 from $0.7 million for the same period of 2021. This decrease is due to the cost of interest-bearing liabilities declining by 12 basis points to 0.28% for the three months ended March 31, 2022 from 0.40% for the same period of 2021, reflecting reductions in the rates offered on money market and maturing deposit products during the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Provision for Loan Losses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loan losses is based on management’s assessment of the adequacy of our allowance for loan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loan losses is charged against earnings in order to maintain our allowance for loan losses, which reflects management’s best estimate of probable losses inherent in our loan portfolio at the balance sheet date.</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March 31, 2022 compared to three months ended March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$1.0 million provision for loan losses in the first quarter of 2022, compared to a $0.2 million provision for loan losses for the same period of 2021. The increase of $0.8 million for the provision period-over-period was primarily due to loan growth, bolstered by improvements in the economy, including improved economic conditions related to the impact of the COVID-19 pandemic during the first quarter of 2022 as compared to the first quarter of 2021. Additionally, the Company had a decrease in loans designated as watch and substandard from $60.5 million as of March 31, 2021 to $17.0 million as of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Non-interest Income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Non-interest income is a secondary contributor to our net income. Non-interest income consists primarily of net gain on sale of loans, net gain on sale of securities, FHLB dividends, loan-related fees, and other income.</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March 31, 2022 compared to three months ended March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non-interest income for the periods indicated.</w:t>
      </w:r>
    </w:p>
    <w:tbl>
      <w:tblPr>
        <w:tblW w:w="9930" w:type="dxa"/>
        <w:jc w:val="left"/>
        <w:tblInd w:w="0" w:type="dxa"/>
        <w:tblCellMar>
          <w:top w:w="28" w:type="dxa"/>
          <w:left w:w="28" w:type="dxa"/>
          <w:bottom w:w="28" w:type="dxa"/>
          <w:right w:w="28" w:type="dxa"/>
        </w:tblCellMar>
      </w:tblPr>
      <w:tblGrid>
        <w:gridCol w:w="1190"/>
        <w:gridCol w:w="1046"/>
        <w:gridCol w:w="1049"/>
        <w:gridCol w:w="109"/>
        <w:gridCol w:w="109"/>
        <w:gridCol w:w="109"/>
        <w:gridCol w:w="324"/>
        <w:gridCol w:w="948"/>
        <w:gridCol w:w="167"/>
        <w:gridCol w:w="119"/>
        <w:gridCol w:w="119"/>
        <w:gridCol w:w="119"/>
        <w:gridCol w:w="324"/>
        <w:gridCol w:w="948"/>
        <w:gridCol w:w="167"/>
        <w:gridCol w:w="109"/>
        <w:gridCol w:w="109"/>
        <w:gridCol w:w="109"/>
        <w:gridCol w:w="265"/>
        <w:gridCol w:w="586"/>
        <w:gridCol w:w="139"/>
        <w:gridCol w:w="109"/>
        <w:gridCol w:w="109"/>
        <w:gridCol w:w="109"/>
        <w:gridCol w:w="411"/>
        <w:gridCol w:w="415"/>
        <w:gridCol w:w="613"/>
      </w:tblGrid>
      <w:tr>
        <w:trPr/>
        <w:tc>
          <w:tcPr>
            <w:tcW w:w="119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5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w:t>
              <w:br/>
              <w:t>(Decrease)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w:t>
              <w:br/>
              <w:t>(Decrease)</w:t>
            </w:r>
          </w:p>
        </w:tc>
      </w:tr>
      <w:tr>
        <w:trPr/>
        <w:tc>
          <w:tcPr>
            <w:tcW w:w="32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on deposit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61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sale of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w:t>
            </w:r>
          </w:p>
        </w:tc>
        <w:tc>
          <w:tcPr>
            <w:tcW w:w="6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6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Loan-related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137.31 </w:t>
            </w:r>
          </w:p>
        </w:tc>
        <w:tc>
          <w:tcPr>
            <w:tcW w:w="6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stock dividends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6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on bank-owned life 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73.08 </w:t>
            </w:r>
          </w:p>
        </w:tc>
        <w:tc>
          <w:tcPr>
            <w:tcW w:w="6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6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6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pPr>
      <w:r>
        <w:rPr>
          <w:rFonts w:ascii="Times New Roman;sans-serif" w:hAnsi="Times New Roman;sans-serif"/>
          <w:b w:val="false"/>
          <w:i/>
          <w:color w:val="000000"/>
          <w:sz w:val="20"/>
        </w:rPr>
        <w:t xml:space="preserve">Net gain on sale of securities. </w:t>
      </w:r>
      <w:r>
        <w:rPr>
          <w:rFonts w:ascii="Times New Roman;sans-serif" w:hAnsi="Times New Roman;sans-serif"/>
          <w:b w:val="false"/>
          <w:color w:val="000000"/>
          <w:sz w:val="20"/>
        </w:rPr>
        <w:t>The decrease in net gain on sale of securities was primarily due to the sale of one $1.5 million municipal security for a gain of $5.3 thousand during the three months ended March 31, 2022, compared to $11.5 million of municipal securities sold in the three months ended March 31, 2021 for a total gain recognized of $0.2 million.</w:t>
      </w:r>
    </w:p>
    <w:p>
      <w:pPr>
        <w:pStyle w:val="TextBody"/>
        <w:spacing w:lineRule="auto" w:line="288" w:before="240" w:after="283"/>
        <w:jc w:val="both"/>
        <w:rPr/>
      </w:pPr>
      <w:r>
        <w:rPr>
          <w:rFonts w:ascii="Times New Roman;sans-serif" w:hAnsi="Times New Roman;sans-serif"/>
          <w:b w:val="false"/>
          <w:i/>
          <w:color w:val="000000"/>
          <w:sz w:val="20"/>
        </w:rPr>
        <w:t>Loan-related fees</w:t>
      </w:r>
      <w:r>
        <w:rPr>
          <w:rFonts w:ascii="Times New Roman;sans-serif" w:hAnsi="Times New Roman;sans-serif"/>
          <w:b w:val="false"/>
          <w:color w:val="000000"/>
          <w:sz w:val="20"/>
        </w:rPr>
        <w:t xml:space="preserve">. The increase in loan-related fees primarily related to $0.3 million of swap referral fees recognized during the three months ended March 31, 2022, which did not occur in the three months ended March 31, 2021.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Other income</w:t>
      </w:r>
      <w:r>
        <w:rPr>
          <w:rFonts w:ascii="Times New Roman;sans-serif" w:hAnsi="Times New Roman;sans-serif"/>
          <w:b w:val="false"/>
          <w:color w:val="000000"/>
          <w:sz w:val="20"/>
        </w:rPr>
        <w:t xml:space="preserve">. The increase in other income resulted primarily from a $0.3 million gain recorded on a distribution received on an investment in a venture-backed fund, which did not occur during the three months ended March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Non-interest Expense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our efficiency ratio. The efficiency ratio is calculated as non-interest expense divided by the sum of net interest income and non-interest income. We constantly seek to identify ways to streamline our business and operate more efficiently, which has enabled us to reduce our non-interest expense in both absolute terms and as a percentage of our revenue while continuing to achieve growth in total loans and assets.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we have invested significant resources in personnel and infrastructure. Additionally, to support corporate organizational matters leading up to the IPO, we experienced increased audit, consulting, and legal costs. As a result, non-interest expense is increasing in the periods presented below; however, we do not anticipate incurring significant costs of this type in future periods, and we expect our efficiency ratio will improve going forward due, in part, to our past investment in infrastructure.</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March 31, 2022 compared to three months ended March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non-interest expense for the periods indicated.</w:t>
      </w:r>
    </w:p>
    <w:tbl>
      <w:tblPr>
        <w:tblW w:w="9236" w:type="dxa"/>
        <w:jc w:val="left"/>
        <w:tblInd w:w="0" w:type="dxa"/>
        <w:tblCellMar>
          <w:top w:w="28" w:type="dxa"/>
          <w:left w:w="28" w:type="dxa"/>
          <w:bottom w:w="28" w:type="dxa"/>
          <w:right w:w="28" w:type="dxa"/>
        </w:tblCellMar>
      </w:tblPr>
      <w:tblGrid>
        <w:gridCol w:w="951"/>
        <w:gridCol w:w="835"/>
        <w:gridCol w:w="838"/>
        <w:gridCol w:w="109"/>
        <w:gridCol w:w="109"/>
        <w:gridCol w:w="109"/>
        <w:gridCol w:w="324"/>
        <w:gridCol w:w="948"/>
        <w:gridCol w:w="167"/>
        <w:gridCol w:w="119"/>
        <w:gridCol w:w="119"/>
        <w:gridCol w:w="119"/>
        <w:gridCol w:w="324"/>
        <w:gridCol w:w="948"/>
        <w:gridCol w:w="167"/>
        <w:gridCol w:w="109"/>
        <w:gridCol w:w="109"/>
        <w:gridCol w:w="109"/>
        <w:gridCol w:w="277"/>
        <w:gridCol w:w="613"/>
        <w:gridCol w:w="145"/>
        <w:gridCol w:w="109"/>
        <w:gridCol w:w="109"/>
        <w:gridCol w:w="109"/>
        <w:gridCol w:w="359"/>
        <w:gridCol w:w="362"/>
        <w:gridCol w:w="640"/>
      </w:tblGrid>
      <w:tr>
        <w:trPr/>
        <w:tc>
          <w:tcPr>
            <w:tcW w:w="951"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5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w:t>
              <w:br/>
              <w:t xml:space="preserve">(Decrease)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w:t>
              <w:br/>
              <w:t xml:space="preserve">(Decrease) </w:t>
            </w:r>
          </w:p>
        </w:tc>
      </w:tr>
      <w:tr>
        <w:trPr/>
        <w:tc>
          <w:tcPr>
            <w:tcW w:w="262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6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 and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 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w:t>
            </w:r>
          </w:p>
        </w:tc>
        <w:tc>
          <w:tcPr>
            <w:tcW w:w="6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102.35 </w:t>
            </w:r>
          </w:p>
        </w:tc>
        <w:tc>
          <w:tcPr>
            <w:tcW w:w="6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Loan-related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62.13 </w:t>
            </w:r>
          </w:p>
        </w:tc>
        <w:tc>
          <w:tcPr>
            <w:tcW w:w="6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9,575 </w:t>
            </w:r>
          </w:p>
        </w:tc>
        <w:tc>
          <w:tcPr>
            <w:tcW w:w="1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8,804 </w:t>
            </w:r>
          </w:p>
        </w:tc>
        <w:tc>
          <w:tcPr>
            <w:tcW w:w="1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6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Salaries and employee benefits.</w:t>
      </w:r>
      <w:r>
        <w:rPr>
          <w:color w:val="000000"/>
        </w:rPr>
        <w:t xml:space="preserve"> </w:t>
      </w:r>
      <w:r>
        <w:rPr>
          <w:rFonts w:ascii="Times New Roman;sans-serif" w:hAnsi="Times New Roman;sans-serif"/>
          <w:b w:val="false"/>
          <w:color w:val="000000"/>
          <w:sz w:val="20"/>
        </w:rPr>
        <w:t>The increase in salaries and employee benefits was primarily a result of a $1.1 million increase related to an 18.24% increase in headcount during the three months ended March 31, 2022, as compared to the three months ended March 31, 2021, combined with a $0.6 million increase in commissions from the three months ended March 31, 2021 to the three months ended March 31, 2022. These increases were partially offset by a $0.6 million increase in deferred loan origination costs from the three months ended March 31, 2021 to the three months ended March 31, 2022.</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FDIC insurance</w:t>
      </w:r>
      <w:r>
        <w:rPr>
          <w:rFonts w:ascii="Times New Roman;sans-serif" w:hAnsi="Times New Roman;sans-serif"/>
          <w:b w:val="false"/>
          <w:color w:val="000000"/>
          <w:sz w:val="20"/>
        </w:rPr>
        <w:t>. FDIC insurance decreased, primarily due to an improvement in the leverage ratio used in the FDIC assessment calculation as a result of the Company’s IPO in May 2021.</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Professional services</w:t>
      </w:r>
      <w:r>
        <w:rPr>
          <w:rFonts w:ascii="Times New Roman;sans-serif" w:hAnsi="Times New Roman;sans-serif"/>
          <w:b w:val="false"/>
          <w:color w:val="000000"/>
          <w:sz w:val="20"/>
        </w:rPr>
        <w:t xml:space="preserve">. Professional services decreased, primarily as a result of expenses recognized during the three months ended March 31, 2021 related to the increased audit, consulting, and legal costs incurred to support corporate organizational matters leading up to the IPO, which did not recur during the three months ended March 31, 2022.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Advertising and promotional</w:t>
      </w:r>
      <w:r>
        <w:rPr>
          <w:rFonts w:ascii="Times New Roman;sans-serif" w:hAnsi="Times New Roman;sans-serif"/>
          <w:b w:val="false"/>
          <w:color w:val="000000"/>
          <w:sz w:val="20"/>
        </w:rPr>
        <w:t>. The increase in advertising and promotional was primarily related to increases in business development, marketing, and sponsorship expenses due to more in-person participation at events held during the three months ended March 31, 2022, as compared to the three months ended March 31, 2021.</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Other operating expenses</w:t>
      </w:r>
      <w:r>
        <w:rPr>
          <w:rFonts w:ascii="Times New Roman;sans-serif" w:hAnsi="Times New Roman;sans-serif"/>
          <w:b w:val="false"/>
          <w:color w:val="000000"/>
          <w:sz w:val="20"/>
        </w:rPr>
        <w:t>. Other operating expenses increased, primarily due to $0.1 million of stock compensation expense recorded for restricted stock granted to members of the board of directors during the three months ended March 31, 2022, which did not occur during the three months ended March 31, 2021, combined with the net effect of individually immaterial items, including increases in expenses related to travel, insurance, dues and subscriptions, data, and telephone, which increased as a result of an increase in volume of customers and employees period-over-period.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Provision for Income Taxes</w:t>
      </w:r>
    </w:p>
    <w:p>
      <w:pPr>
        <w:pStyle w:val="TextBody"/>
        <w:spacing w:lineRule="auto" w:line="288" w:before="240" w:after="283"/>
        <w:jc w:val="both"/>
        <w:rPr/>
      </w:pPr>
      <w:r>
        <w:rPr>
          <w:rFonts w:ascii="Times New Roman;sans-serif" w:hAnsi="Times New Roman;sans-serif"/>
          <w:b w:val="false"/>
          <w:color w:val="000000"/>
          <w:sz w:val="20"/>
        </w:rPr>
        <w:t>The Company terminated its status as a “Subchapter S” corporation effective May 5, 2021, in connection with the Company’s IPO</w:t>
      </w:r>
      <w:r>
        <w:rPr>
          <w:rFonts w:ascii="Arial;sans-serif" w:hAnsi="Arial;sans-serif"/>
          <w:b w:val="false"/>
          <w:color w:val="000000"/>
          <w:sz w:val="20"/>
        </w:rPr>
        <w:t>,</w:t>
      </w:r>
      <w:r>
        <w:rPr>
          <w:color w:val="000000"/>
        </w:rPr>
        <w:t xml:space="preserve"> </w:t>
      </w:r>
      <w:r>
        <w:rPr>
          <w:rFonts w:ascii="Times New Roman;sans-serif" w:hAnsi="Times New Roman;sans-serif"/>
          <w:b w:val="false"/>
          <w:color w:val="000000"/>
          <w:sz w:val="20"/>
        </w:rPr>
        <w:t>and became a C Corporation. Prior to that date, as an S Corporation, the Company had no U.S. federal income tax expense. The provision recorded for the three months ended March 31, 2022 yielded an effective tax rate of 27.07%. Refer to the section entitled “—Pro Forma C Corporation Income Tax Expense” below for a discussion on what the Company’s income tax expense and net income would have been had the Company been taxed as a C Corporation during the three months ended March 31, 2021.</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March 31, 2022 compared to three months ended March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for the quarter ended March 31, 2022 increased by $3.3 million to $3.7 million, as compared to $0.4 million during the quarter ended March 31, 2021. This increase is due to the change in the statutory tax rate from 3.50% for the quarter ended March 31, 2021 to 29.56%, as applied to estimated taxable income for the quarter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Pro Forma C Corporation Income Tax Expense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Company’s status as a Subchapter S Corporation prior to May 5, 2021, no U.S. federal income tax expense was recorded for the entirety of the three months ended March 31, 2021. Had the Company been taxed as a C Corporation and paid U.S. federal income tax for that period, the combined statutory income tax rate would have been 29.56%. For the three months ended March 31, 2021, the pro forma statutory rate reflects a U.S. federal income tax rate of 21.00% and a California state income tax rate of 8.56%, after adjustment for the federal tax benefit, on corporate taxable income. Had the Company been subject to U.S. federal income tax for this period, on a statutory income tax rate pro forma basis, the provision for combined federal and state income tax would have been $3.2 million for the three months ended March 31, 2021. As a result of the foregoing factors, the Company’s pro forma net income (after U.S. federal and California state income tax) would have been $7.5 million for the three months ended March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CONDITION SUMMARY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compares our financial condition as of March 31, 2022 to our financial condition as of December 31, 2021. The following table summarizes selected components of our balance sheet as of March 31, 2022 and December 31, 2021.</w:t>
      </w:r>
    </w:p>
    <w:tbl>
      <w:tblPr>
        <w:tblW w:w="6127" w:type="dxa"/>
        <w:jc w:val="left"/>
        <w:tblInd w:w="0" w:type="dxa"/>
        <w:tblCellMar>
          <w:top w:w="28" w:type="dxa"/>
          <w:left w:w="28" w:type="dxa"/>
          <w:bottom w:w="28" w:type="dxa"/>
          <w:right w:w="28" w:type="dxa"/>
        </w:tblCellMar>
      </w:tblPr>
      <w:tblGrid>
        <w:gridCol w:w="820"/>
        <w:gridCol w:w="721"/>
        <w:gridCol w:w="723"/>
        <w:gridCol w:w="109"/>
        <w:gridCol w:w="109"/>
        <w:gridCol w:w="109"/>
        <w:gridCol w:w="234"/>
        <w:gridCol w:w="1085"/>
        <w:gridCol w:w="121"/>
        <w:gridCol w:w="109"/>
        <w:gridCol w:w="109"/>
        <w:gridCol w:w="109"/>
        <w:gridCol w:w="278"/>
        <w:gridCol w:w="1288"/>
        <w:gridCol w:w="203"/>
      </w:tblGrid>
      <w:tr>
        <w:trPr/>
        <w:tc>
          <w:tcPr>
            <w:tcW w:w="82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26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2,778,249 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2,556,761 </w:t>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504,964 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425,329 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139,299 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153,753 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2,080,158 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1,934,460 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2,503,092 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2,285,890 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235,046 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Total Assets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2022, total assets were $2.8 billion, an increase of $221.5 million from $2.6 billion at December 31, 2021, primarily due to increases in cash and cash equivalents and loans held for investment, as discussed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were $505.0 million at March 31, 2022, an increase of $79.6 million, as compared to $425.3 million at December 31, 2021. The increase in cash and cash equivalents was primarily a result of net income recognized of $9.9 million, proceeds from sale of loans of $11.7 million, and an increase in deposits of $217.2 million. These increases were partially offset by loans originated for sale of $21.2 million, loan originations and advances, net of principal collected, of $135.0 million, and cash distributions of $7.5 million during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Investment Portfolio</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is primarily comprised of guaranteed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total securities held-to-maturity and available-for-sale amounted to $139.3 million at March 31, 2022 and $153.8 million at December 31, 2021, representing a decrease of $14.5 million. The decrease was primarily due to an unrealized loss (tax effected) on securities of $7.2 million, of which $4.4 million and $2.6 million related to our mortgage-backed and municipal securities portfolios, respectively. This unrealized loss was recognized as a result of interest rate hikes that occurred during the quarter.</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value of our investment portfolio as of the dates indicated:</w:t>
      </w:r>
    </w:p>
    <w:tbl>
      <w:tblPr>
        <w:tblW w:w="10205" w:type="dxa"/>
        <w:jc w:val="left"/>
        <w:tblInd w:w="0" w:type="dxa"/>
        <w:tblCellMar>
          <w:top w:w="28" w:type="dxa"/>
          <w:left w:w="28" w:type="dxa"/>
          <w:bottom w:w="28" w:type="dxa"/>
          <w:right w:w="28" w:type="dxa"/>
        </w:tblCellMar>
      </w:tblPr>
      <w:tblGrid>
        <w:gridCol w:w="1421"/>
        <w:gridCol w:w="1247"/>
        <w:gridCol w:w="1249"/>
        <w:gridCol w:w="109"/>
        <w:gridCol w:w="109"/>
        <w:gridCol w:w="109"/>
        <w:gridCol w:w="211"/>
        <w:gridCol w:w="826"/>
        <w:gridCol w:w="109"/>
        <w:gridCol w:w="109"/>
        <w:gridCol w:w="109"/>
        <w:gridCol w:w="109"/>
        <w:gridCol w:w="360"/>
        <w:gridCol w:w="361"/>
        <w:gridCol w:w="587"/>
        <w:gridCol w:w="109"/>
        <w:gridCol w:w="109"/>
        <w:gridCol w:w="109"/>
        <w:gridCol w:w="211"/>
        <w:gridCol w:w="826"/>
        <w:gridCol w:w="109"/>
        <w:gridCol w:w="109"/>
        <w:gridCol w:w="109"/>
        <w:gridCol w:w="109"/>
        <w:gridCol w:w="360"/>
        <w:gridCol w:w="361"/>
        <w:gridCol w:w="659"/>
      </w:tblGrid>
      <w:tr>
        <w:trPr/>
        <w:tc>
          <w:tcPr>
            <w:tcW w:w="1421"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1" w:type="dxa"/>
            <w:gridSpan w:val="21"/>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r>
          </w:p>
        </w:tc>
      </w:tr>
      <w:tr>
        <w:trPr/>
        <w:tc>
          <w:tcPr>
            <w:tcW w:w="3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1"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Total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Total </w:t>
            </w:r>
          </w:p>
        </w:tc>
      </w:tr>
      <w:tr>
        <w:trPr/>
        <w:tc>
          <w:tcPr>
            <w:tcW w:w="39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6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52.76 </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53.02 </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6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6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96.78 </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96.79 </w:t>
            </w:r>
          </w:p>
        </w:tc>
        <w:tc>
          <w:tcPr>
            <w:tcW w:w="65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 (at amortized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6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139,299 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5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153,753 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value of our securities by their stated maturities, as well as the weighted average yields for each maturity range, as of March 31, 2022:</w:t>
      </w:r>
    </w:p>
    <w:tbl>
      <w:tblPr>
        <w:tblW w:w="13603" w:type="dxa"/>
        <w:jc w:val="left"/>
        <w:tblInd w:w="0" w:type="dxa"/>
        <w:tblCellMar>
          <w:top w:w="28" w:type="dxa"/>
          <w:left w:w="28" w:type="dxa"/>
          <w:bottom w:w="28" w:type="dxa"/>
          <w:right w:w="28" w:type="dxa"/>
        </w:tblCellMar>
      </w:tblPr>
      <w:tblGrid>
        <w:gridCol w:w="607"/>
        <w:gridCol w:w="490"/>
        <w:gridCol w:w="269"/>
        <w:gridCol w:w="109"/>
        <w:gridCol w:w="109"/>
        <w:gridCol w:w="109"/>
        <w:gridCol w:w="210"/>
        <w:gridCol w:w="452"/>
        <w:gridCol w:w="119"/>
        <w:gridCol w:w="109"/>
        <w:gridCol w:w="109"/>
        <w:gridCol w:w="109"/>
        <w:gridCol w:w="233"/>
        <w:gridCol w:w="233"/>
        <w:gridCol w:w="418"/>
        <w:gridCol w:w="109"/>
        <w:gridCol w:w="109"/>
        <w:gridCol w:w="109"/>
        <w:gridCol w:w="196"/>
        <w:gridCol w:w="556"/>
        <w:gridCol w:w="109"/>
        <w:gridCol w:w="109"/>
        <w:gridCol w:w="109"/>
        <w:gridCol w:w="109"/>
        <w:gridCol w:w="233"/>
        <w:gridCol w:w="233"/>
        <w:gridCol w:w="418"/>
        <w:gridCol w:w="109"/>
        <w:gridCol w:w="109"/>
        <w:gridCol w:w="109"/>
        <w:gridCol w:w="196"/>
        <w:gridCol w:w="556"/>
        <w:gridCol w:w="109"/>
        <w:gridCol w:w="109"/>
        <w:gridCol w:w="109"/>
        <w:gridCol w:w="109"/>
        <w:gridCol w:w="233"/>
        <w:gridCol w:w="233"/>
        <w:gridCol w:w="418"/>
        <w:gridCol w:w="109"/>
        <w:gridCol w:w="109"/>
        <w:gridCol w:w="109"/>
        <w:gridCol w:w="196"/>
        <w:gridCol w:w="736"/>
        <w:gridCol w:w="109"/>
        <w:gridCol w:w="109"/>
        <w:gridCol w:w="109"/>
        <w:gridCol w:w="109"/>
        <w:gridCol w:w="233"/>
        <w:gridCol w:w="233"/>
        <w:gridCol w:w="418"/>
        <w:gridCol w:w="109"/>
        <w:gridCol w:w="109"/>
        <w:gridCol w:w="109"/>
        <w:gridCol w:w="196"/>
        <w:gridCol w:w="736"/>
        <w:gridCol w:w="109"/>
        <w:gridCol w:w="109"/>
        <w:gridCol w:w="109"/>
        <w:gridCol w:w="109"/>
        <w:gridCol w:w="233"/>
        <w:gridCol w:w="233"/>
        <w:gridCol w:w="380"/>
      </w:tblGrid>
      <w:tr>
        <w:trPr/>
        <w:tc>
          <w:tcPr>
            <w:tcW w:w="607"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in one year </w:t>
              <w:br/>
              <w:t>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after one </w:t>
              <w:br/>
              <w:t xml:space="preserve">year through five years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after five </w:t>
              <w:br/>
              <w:t xml:space="preserve">years through ten years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after ten years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36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Avg </w:t>
              <w:br/>
              <w:t>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Avg </w:t>
              <w:br/>
              <w:t xml:space="preserve">Yield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Avg </w:t>
              <w:br/>
              <w:t xml:space="preserve">Yield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Avg </w:t>
              <w:br/>
              <w:t xml:space="preserve">Yield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7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Avg </w:t>
              <w:br/>
              <w:t xml:space="preserve">Yield </w:t>
            </w:r>
          </w:p>
        </w:tc>
      </w:tr>
      <w:tr>
        <w:trPr/>
        <w:tc>
          <w:tcPr>
            <w:tcW w:w="136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2"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0.65 </w:t>
            </w:r>
          </w:p>
        </w:tc>
        <w:tc>
          <w:tcPr>
            <w:tcW w:w="380" w:type="dxa"/>
            <w:tcBorders/>
            <w:shd w:fill="FFFF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380" w:type="dxa"/>
            <w:tcBorders/>
            <w:shd w:fill="CCEE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380" w:type="dxa"/>
            <w:tcBorders/>
            <w:shd w:fill="FFFF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380" w:type="dxa"/>
            <w:tcBorders/>
            <w:shd w:fill="CCEE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380" w:type="dxa"/>
            <w:tcBorders/>
            <w:shd w:fill="FFFF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38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ind w:left="0" w:right="0" w:hanging="17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Held-to-maturity: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ind w:left="0" w:right="0" w:hanging="17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380" w:type="dxa"/>
            <w:tcBorders/>
            <w:shd w:fill="FFFF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1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125,692 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139,299 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38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value of our securities by their stated maturities, as well as the weighted average yields for each maturity range, as of December 31, 2021:</w:t>
      </w:r>
    </w:p>
    <w:tbl>
      <w:tblPr>
        <w:tblW w:w="13792" w:type="dxa"/>
        <w:jc w:val="left"/>
        <w:tblInd w:w="0" w:type="dxa"/>
        <w:tblCellMar>
          <w:top w:w="28" w:type="dxa"/>
          <w:left w:w="28" w:type="dxa"/>
          <w:bottom w:w="28" w:type="dxa"/>
          <w:right w:w="28" w:type="dxa"/>
        </w:tblCellMar>
      </w:tblPr>
      <w:tblGrid>
        <w:gridCol w:w="607"/>
        <w:gridCol w:w="490"/>
        <w:gridCol w:w="269"/>
        <w:gridCol w:w="109"/>
        <w:gridCol w:w="109"/>
        <w:gridCol w:w="109"/>
        <w:gridCol w:w="210"/>
        <w:gridCol w:w="452"/>
        <w:gridCol w:w="119"/>
        <w:gridCol w:w="109"/>
        <w:gridCol w:w="109"/>
        <w:gridCol w:w="109"/>
        <w:gridCol w:w="233"/>
        <w:gridCol w:w="233"/>
        <w:gridCol w:w="418"/>
        <w:gridCol w:w="109"/>
        <w:gridCol w:w="109"/>
        <w:gridCol w:w="109"/>
        <w:gridCol w:w="196"/>
        <w:gridCol w:w="556"/>
        <w:gridCol w:w="109"/>
        <w:gridCol w:w="109"/>
        <w:gridCol w:w="109"/>
        <w:gridCol w:w="109"/>
        <w:gridCol w:w="233"/>
        <w:gridCol w:w="233"/>
        <w:gridCol w:w="418"/>
        <w:gridCol w:w="109"/>
        <w:gridCol w:w="109"/>
        <w:gridCol w:w="109"/>
        <w:gridCol w:w="196"/>
        <w:gridCol w:w="646"/>
        <w:gridCol w:w="109"/>
        <w:gridCol w:w="109"/>
        <w:gridCol w:w="109"/>
        <w:gridCol w:w="109"/>
        <w:gridCol w:w="233"/>
        <w:gridCol w:w="233"/>
        <w:gridCol w:w="418"/>
        <w:gridCol w:w="109"/>
        <w:gridCol w:w="109"/>
        <w:gridCol w:w="109"/>
        <w:gridCol w:w="196"/>
        <w:gridCol w:w="736"/>
        <w:gridCol w:w="109"/>
        <w:gridCol w:w="109"/>
        <w:gridCol w:w="109"/>
        <w:gridCol w:w="109"/>
        <w:gridCol w:w="233"/>
        <w:gridCol w:w="233"/>
        <w:gridCol w:w="418"/>
        <w:gridCol w:w="109"/>
        <w:gridCol w:w="109"/>
        <w:gridCol w:w="109"/>
        <w:gridCol w:w="196"/>
        <w:gridCol w:w="736"/>
        <w:gridCol w:w="109"/>
        <w:gridCol w:w="109"/>
        <w:gridCol w:w="109"/>
        <w:gridCol w:w="109"/>
        <w:gridCol w:w="233"/>
        <w:gridCol w:w="233"/>
        <w:gridCol w:w="479"/>
      </w:tblGrid>
      <w:tr>
        <w:trPr/>
        <w:tc>
          <w:tcPr>
            <w:tcW w:w="607"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in one year </w:t>
              <w:br/>
              <w:t>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after one </w:t>
              <w:br/>
              <w:t>year through five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after five </w:t>
              <w:br/>
              <w:t>years through ten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Due after ten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3"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6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Avg </w:t>
              <w:br/>
              <w:t>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Avg </w:t>
              <w:br/>
              <w:t>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Avg </w:t>
              <w:br/>
              <w:t>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Avg </w:t>
              <w:br/>
              <w:t>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Value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Avg </w:t>
              <w:br/>
              <w:t>Yield</w:t>
            </w:r>
          </w:p>
        </w:tc>
      </w:tr>
      <w:tr>
        <w:trPr/>
        <w:tc>
          <w:tcPr>
            <w:tcW w:w="136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2"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0.69 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0.43 </w:t>
            </w:r>
          </w:p>
        </w:tc>
        <w:tc>
          <w:tcPr>
            <w:tcW w:w="479" w:type="dxa"/>
            <w:tcBorders/>
            <w:shd w:fill="FFFFFF" w:val="clear"/>
            <w:tcMar>
              <w:top w:w="0" w:type="dxa"/>
              <w:left w:w="0" w:type="dxa"/>
              <w:bottom w:w="0" w:type="dxa"/>
              <w:right w:w="0" w:type="dxa"/>
            </w:tcMar>
            <w:vAlign w:val="center"/>
          </w:tcPr>
          <w:p>
            <w:pPr>
              <w:pStyle w:val="TableContents"/>
              <w:spacing w:lineRule="auto" w:line="273"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479" w:type="dxa"/>
            <w:tcBorders/>
            <w:shd w:fill="CCEEFF" w:val="clear"/>
            <w:tcMar>
              <w:top w:w="0" w:type="dxa"/>
              <w:left w:w="0" w:type="dxa"/>
              <w:bottom w:w="0" w:type="dxa"/>
              <w:right w:w="0" w:type="dxa"/>
            </w:tcMar>
            <w:vAlign w:val="center"/>
          </w:tcPr>
          <w:p>
            <w:pPr>
              <w:pStyle w:val="TableContents"/>
              <w:spacing w:lineRule="auto" w:line="273"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479" w:type="dxa"/>
            <w:tcBorders/>
            <w:shd w:fill="FFFFFF" w:val="clear"/>
            <w:tcMar>
              <w:top w:w="0" w:type="dxa"/>
              <w:left w:w="0" w:type="dxa"/>
              <w:bottom w:w="0" w:type="dxa"/>
              <w:right w:w="0" w:type="dxa"/>
            </w:tcMar>
            <w:vAlign w:val="center"/>
          </w:tcPr>
          <w:p>
            <w:pPr>
              <w:pStyle w:val="TableContents"/>
              <w:spacing w:lineRule="auto" w:line="273"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479" w:type="dxa"/>
            <w:tcBorders/>
            <w:shd w:fill="CCEE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47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47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Held-to-maturity: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180"/>
              <w:jc w:val="right"/>
              <w:rPr>
                <w:color w:val="000000"/>
              </w:rPr>
            </w:pPr>
            <w:r>
              <w:rPr>
                <w:color w:val="000000"/>
              </w:rPr>
              <w:t> </w:t>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47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137,194 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41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153,753 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47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Weighted average yield for securities available-for-sale is the projected yield to maturity given current cash flow projections for U.S. government agency securities, mortgage-backed securities, and collateralized mortgage obligations and is a yield to worst for callable municipal securities and corporate bonds. Weighted average yield for securities held-to-maturity is the stated coupon of the bond.</w:t>
      </w:r>
    </w:p>
    <w:p>
      <w:pPr>
        <w:pStyle w:val="TextBody"/>
        <w:spacing w:before="240" w:after="283"/>
        <w:jc w:val="both"/>
        <w:rPr/>
      </w:pPr>
      <w:r>
        <w:rPr/>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amortized cost and fair value related to securities as of March 31, 2022 and December 31, 2021 is presented below.</w:t>
      </w:r>
    </w:p>
    <w:tbl>
      <w:tblPr>
        <w:tblW w:w="9770" w:type="dxa"/>
        <w:jc w:val="left"/>
        <w:tblInd w:w="0" w:type="dxa"/>
        <w:tblCellMar>
          <w:top w:w="28" w:type="dxa"/>
          <w:left w:w="28" w:type="dxa"/>
          <w:bottom w:w="28" w:type="dxa"/>
          <w:right w:w="28" w:type="dxa"/>
        </w:tblCellMar>
      </w:tblPr>
      <w:tblGrid>
        <w:gridCol w:w="1428"/>
        <w:gridCol w:w="1257"/>
        <w:gridCol w:w="1260"/>
        <w:gridCol w:w="109"/>
        <w:gridCol w:w="109"/>
        <w:gridCol w:w="109"/>
        <w:gridCol w:w="262"/>
        <w:gridCol w:w="1027"/>
        <w:gridCol w:w="135"/>
        <w:gridCol w:w="109"/>
        <w:gridCol w:w="109"/>
        <w:gridCol w:w="109"/>
        <w:gridCol w:w="211"/>
        <w:gridCol w:w="466"/>
        <w:gridCol w:w="109"/>
        <w:gridCol w:w="109"/>
        <w:gridCol w:w="109"/>
        <w:gridCol w:w="109"/>
        <w:gridCol w:w="211"/>
        <w:gridCol w:w="796"/>
        <w:gridCol w:w="109"/>
        <w:gridCol w:w="109"/>
        <w:gridCol w:w="109"/>
        <w:gridCol w:w="109"/>
        <w:gridCol w:w="211"/>
        <w:gridCol w:w="826"/>
        <w:gridCol w:w="154"/>
      </w:tblGrid>
      <w:tr>
        <w:trPr/>
        <w:tc>
          <w:tcPr>
            <w:tcW w:w="1428"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Unrealized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(Losses)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94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145,060 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149,610 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3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unrealized losses on securities are attributable to interest rate changes, rather than the marketability of the securities or the issuer’s ability to honor redemption of the obligations, as the securities with losses are all obligations of or guaranteed by agencies sponsored by the U.S. government. We have adequate liquidity and the ability and intent to hold these securities to maturity, resulting in full recovery of the indicated impairment. Accordingly, none of the unrealized losses on these securities have been determined to be other than temporary.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Loan Portfolio</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loan portfolio is our largest class of earning assets and typically provides higher yields than other types of earning assets. Associated with the higher yields is an inherent amount of credit risk, which we attempt to mitigate with strong underwriting. As of March 31, 2022 and December 31, 2021, our total loans amounted to $2.1 billion and $1.9 billion, respectively. The following table presents the balance and associated percentage of each major product type within our portfolio as of the dates indicated.</w:t>
      </w:r>
    </w:p>
    <w:tbl>
      <w:tblPr>
        <w:tblW w:w="9634" w:type="dxa"/>
        <w:jc w:val="left"/>
        <w:tblInd w:w="0" w:type="dxa"/>
        <w:tblCellMar>
          <w:top w:w="28" w:type="dxa"/>
          <w:left w:w="28" w:type="dxa"/>
          <w:bottom w:w="28" w:type="dxa"/>
          <w:right w:w="28" w:type="dxa"/>
        </w:tblCellMar>
      </w:tblPr>
      <w:tblGrid>
        <w:gridCol w:w="1076"/>
        <w:gridCol w:w="945"/>
        <w:gridCol w:w="949"/>
        <w:gridCol w:w="109"/>
        <w:gridCol w:w="109"/>
        <w:gridCol w:w="109"/>
        <w:gridCol w:w="211"/>
        <w:gridCol w:w="976"/>
        <w:gridCol w:w="109"/>
        <w:gridCol w:w="109"/>
        <w:gridCol w:w="109"/>
        <w:gridCol w:w="109"/>
        <w:gridCol w:w="360"/>
        <w:gridCol w:w="361"/>
        <w:gridCol w:w="626"/>
        <w:gridCol w:w="109"/>
        <w:gridCol w:w="109"/>
        <w:gridCol w:w="109"/>
        <w:gridCol w:w="211"/>
        <w:gridCol w:w="976"/>
        <w:gridCol w:w="109"/>
        <w:gridCol w:w="109"/>
        <w:gridCol w:w="109"/>
        <w:gridCol w:w="109"/>
        <w:gridCol w:w="360"/>
        <w:gridCol w:w="361"/>
        <w:gridCol w:w="696"/>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7" w:type="dxa"/>
            <w:gridSpan w:val="21"/>
            <w:tcBorders>
              <w:bottom w:val="single" w:sz="4"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40"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Loans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Loans </w:t>
            </w:r>
          </w:p>
        </w:tc>
      </w:tr>
      <w:tr>
        <w:trPr/>
        <w:tc>
          <w:tcPr>
            <w:tcW w:w="297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84.18 </w:t>
            </w:r>
          </w:p>
        </w:tc>
        <w:tc>
          <w:tcPr>
            <w:tcW w:w="6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81.48 </w:t>
            </w:r>
          </w:p>
        </w:tc>
        <w:tc>
          <w:tcPr>
            <w:tcW w:w="69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6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6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6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69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6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6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69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6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6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6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6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6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69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6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6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6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69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gross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99.50 </w:t>
            </w:r>
          </w:p>
        </w:tc>
        <w:tc>
          <w:tcPr>
            <w:tcW w:w="62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99.45 </w:t>
            </w:r>
          </w:p>
        </w:tc>
        <w:tc>
          <w:tcPr>
            <w:tcW w:w="6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6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69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gross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2,091,785 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2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1,946,737 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loan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 and commercial construction loans consist of loans made to fund commercial land acquisition and development and commercial construction. The real estate purchased with these loans is generally located in or near our market.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real estate and construction real estate loans consist of loans secured by single-family and multifamily residential properties, which are both owner-occupied and investor owned.</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commercial real estate loan balance, associated percentage of commercial real estate concentrations by collateral type, estimated real estate collateral values, and related loan-to-value (“LTV”) ranges as of the dates indicated. Collateral values and LTVs included in the table below reflect real estate collateral and do not include personal property collateral. Revolving lines of credit with zero balance and 0.00% LTV are excluded from this table. Collateral values are determined at origination using third-party real estate appraisals or evaluations. Updated appraisals, which are included in the table below, are obtained for loans that are downgraded to watch or substandard. Loans over $1.0 million are reviewed annually, at which time an internal assessment of collateral values is completed. </w:t>
      </w:r>
    </w:p>
    <w:tbl>
      <w:tblPr>
        <w:tblW w:w="10205" w:type="dxa"/>
        <w:jc w:val="left"/>
        <w:tblInd w:w="0" w:type="dxa"/>
        <w:tblCellMar>
          <w:top w:w="28" w:type="dxa"/>
          <w:left w:w="28" w:type="dxa"/>
          <w:bottom w:w="28" w:type="dxa"/>
          <w:right w:w="28" w:type="dxa"/>
        </w:tblCellMar>
      </w:tblPr>
      <w:tblGrid>
        <w:gridCol w:w="851"/>
        <w:gridCol w:w="631"/>
        <w:gridCol w:w="633"/>
        <w:gridCol w:w="109"/>
        <w:gridCol w:w="109"/>
        <w:gridCol w:w="109"/>
        <w:gridCol w:w="211"/>
        <w:gridCol w:w="976"/>
        <w:gridCol w:w="109"/>
        <w:gridCol w:w="109"/>
        <w:gridCol w:w="109"/>
        <w:gridCol w:w="109"/>
        <w:gridCol w:w="360"/>
        <w:gridCol w:w="361"/>
        <w:gridCol w:w="662"/>
        <w:gridCol w:w="109"/>
        <w:gridCol w:w="109"/>
        <w:gridCol w:w="109"/>
        <w:gridCol w:w="211"/>
        <w:gridCol w:w="976"/>
        <w:gridCol w:w="109"/>
        <w:gridCol w:w="109"/>
        <w:gridCol w:w="109"/>
        <w:gridCol w:w="109"/>
        <w:gridCol w:w="308"/>
        <w:gridCol w:w="308"/>
        <w:gridCol w:w="526"/>
        <w:gridCol w:w="109"/>
        <w:gridCol w:w="109"/>
        <w:gridCol w:w="109"/>
        <w:gridCol w:w="360"/>
        <w:gridCol w:w="361"/>
        <w:gridCol w:w="617"/>
      </w:tblGrid>
      <w:tr>
        <w:trPr/>
        <w:tc>
          <w:tcPr>
            <w:tcW w:w="85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Loan 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w:t>
              <w:br/>
              <w:t xml:space="preserve">Commercial </w:t>
              <w:br/>
              <w:t xml:space="preserve">Real Estate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w:t>
              <w:br/>
              <w:t>LTV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br/>
              <w:t>LTV</w:t>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Manufactured home community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66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5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6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6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66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5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76.49 </w:t>
            </w:r>
          </w:p>
        </w:tc>
        <w:tc>
          <w:tcPr>
            <w:tcW w:w="6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6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89.41 </w:t>
            </w:r>
          </w:p>
        </w:tc>
        <w:tc>
          <w:tcPr>
            <w:tcW w:w="6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66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81.55 </w:t>
            </w:r>
          </w:p>
        </w:tc>
        <w:tc>
          <w:tcPr>
            <w:tcW w:w="6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Faith-based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6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83.19 </w:t>
            </w:r>
          </w:p>
        </w:tc>
        <w:tc>
          <w:tcPr>
            <w:tcW w:w="6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 storage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66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5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69.72 </w:t>
            </w:r>
          </w:p>
        </w:tc>
        <w:tc>
          <w:tcPr>
            <w:tcW w:w="6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All other types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6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107.83 </w:t>
            </w:r>
          </w:p>
        </w:tc>
        <w:tc>
          <w:tcPr>
            <w:tcW w:w="6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62"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3,486,705 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107.83 </w:t>
            </w:r>
          </w:p>
        </w:tc>
        <w:tc>
          <w:tcPr>
            <w:tcW w:w="61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Manufactured home community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6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78.00 </w:t>
            </w:r>
          </w:p>
        </w:tc>
        <w:tc>
          <w:tcPr>
            <w:tcW w:w="6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66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5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6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66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5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74.51 </w:t>
            </w:r>
          </w:p>
        </w:tc>
        <w:tc>
          <w:tcPr>
            <w:tcW w:w="6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6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Faith-based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66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5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80.14 </w:t>
            </w:r>
          </w:p>
        </w:tc>
        <w:tc>
          <w:tcPr>
            <w:tcW w:w="6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 storage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6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69.05 </w:t>
            </w:r>
          </w:p>
        </w:tc>
        <w:tc>
          <w:tcPr>
            <w:tcW w:w="6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Mixed use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66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71.98 </w:t>
            </w:r>
          </w:p>
        </w:tc>
        <w:tc>
          <w:tcPr>
            <w:tcW w:w="6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All other types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6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5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94.97 </w:t>
            </w:r>
          </w:p>
        </w:tc>
        <w:tc>
          <w:tcPr>
            <w:tcW w:w="6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1,586,232 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3,182,946 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94.97 </w:t>
            </w:r>
          </w:p>
        </w:tc>
        <w:tc>
          <w:tcPr>
            <w:tcW w:w="6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Types of collateral in the “all other types” category are those that individually make up less than 5.00% commercial real estate concentration and include hospitality properties, auto dealerships, car washes, assisted living communities, country clubs, gas stations/convenience stores, medical offices, special purpose properties, mortuaries, restaurants, and schools.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loan-to-value of impaired, collateral dependent loans was approximately 133.38% at March 31, 2022 and 70.67% at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few years, we have experienced significant growth in our loan portfolio, although the relative composition of the portfolio has not changed significantly (when PPP loans are excluded). Our primary focus remains commercial real estate lending (including commercial, commercial land and development, and commercial construction), which constitutes 87.91% of loans held for investment at March 31, 2022. Commercial secured lending (consisting primarily of SBA 7(a) loans under $350,000) represents 6.01% of loans held for investment at March 31, 2022. We sell the guaranteed portion of all SBA 7(a) loans, excluding PPP loans, in the secondary market and will continue to do so as long as market conditions continue to be favorable.</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that our commercial real estate loan concentration is significant within our balance sheet. Commercial real estate loan balances as a percentage of risk-based capital were 634.02% and 577.92% as of March 31, 2022 and December 31, 2021, respectively. We have established internal concentration limits in the loan portfolio for commercial real estate loans by sector (e.g., manufactured home communities, self-storage, hospitality, etc.). All loan sectors were within our established limits as of March 31, 2022. Additionally, our loans are geographically concentrated with borrowers and collateral properties primarily in California.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contractual maturities of our loan portfolio as of March 31, 2022: </w:t>
      </w:r>
    </w:p>
    <w:tbl>
      <w:tblPr>
        <w:tblW w:w="10205" w:type="dxa"/>
        <w:jc w:val="left"/>
        <w:tblInd w:w="0" w:type="dxa"/>
        <w:tblCellMar>
          <w:top w:w="28" w:type="dxa"/>
          <w:left w:w="28" w:type="dxa"/>
          <w:bottom w:w="28" w:type="dxa"/>
          <w:right w:w="28" w:type="dxa"/>
        </w:tblCellMar>
      </w:tblPr>
      <w:tblGrid>
        <w:gridCol w:w="960"/>
        <w:gridCol w:w="797"/>
        <w:gridCol w:w="800"/>
        <w:gridCol w:w="109"/>
        <w:gridCol w:w="109"/>
        <w:gridCol w:w="109"/>
        <w:gridCol w:w="217"/>
        <w:gridCol w:w="741"/>
        <w:gridCol w:w="112"/>
        <w:gridCol w:w="109"/>
        <w:gridCol w:w="109"/>
        <w:gridCol w:w="109"/>
        <w:gridCol w:w="227"/>
        <w:gridCol w:w="889"/>
        <w:gridCol w:w="116"/>
        <w:gridCol w:w="109"/>
        <w:gridCol w:w="109"/>
        <w:gridCol w:w="109"/>
        <w:gridCol w:w="215"/>
        <w:gridCol w:w="999"/>
        <w:gridCol w:w="111"/>
        <w:gridCol w:w="109"/>
        <w:gridCol w:w="109"/>
        <w:gridCol w:w="109"/>
        <w:gridCol w:w="211"/>
        <w:gridCol w:w="721"/>
        <w:gridCol w:w="109"/>
        <w:gridCol w:w="109"/>
        <w:gridCol w:w="109"/>
        <w:gridCol w:w="109"/>
        <w:gridCol w:w="211"/>
        <w:gridCol w:w="976"/>
        <w:gridCol w:w="158"/>
      </w:tblGrid>
      <w:tr>
        <w:trPr/>
        <w:tc>
          <w:tcPr>
            <w:tcW w:w="960"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5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Due in 1 </w:t>
              <w:br/>
              <w:t>year 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Due after 1 </w:t>
              <w:br/>
              <w:t xml:space="preserve">year through </w:t>
              <w:br/>
              <w:t>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Due after 5 </w:t>
              <w:br/>
              <w:t xml:space="preserve">years through </w:t>
              <w:br/>
              <w:t>15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Due after </w:t>
              <w:br/>
              <w:t>15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5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227,918 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1,464,938 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1,760,551 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135,316 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57,539 </w:t>
            </w:r>
          </w:p>
        </w:tc>
        <w:tc>
          <w:tcPr>
            <w:tcW w:w="1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309,516 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1,676,830 </w:t>
            </w:r>
          </w:p>
        </w:tc>
        <w:tc>
          <w:tcPr>
            <w:tcW w:w="1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2,091,785 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contractual maturities of our loan portfolio as of December 31, 2021: </w:t>
      </w:r>
    </w:p>
    <w:tbl>
      <w:tblPr>
        <w:tblW w:w="10205" w:type="dxa"/>
        <w:jc w:val="left"/>
        <w:tblInd w:w="0" w:type="dxa"/>
        <w:tblCellMar>
          <w:top w:w="28" w:type="dxa"/>
          <w:left w:w="28" w:type="dxa"/>
          <w:bottom w:w="28" w:type="dxa"/>
          <w:right w:w="28" w:type="dxa"/>
        </w:tblCellMar>
      </w:tblPr>
      <w:tblGrid>
        <w:gridCol w:w="960"/>
        <w:gridCol w:w="797"/>
        <w:gridCol w:w="800"/>
        <w:gridCol w:w="109"/>
        <w:gridCol w:w="109"/>
        <w:gridCol w:w="109"/>
        <w:gridCol w:w="217"/>
        <w:gridCol w:w="741"/>
        <w:gridCol w:w="112"/>
        <w:gridCol w:w="109"/>
        <w:gridCol w:w="109"/>
        <w:gridCol w:w="109"/>
        <w:gridCol w:w="227"/>
        <w:gridCol w:w="889"/>
        <w:gridCol w:w="116"/>
        <w:gridCol w:w="109"/>
        <w:gridCol w:w="109"/>
        <w:gridCol w:w="109"/>
        <w:gridCol w:w="215"/>
        <w:gridCol w:w="999"/>
        <w:gridCol w:w="111"/>
        <w:gridCol w:w="109"/>
        <w:gridCol w:w="109"/>
        <w:gridCol w:w="109"/>
        <w:gridCol w:w="211"/>
        <w:gridCol w:w="721"/>
        <w:gridCol w:w="109"/>
        <w:gridCol w:w="109"/>
        <w:gridCol w:w="109"/>
        <w:gridCol w:w="109"/>
        <w:gridCol w:w="211"/>
        <w:gridCol w:w="976"/>
        <w:gridCol w:w="158"/>
      </w:tblGrid>
      <w:tr>
        <w:trPr/>
        <w:tc>
          <w:tcPr>
            <w:tcW w:w="960"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55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Due in 1 </w:t>
              <w:br/>
              <w:t>year 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Due after 1 </w:t>
              <w:br/>
              <w:t xml:space="preserve">year through </w:t>
              <w:br/>
              <w:t>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Due after 5 </w:t>
              <w:br/>
              <w:t xml:space="preserve">years through </w:t>
              <w:br/>
              <w:t>15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Due after </w:t>
              <w:br/>
              <w:t>15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5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1,343,367 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1,586,232 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80,653 </w:t>
            </w:r>
          </w:p>
        </w:tc>
        <w:tc>
          <w:tcPr>
            <w:tcW w:w="1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271,106 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1,548,199 </w:t>
            </w:r>
          </w:p>
        </w:tc>
        <w:tc>
          <w:tcPr>
            <w:tcW w:w="1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1,946,737 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sensitivity to interest rate changes of our loan portfolio as of March 31, 2022: </w:t>
      </w:r>
    </w:p>
    <w:tbl>
      <w:tblPr>
        <w:tblW w:w="7733" w:type="dxa"/>
        <w:jc w:val="left"/>
        <w:tblInd w:w="0" w:type="dxa"/>
        <w:tblCellMar>
          <w:top w:w="28" w:type="dxa"/>
          <w:left w:w="28" w:type="dxa"/>
          <w:bottom w:w="28" w:type="dxa"/>
          <w:right w:w="28" w:type="dxa"/>
        </w:tblCellMar>
      </w:tblPr>
      <w:tblGrid>
        <w:gridCol w:w="1076"/>
        <w:gridCol w:w="945"/>
        <w:gridCol w:w="948"/>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w:t>
              <w:br/>
              <w:t>Interest</w:t>
              <w:br/>
              <w:t>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Floating or</w:t>
              <w:br/>
              <w:t>Adjustable</w:t>
              <w:br/>
              <w:t>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6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556,924 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1,534,861 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2,091,785 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sensitivity to interest rate changes of our loan portfolio as of December 31, 2021: </w:t>
      </w:r>
    </w:p>
    <w:tbl>
      <w:tblPr>
        <w:tblW w:w="7733" w:type="dxa"/>
        <w:jc w:val="left"/>
        <w:tblInd w:w="0" w:type="dxa"/>
        <w:tblCellMar>
          <w:top w:w="28" w:type="dxa"/>
          <w:left w:w="28" w:type="dxa"/>
          <w:bottom w:w="28" w:type="dxa"/>
          <w:right w:w="28" w:type="dxa"/>
        </w:tblCellMar>
      </w:tblPr>
      <w:tblGrid>
        <w:gridCol w:w="1076"/>
        <w:gridCol w:w="945"/>
        <w:gridCol w:w="948"/>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w:t>
              <w:br/>
              <w:t>Interest</w:t>
              <w:br/>
              <w:t>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Floating or</w:t>
              <w:br/>
              <w:t>Adjustable</w:t>
              <w:br/>
              <w:t>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6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495,678 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1,451,059 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1,946,737 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Asset Quality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loan losses.</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 assessing the adequacy of our allowance for loan losses.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Nonperforming Assets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Troubled Debt Restructurings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 loan to be a TDR when we have granted a concession and the borrower is experiencing financial difficulty. In order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generally is kept on non-accrual status until, among other criteria, the borrower has paid for six consecutive months with no payment defaults, at which time the TDR may be placed back on accrual status.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COVID-19 Deferments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CARES Act, as amended by the Consolidated Appropriations Act,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modifications (e.g., up to six months) such as payment deferrals, fee waivers, extensions of repayment terms, or delays in payment that are insignificant. We elected to apply these temporary accounting provisions to loans under payment relief beginning in March 2020. As of March 31, 2022, six borrowing relationships with six loans totaling $12.2 million, or 0.59% of loans held for investment, were in a COVID-19 deferment period, and one loan totaling $0.1 million had been in a COVID-19 deferment period in the fourth quarter of 2021 but was not in such deferment as of March 31, 2022. Two of the loans that received COVID-19 deferments in the first quarter of 2022 had the principal portion deferred to the respective maturity of the loan. We accrue and recognize interest income on loans under payment relief based on the original contractual interest rates. When payments resume at the end of the relief period, the payments will generally be applied to accrued interest due until accrued interest is fully paid.</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SBA 7(a) Payments Made Under the CARES Act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1112 of the CARES Act required the SBA to make payments on new and existing 7(a) loans for up to six months. The Consolidated Appropriations Act amended this section of the CARES Act to extend the payment on 7(a) loans in existence on March 27, 2020, beginning on February 1, 2021 for up to eight or eleven months, depending on the borrower’s industry code, and to require the SBA to make up to three months of payments on new 7(a) loans approved between February 1, 2021 and September 30, 2021. These payments are not deferments but rather full payments of principal and interest that the borrower will not be responsible for in the future. In the first three months of 2022, the SBA made payments under this program on 25 of our SBA 7(a) loans, totaling $0.1 million in principal and interest. As of March 31, 2022, the principal outstanding on loans that received one or more of these payments under the CARES Act was $2.6 million.</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SBA Loans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2022, the Company sold 50 SBA 7(a) loans with government guaranteed portions totaling $11.7 million. Of the loans sold during the quarter, the Company received gross proceeds of $12.6 million resulting in a net gain on sale of $0.9 million. The Company did not sell any PPP loans in the first quarter of 2022.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Non-accrual Loans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details of our nonperforming and restructured assets and certain other related information as of the dates presented: </w:t>
      </w:r>
    </w:p>
    <w:tbl>
      <w:tblPr>
        <w:tblW w:w="9937" w:type="dxa"/>
        <w:jc w:val="left"/>
        <w:tblInd w:w="0" w:type="dxa"/>
        <w:tblCellMar>
          <w:top w:w="28" w:type="dxa"/>
          <w:left w:w="28" w:type="dxa"/>
          <w:bottom w:w="28" w:type="dxa"/>
          <w:right w:w="28" w:type="dxa"/>
        </w:tblCellMar>
      </w:tblPr>
      <w:tblGrid>
        <w:gridCol w:w="2202"/>
        <w:gridCol w:w="1933"/>
        <w:gridCol w:w="1939"/>
        <w:gridCol w:w="109"/>
        <w:gridCol w:w="109"/>
        <w:gridCol w:w="109"/>
        <w:gridCol w:w="252"/>
        <w:gridCol w:w="863"/>
        <w:gridCol w:w="324"/>
        <w:gridCol w:w="109"/>
        <w:gridCol w:w="109"/>
        <w:gridCol w:w="109"/>
        <w:gridCol w:w="298"/>
        <w:gridCol w:w="1022"/>
        <w:gridCol w:w="450"/>
      </w:tblGrid>
      <w:tr>
        <w:trPr/>
        <w:tc>
          <w:tcPr>
            <w:tcW w:w="2202"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r>
          </w:p>
        </w:tc>
      </w:tr>
      <w:tr>
        <w:trPr/>
        <w:tc>
          <w:tcPr>
            <w:tcW w:w="607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607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Non-accrual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4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non-accrual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32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45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past due 90 days or more and still accruing: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past due and still accruing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5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nonperforming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32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45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nonperforming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45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COVID-19 deferments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12,202 </w:t>
            </w:r>
          </w:p>
        </w:tc>
        <w:tc>
          <w:tcPr>
            <w:tcW w:w="32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12,156 </w:t>
            </w:r>
          </w:p>
        </w:tc>
        <w:tc>
          <w:tcPr>
            <w:tcW w:w="45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Performing TDRs (not included above)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to period end nonperforming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1,799.99 </w:t>
            </w:r>
          </w:p>
        </w:tc>
        <w:tc>
          <w:tcPr>
            <w:tcW w:w="324"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3,954.30 </w:t>
            </w:r>
          </w:p>
        </w:tc>
        <w:tc>
          <w:tcPr>
            <w:tcW w:w="45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73" w:before="0" w:after="0"/>
              <w:jc w:val="both"/>
              <w:rPr/>
            </w:pPr>
            <w:r>
              <w:rPr>
                <w:rFonts w:ascii="Times New Roman;sans-serif" w:hAnsi="Times New Roman;sans-serif"/>
                <w:b w:val="false"/>
                <w:color w:val="000000"/>
                <w:sz w:val="20"/>
              </w:rPr>
              <w:t>Nonperforming loans to loans held for investment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Nonperforming assets to 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324"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45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73" w:before="0" w:after="0"/>
              <w:jc w:val="both"/>
              <w:rPr/>
            </w:pPr>
            <w:r>
              <w:rPr>
                <w:rFonts w:ascii="Times New Roman;sans-serif" w:hAnsi="Times New Roman;sans-serif"/>
                <w:b w:val="false"/>
                <w:color w:val="000000"/>
                <w:sz w:val="20"/>
              </w:rPr>
              <w:t>Nonperforming loans plus performing TDRs to loans held for investment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324"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45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73" w:before="0" w:after="0"/>
              <w:jc w:val="both"/>
              <w:rPr/>
            </w:pPr>
            <w:r>
              <w:rPr>
                <w:rFonts w:ascii="Times New Roman;sans-serif" w:hAnsi="Times New Roman;sans-serif"/>
                <w:b w:val="false"/>
                <w:color w:val="000000"/>
                <w:sz w:val="20"/>
              </w:rPr>
              <w:t>COVID-19 deferments to loans held for investment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Loans held for investment are equivalent to total loans outstanding at period end.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ratio of nonperforming loans to loans held for investment increased from 0.03% as of December 31, 2021 to 0.06% as of March 31, 2022, primarily due to an increase in commercial secured nonperforming loans.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ratio of the allowance for loan losses to nonperforming loans decreased from 3,954.30% as of December 31, 2021 to 1,799.99% as of March 31, 2022. The decrease was primarily due to a relatively flat allowance for loan losses from December 31, 2021 to March 31, 2022, while commercial secured non-accrual loans increased by $0.7 million from December 31, 2021 to March 31, 2022.</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Potential Problem Loans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a risk grading system for our loans to aid us in evaluating the overall credit quality of our real estate loan portfolio and assessing the adequacy of our allowance for loan losses. All loans are grouped into a risk category at the time of origination. Commercial real estate loans over $1.0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banking industry defines loans graded substandard or doubtful as “classified” loans. The following table shows our levels of classified loans as of the periods indicated: </w:t>
      </w:r>
    </w:p>
    <w:tbl>
      <w:tblPr>
        <w:tblW w:w="10205" w:type="dxa"/>
        <w:jc w:val="left"/>
        <w:tblInd w:w="0" w:type="dxa"/>
        <w:tblCellMar>
          <w:top w:w="28" w:type="dxa"/>
          <w:left w:w="28" w:type="dxa"/>
          <w:bottom w:w="28" w:type="dxa"/>
          <w:right w:w="28" w:type="dxa"/>
        </w:tblCellMar>
      </w:tblPr>
      <w:tblGrid>
        <w:gridCol w:w="1054"/>
        <w:gridCol w:w="911"/>
        <w:gridCol w:w="914"/>
        <w:gridCol w:w="109"/>
        <w:gridCol w:w="109"/>
        <w:gridCol w:w="109"/>
        <w:gridCol w:w="211"/>
        <w:gridCol w:w="976"/>
        <w:gridCol w:w="109"/>
        <w:gridCol w:w="109"/>
        <w:gridCol w:w="109"/>
        <w:gridCol w:w="109"/>
        <w:gridCol w:w="211"/>
        <w:gridCol w:w="721"/>
        <w:gridCol w:w="109"/>
        <w:gridCol w:w="109"/>
        <w:gridCol w:w="109"/>
        <w:gridCol w:w="109"/>
        <w:gridCol w:w="237"/>
        <w:gridCol w:w="811"/>
        <w:gridCol w:w="123"/>
        <w:gridCol w:w="109"/>
        <w:gridCol w:w="109"/>
        <w:gridCol w:w="109"/>
        <w:gridCol w:w="244"/>
        <w:gridCol w:w="470"/>
        <w:gridCol w:w="127"/>
        <w:gridCol w:w="109"/>
        <w:gridCol w:w="109"/>
        <w:gridCol w:w="109"/>
        <w:gridCol w:w="211"/>
        <w:gridCol w:w="976"/>
        <w:gridCol w:w="155"/>
      </w:tblGrid>
      <w:tr>
        <w:trPr/>
        <w:tc>
          <w:tcPr>
            <w:tcW w:w="1054"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Watch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Substandard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Doubtful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7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1,760,551 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2,081,399 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1,586,232 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137,062 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1,916,805 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10,614 </w:t>
            </w:r>
          </w:p>
        </w:tc>
        <w:tc>
          <w:tcPr>
            <w:tcW w:w="1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1,936,066 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designated as watch and substandard, which are not considered adversely classified, decreased to $17.0 million at March 31, 2022 from $19.3 million at December 31, 2021, which resulted in a decrease in the reserve overall. There were no loans with doubtful risk grades at March 31, 2022 or December 31, 2021.</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Loan Losses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entire allowance for loan losses is available to absorb losses from any and all loans, the following table represents management’s allocation of our allowance for loan losses by loan category, and the percentage of the allowance for loan losses in each category, for the periods indicated.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2022, the Company’s allowance for loan losses was $23.9 million, as compared to $23.2 million at December 31, 2021. The $0.7 million increase is due to a $1.0 million provision for loan losses recorded during the quarter ended March 31, 2022, offset by net charge-offs of $0.3 million during the quarter.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allowance for loan losses by loan class as of the periods indicated:</w:t>
      </w:r>
    </w:p>
    <w:tbl>
      <w:tblPr>
        <w:tblW w:w="9368" w:type="dxa"/>
        <w:jc w:val="left"/>
        <w:tblInd w:w="0" w:type="dxa"/>
        <w:tblCellMar>
          <w:top w:w="28" w:type="dxa"/>
          <w:left w:w="28" w:type="dxa"/>
          <w:bottom w:w="28" w:type="dxa"/>
          <w:right w:w="28" w:type="dxa"/>
        </w:tblCellMar>
      </w:tblPr>
      <w:tblGrid>
        <w:gridCol w:w="1190"/>
        <w:gridCol w:w="1046"/>
        <w:gridCol w:w="1049"/>
        <w:gridCol w:w="109"/>
        <w:gridCol w:w="109"/>
        <w:gridCol w:w="109"/>
        <w:gridCol w:w="211"/>
        <w:gridCol w:w="721"/>
        <w:gridCol w:w="109"/>
        <w:gridCol w:w="109"/>
        <w:gridCol w:w="109"/>
        <w:gridCol w:w="109"/>
        <w:gridCol w:w="360"/>
        <w:gridCol w:w="361"/>
        <w:gridCol w:w="591"/>
        <w:gridCol w:w="109"/>
        <w:gridCol w:w="109"/>
        <w:gridCol w:w="109"/>
        <w:gridCol w:w="211"/>
        <w:gridCol w:w="721"/>
        <w:gridCol w:w="109"/>
        <w:gridCol w:w="109"/>
        <w:gridCol w:w="109"/>
        <w:gridCol w:w="109"/>
        <w:gridCol w:w="360"/>
        <w:gridCol w:w="361"/>
        <w:gridCol w:w="660"/>
      </w:tblGrid>
      <w:tr>
        <w:trPr/>
        <w:tc>
          <w:tcPr>
            <w:tcW w:w="119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9"/>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9" w:type="dxa"/>
            <w:gridSpan w:val="9"/>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Dollars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Total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Dollars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Total </w:t>
            </w:r>
          </w:p>
        </w:tc>
      </w:tr>
      <w:tr>
        <w:trPr/>
        <w:tc>
          <w:tcPr>
            <w:tcW w:w="32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Collectively evaluated for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66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66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66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66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66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66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66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66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66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66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97.33 </w:t>
            </w:r>
          </w:p>
        </w:tc>
        <w:tc>
          <w:tcPr>
            <w:tcW w:w="59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99.28 </w:t>
            </w:r>
          </w:p>
        </w:tc>
        <w:tc>
          <w:tcPr>
            <w:tcW w:w="66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for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66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5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ratio of allowance for loan losses to total loans held for investment was 1.15% at March 31, 2022, compared to 1.20% at December 31, 2021. Excluding SBA-guaranteed PPP loans, the ratio of the allowance for loan losses to total loans held for investment was 1.15% and 1.22% at March 31, 2022 and December 31, 2021, respectively. See the section entitled “Non-GAAP Financial Measures” for a reconciliation of our non-GAAP financial measures to the most directly comparable GAAP financial measure. Non-accrual loans totaled $1.3 million, or 0.06% of total loans held for investment, at March 31, 2022, increasing from $0.6 million, or 0.03% of total loans held for investment, at December 31, 2021.</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on the activity within the allowance for loan losses as of and for the periods indicated: </w:t>
      </w:r>
    </w:p>
    <w:tbl>
      <w:tblPr>
        <w:tblW w:w="10205" w:type="dxa"/>
        <w:jc w:val="left"/>
        <w:tblInd w:w="0" w:type="dxa"/>
        <w:tblCellMar>
          <w:top w:w="28" w:type="dxa"/>
          <w:left w:w="28" w:type="dxa"/>
          <w:bottom w:w="28" w:type="dxa"/>
          <w:right w:w="28" w:type="dxa"/>
        </w:tblCellMar>
      </w:tblPr>
      <w:tblGrid>
        <w:gridCol w:w="937"/>
        <w:gridCol w:w="694"/>
        <w:gridCol w:w="696"/>
        <w:gridCol w:w="109"/>
        <w:gridCol w:w="109"/>
        <w:gridCol w:w="109"/>
        <w:gridCol w:w="211"/>
        <w:gridCol w:w="976"/>
        <w:gridCol w:w="271"/>
        <w:gridCol w:w="109"/>
        <w:gridCol w:w="109"/>
        <w:gridCol w:w="109"/>
        <w:gridCol w:w="432"/>
        <w:gridCol w:w="389"/>
        <w:gridCol w:w="975"/>
        <w:gridCol w:w="109"/>
        <w:gridCol w:w="109"/>
        <w:gridCol w:w="109"/>
        <w:gridCol w:w="211"/>
        <w:gridCol w:w="976"/>
        <w:gridCol w:w="271"/>
        <w:gridCol w:w="109"/>
        <w:gridCol w:w="109"/>
        <w:gridCol w:w="109"/>
        <w:gridCol w:w="422"/>
        <w:gridCol w:w="366"/>
        <w:gridCol w:w="1070"/>
      </w:tblGrid>
      <w:tr>
        <w:trPr/>
        <w:tc>
          <w:tcPr>
            <w:tcW w:w="937"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r>
      <w:tr>
        <w:trPr/>
        <w:tc>
          <w:tcPr>
            <w:tcW w:w="2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1" w:type="dxa"/>
            <w:gridSpan w:val="21"/>
            <w:tcBorders>
              <w:bottom w:val="single" w:sz="4"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and for the three months ended </w:t>
            </w:r>
          </w:p>
        </w:tc>
      </w:tr>
      <w:tr>
        <w:trPr/>
        <w:tc>
          <w:tcPr>
            <w:tcW w:w="2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1"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43"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March 31, 2021</w:t>
            </w:r>
          </w:p>
        </w:tc>
      </w:tr>
      <w:tr>
        <w:trPr/>
        <w:tc>
          <w:tcPr>
            <w:tcW w:w="2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Activity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Average Loans Held for Investment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Activity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w:t>
              <w:br/>
              <w:t>Average Loans Held for Investment</w:t>
            </w:r>
          </w:p>
        </w:tc>
      </w:tr>
      <w:tr>
        <w:trPr/>
        <w:tc>
          <w:tcPr>
            <w:tcW w:w="232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loans held for investment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1,970,311 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1,523,754 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(charge-offs) recoveries: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9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9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7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9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9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7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9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9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7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9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7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9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9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7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9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charge-offs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975"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70"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1,543,493 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to loans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loan losses to loans held for investment decreased from 1.44% as of March 31, 2021 to 1.15% as of March 31, 2022. The decrease was primarily due to (i) loan growth; (ii) improvements in the economy, including improved economic conditions related to the impact of the COVID-19 pandemic during the first quarter of 2022 as compared to the first quarter of 2021; and (iii) a decrease in loans designated as watch and substandard from $60.5 million as of March 31, 2021 to $17.0 million as of March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charge-offs as a percent of average loans held for investment remained stable at 0.01% for the three months ended March 31, 2021 and March 31, 2022. The net charge-off rate related to the commercial secured portfolio remained stable at 0.01% for the three months ended March 31, 2021 and March 31, 2022. The net recovery related to the consumer portfolio for the three months ended March 31, 2021 reversed to a charge-off for the three months ended March 31, 2022, but both were insignificant as a percent of average loans held for investment during the periods indicated.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2022, total liabilities increased by $225.5 million from $2.3 billion as of December 31, 2021 to $2.5 billion as of March 31, 2022. This increase was primarily due to an increase in total deposits of $217.2 million, comprised of increases of $39.2 million in non-interest-bearing deposits and $178.0 million in interest-bearing deposits.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Deposits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Representing 98.27% of our total liabilities as of March 31, 2022, deposits are our primary source of funding for our business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deposits increased by $217.2 million, or 9.50%, to $2.5 billion at March 31, 2022 from $2.3 billion as of December 31, 2021. Deposit increases were primarily attributed to an increase in the number of new relationships, as well as normal fluctuations in some of our large accounts. Non-interest-bearing deposits increased by $39.2 million in the first three months of 2022 to $941.3 million and represented 37.60% of total deposits at March 31, 2022, compared to 39.46% of total deposits at December 31, 2021. Our loan to deposit ratio was 83.52% at March 31, 2022, as compared to 85.09% at December 31, 2021. We intend to continue to operate our business with a loan to deposit ratio similar to these levels.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deposit composition by average deposits and average rates paid for the periods indicated:</w:t>
      </w:r>
    </w:p>
    <w:tbl>
      <w:tblPr>
        <w:tblW w:w="10942" w:type="dxa"/>
        <w:jc w:val="left"/>
        <w:tblInd w:w="0" w:type="dxa"/>
        <w:tblCellMar>
          <w:top w:w="28" w:type="dxa"/>
          <w:left w:w="28" w:type="dxa"/>
          <w:bottom w:w="28" w:type="dxa"/>
          <w:right w:w="28" w:type="dxa"/>
        </w:tblCellMar>
      </w:tblPr>
      <w:tblGrid>
        <w:gridCol w:w="783"/>
        <w:gridCol w:w="306"/>
        <w:gridCol w:w="307"/>
        <w:gridCol w:w="109"/>
        <w:gridCol w:w="109"/>
        <w:gridCol w:w="109"/>
        <w:gridCol w:w="211"/>
        <w:gridCol w:w="976"/>
        <w:gridCol w:w="109"/>
        <w:gridCol w:w="109"/>
        <w:gridCol w:w="109"/>
        <w:gridCol w:w="109"/>
        <w:gridCol w:w="255"/>
        <w:gridCol w:w="256"/>
        <w:gridCol w:w="458"/>
        <w:gridCol w:w="109"/>
        <w:gridCol w:w="109"/>
        <w:gridCol w:w="109"/>
        <w:gridCol w:w="394"/>
        <w:gridCol w:w="327"/>
        <w:gridCol w:w="817"/>
        <w:gridCol w:w="109"/>
        <w:gridCol w:w="109"/>
        <w:gridCol w:w="109"/>
        <w:gridCol w:w="211"/>
        <w:gridCol w:w="976"/>
        <w:gridCol w:w="109"/>
        <w:gridCol w:w="109"/>
        <w:gridCol w:w="109"/>
        <w:gridCol w:w="109"/>
        <w:gridCol w:w="255"/>
        <w:gridCol w:w="256"/>
        <w:gridCol w:w="458"/>
        <w:gridCol w:w="109"/>
        <w:gridCol w:w="109"/>
        <w:gridCol w:w="109"/>
        <w:gridCol w:w="447"/>
        <w:gridCol w:w="274"/>
        <w:gridCol w:w="795"/>
      </w:tblGrid>
      <w:tr>
        <w:trPr/>
        <w:tc>
          <w:tcPr>
            <w:tcW w:w="78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9" w:type="dxa"/>
            <w:gridSpan w:val="33"/>
            <w:tcBorders>
              <w:bottom w:val="single" w:sz="4"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w:t>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7"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35" w:type="dxa"/>
            <w:gridSpan w:val="15"/>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0"/>
              <w:ind w:left="0" w:right="0" w:hanging="173"/>
              <w:jc w:val="center"/>
              <w:rPr>
                <w:rFonts w:ascii="Times New Roman;sans-serif" w:hAnsi="Times New Roman;sans-serif"/>
                <w:b/>
                <w:color w:val="000000"/>
                <w:sz w:val="20"/>
              </w:rPr>
            </w:pPr>
            <w:r>
              <w:rPr>
                <w:rFonts w:ascii="Times New Roman;sans-serif" w:hAnsi="Times New Roman;sans-serif"/>
                <w:b/>
                <w:color w:val="000000"/>
                <w:sz w:val="20"/>
              </w:rPr>
              <w:t>March 31, 2021</w:t>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Average 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20"/>
              </w:rPr>
              <w:br/>
            </w:r>
            <w:r>
              <w:rPr>
                <w:rFonts w:ascii="Times New Roman;sans-serif" w:hAnsi="Times New Roman;sans-serif"/>
                <w:b/>
                <w:color w:val="000000"/>
                <w:sz w:val="20"/>
              </w:rPr>
              <w:t xml:space="preserve">Average </w:t>
              <w:br/>
              <w:t xml:space="preserve">Rate Paid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w:t>
              <w:br/>
              <w:t xml:space="preserve">of Interest-bearing Deposits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Average </w:t>
              <w:b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20"/>
              </w:rPr>
              <w:br/>
            </w:r>
            <w:r>
              <w:rPr>
                <w:rFonts w:ascii="Times New Roman;sans-serif" w:hAnsi="Times New Roman;sans-serif"/>
                <w:b/>
                <w:color w:val="000000"/>
                <w:sz w:val="20"/>
              </w:rPr>
              <w:t xml:space="preserve">Average </w:t>
              <w:br/>
              <w:t xml:space="preserve">Rate Paid </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73"/>
              <w:jc w:val="center"/>
              <w:rPr>
                <w:rFonts w:ascii="Times New Roman;sans-serif" w:hAnsi="Times New Roman;sans-serif"/>
                <w:b/>
                <w:color w:val="000000"/>
                <w:sz w:val="20"/>
              </w:rPr>
            </w:pPr>
            <w:r>
              <w:rPr>
                <w:rFonts w:ascii="Times New Roman;sans-serif" w:hAnsi="Times New Roman;sans-serif"/>
                <w:b/>
                <w:color w:val="000000"/>
                <w:sz w:val="20"/>
              </w:rPr>
              <w:t xml:space="preserve">% </w:t>
              <w:br/>
              <w:t xml:space="preserve">of Interest-bearing Deposits </w:t>
            </w:r>
          </w:p>
        </w:tc>
      </w:tr>
      <w:tr>
        <w:trPr/>
        <w:tc>
          <w:tcPr>
            <w:tcW w:w="139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checking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45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79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and savings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45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71.42 </w:t>
            </w:r>
          </w:p>
        </w:tc>
        <w:tc>
          <w:tcPr>
            <w:tcW w:w="8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45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82.21 </w:t>
            </w:r>
          </w:p>
        </w:tc>
        <w:tc>
          <w:tcPr>
            <w:tcW w:w="795" w:type="dxa"/>
            <w:tcBorders/>
            <w:shd w:fill="FFFF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45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8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45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79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1,416,455 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4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8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1,129,108 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4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7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Uninsured deposits totaled $1.5 billion and $1.3 billion at March 31, 2022 and December 31, 2021,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our 18 largest deposit relationships, each accounting for more than $10.0 million, totaled $876.9 million, or 35.03% of our total deposits. As of December 31, 2021, our 26 largest deposit relationships, each accounting for more than $10.0 million, totaled $912.7 million, or 39.93% of our total deposits. Overall, our large deposit relationships have been relatively consistent over time and have helped to continue to grow our deposit base. Our large deposit relationships are comprised of the following entity types as of the periods indicated: </w:t>
      </w:r>
    </w:p>
    <w:tbl>
      <w:tblPr>
        <w:tblW w:w="5799" w:type="dxa"/>
        <w:jc w:val="left"/>
        <w:tblInd w:w="0" w:type="dxa"/>
        <w:tblCellMar>
          <w:top w:w="28" w:type="dxa"/>
          <w:left w:w="28" w:type="dxa"/>
          <w:bottom w:w="28" w:type="dxa"/>
          <w:right w:w="28" w:type="dxa"/>
        </w:tblCellMar>
      </w:tblPr>
      <w:tblGrid>
        <w:gridCol w:w="701"/>
        <w:gridCol w:w="616"/>
        <w:gridCol w:w="618"/>
        <w:gridCol w:w="109"/>
        <w:gridCol w:w="109"/>
        <w:gridCol w:w="109"/>
        <w:gridCol w:w="265"/>
        <w:gridCol w:w="1038"/>
        <w:gridCol w:w="137"/>
        <w:gridCol w:w="109"/>
        <w:gridCol w:w="109"/>
        <w:gridCol w:w="109"/>
        <w:gridCol w:w="313"/>
        <w:gridCol w:w="1227"/>
        <w:gridCol w:w="230"/>
      </w:tblGrid>
      <w:tr>
        <w:trPr/>
        <w:tc>
          <w:tcPr>
            <w:tcW w:w="70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193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93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447,585 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424,483 </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Non-profits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219,341 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181,080 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307,132 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876,930 </w:t>
            </w:r>
          </w:p>
        </w:tc>
        <w:tc>
          <w:tcPr>
            <w:tcW w:w="1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912,695 </w:t>
            </w:r>
          </w:p>
        </w:tc>
        <w:tc>
          <w:tcPr>
            <w:tcW w:w="2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single deposit relationship relates to a non-profit association that supports hospitals and health systems. The balances for this customer were $182.4 million, or 7.29% of total deposits, at March 31, 2022 and $155.0 million, or 6.78% of total deposits, at December 31, 2021.</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maturity of time deposits as of March 31, 2022:</w:t>
      </w:r>
    </w:p>
    <w:tbl>
      <w:tblPr>
        <w:tblW w:w="8810" w:type="dxa"/>
        <w:jc w:val="left"/>
        <w:tblInd w:w="0" w:type="dxa"/>
        <w:tblCellMar>
          <w:top w:w="28" w:type="dxa"/>
          <w:left w:w="28" w:type="dxa"/>
          <w:bottom w:w="28" w:type="dxa"/>
          <w:right w:w="28" w:type="dxa"/>
        </w:tblCellMar>
      </w:tblPr>
      <w:tblGrid>
        <w:gridCol w:w="984"/>
        <w:gridCol w:w="864"/>
        <w:gridCol w:w="867"/>
        <w:gridCol w:w="109"/>
        <w:gridCol w:w="109"/>
        <w:gridCol w:w="109"/>
        <w:gridCol w:w="211"/>
        <w:gridCol w:w="826"/>
        <w:gridCol w:w="109"/>
        <w:gridCol w:w="109"/>
        <w:gridCol w:w="109"/>
        <w:gridCol w:w="109"/>
        <w:gridCol w:w="264"/>
        <w:gridCol w:w="904"/>
        <w:gridCol w:w="136"/>
        <w:gridCol w:w="109"/>
        <w:gridCol w:w="109"/>
        <w:gridCol w:w="109"/>
        <w:gridCol w:w="211"/>
        <w:gridCol w:w="826"/>
        <w:gridCol w:w="109"/>
        <w:gridCol w:w="109"/>
        <w:gridCol w:w="109"/>
        <w:gridCol w:w="109"/>
        <w:gridCol w:w="211"/>
        <w:gridCol w:w="826"/>
        <w:gridCol w:w="154"/>
      </w:tblGrid>
      <w:tr>
        <w:trPr/>
        <w:tc>
          <w:tcPr>
            <w:tcW w:w="98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$250,000 </w:t>
              <w:br/>
              <w:t>or Greater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w:t>
              <w:br/>
              <w:t>than $250,000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Uninsured</w:t>
              <w:br/>
              <w:t>Portion</w:t>
            </w:r>
          </w:p>
        </w:tc>
      </w:tr>
      <w:tr>
        <w:trPr/>
        <w:tc>
          <w:tcPr>
            <w:tcW w:w="271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or less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three through six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six through twelve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twelve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152,877 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26,157 </w:t>
            </w:r>
          </w:p>
        </w:tc>
        <w:tc>
          <w:tcPr>
            <w:tcW w:w="1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179,034 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FHLB Advances and Other Borrowings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utilize short-term collateralized FHLB borrowings to maintain adequate liquidity. There were no borrowings outstanding as of March 31, 2022 and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2017 and 2019, we issued subordinated notes of $25.0 million and $3.8 million, respectively. This debt was issued to investors in private placement transactions. See Note 8, Long Term Debt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 The following table is a summary of our outstanding subordinated notes as of March 31, 2022:</w:t>
      </w:r>
    </w:p>
    <w:tbl>
      <w:tblPr>
        <w:tblW w:w="10205" w:type="dxa"/>
        <w:jc w:val="left"/>
        <w:tblInd w:w="0" w:type="dxa"/>
        <w:tblCellMar>
          <w:top w:w="28" w:type="dxa"/>
          <w:left w:w="28" w:type="dxa"/>
          <w:bottom w:w="28" w:type="dxa"/>
          <w:right w:w="28" w:type="dxa"/>
        </w:tblCellMar>
      </w:tblPr>
      <w:tblGrid>
        <w:gridCol w:w="805"/>
        <w:gridCol w:w="584"/>
        <w:gridCol w:w="586"/>
        <w:gridCol w:w="133"/>
        <w:gridCol w:w="133"/>
        <w:gridCol w:w="133"/>
        <w:gridCol w:w="546"/>
        <w:gridCol w:w="471"/>
        <w:gridCol w:w="473"/>
        <w:gridCol w:w="133"/>
        <w:gridCol w:w="133"/>
        <w:gridCol w:w="133"/>
        <w:gridCol w:w="321"/>
        <w:gridCol w:w="1099"/>
        <w:gridCol w:w="166"/>
        <w:gridCol w:w="133"/>
        <w:gridCol w:w="133"/>
        <w:gridCol w:w="133"/>
        <w:gridCol w:w="597"/>
        <w:gridCol w:w="597"/>
        <w:gridCol w:w="599"/>
        <w:gridCol w:w="133"/>
        <w:gridCol w:w="133"/>
        <w:gridCol w:w="133"/>
        <w:gridCol w:w="547"/>
        <w:gridCol w:w="497"/>
        <w:gridCol w:w="721"/>
      </w:tblGrid>
      <w:tr>
        <w:trPr/>
        <w:tc>
          <w:tcPr>
            <w:tcW w:w="80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r>
      <w:tr>
        <w:trPr/>
        <w:tc>
          <w:tcPr>
            <w:tcW w:w="19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Issuance Date</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 of Notes</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Prepayment Right</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r>
      <w:tr>
        <w:trPr/>
        <w:tc>
          <w:tcPr>
            <w:tcW w:w="197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2017</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28, 2022</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2027</w:t>
            </w:r>
          </w:p>
        </w:tc>
      </w:tr>
      <w:tr>
        <w:trPr/>
        <w:tc>
          <w:tcPr>
            <w:tcW w:w="1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at 6.00% through September 15, 2022, then three-month London Inter-bank Offered Rate ("LIBOR") plus 404.4 basis points (4.88% as of March 31, 2022) through maturity</w:t>
            </w:r>
          </w:p>
        </w:tc>
      </w:tr>
      <w:tr>
        <w:trPr/>
        <w:tc>
          <w:tcPr>
            <w:tcW w:w="1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2019</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2027</w:t>
            </w:r>
          </w:p>
        </w:tc>
      </w:tr>
      <w:tr>
        <w:trPr/>
        <w:tc>
          <w:tcPr>
            <w:tcW w:w="1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at 5.50% through September 15, 2022, then three-month LIBOR plus 354.4 basis points (4.38% as of March 31, 2022) through maturity</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Shareholders’ Equity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equity totaled $231.1 million at March 31, 2022 and $235.0 million at December 31, 2021. The decrease in shareholders’ equity was primarily attributable to net income recognized of $9.9 million, offset by a net decline of $6.7 million in other comprehensive income and $7.5 million in cash distributions paid during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Management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the liquidity of the Bank on a stand-alone basis pursuant to applicable guidance and policies.</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credit, market, operational, legal, or reputational risks could also affect the Bank’s liquidity risk profile and are considered in the assessment of liquidity management.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corporation separate and apart from the Bank and, therefore, must provide for its own liquidity, including liquidity required to meet its debt service requirements on its subordinated debt.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sale of loans. Less commonly used sources of funding include borrowings from the Federal Reserve Bank of San Francisco discount window, draws on established federal funds lines from unaffiliated commercial banks, and the issuance of debt or equity securities. We believe we have ample liquidity resources to fund future growth and meet other cash needs as necessary.</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Cash</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Our executive officers and board of directors review our sources and potential uses of cash in connection with our annual budgeting process. Generally speaking, our principal funding source is cash from gathering of deposits, and our principal uses of cash include funding of loans, operating expenses, income taxes, and dividend payments, as described below. In 2021, we also had significant cash inflows as a result of our IPO.</w:t>
      </w:r>
      <w:r>
        <w:rPr>
          <w:color w:val="000000"/>
        </w:rPr>
        <w:t xml:space="preserve"> </w:t>
      </w:r>
      <w:r>
        <w:rPr>
          <w:rFonts w:ascii="Times New Roman;sans-serif" w:hAnsi="Times New Roman;sans-serif"/>
          <w:b w:val="false"/>
          <w:color w:val="000000"/>
          <w:sz w:val="20"/>
        </w:rPr>
        <w:t>As of March 31, 2022, management believes the above-mentioned sources will provide adequate liquidity during the next twelve months for the Bank to meet its operating needs.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IPO</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7, 2021, we completed our IPO at a price of $20.00 per share. We raised approximately $111.2 million in net proceeds after deducting underwriting discounts and commissions of approximately $8.5 million and certain estimated offering expenses payable by us of approximately of $1.3 million. The net proceeds less $2.1 million in other related expenses, including audit fees, legal fees, listing fees, and other expenses totaled $109.1 million.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6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Loans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had cash outflows of $135.0 million in loan originations and advances, net of principal collected, and $21.2 million in loans originated for sale.</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March 31, 2022, total off-balance sheet commitments totaled $249.4 million. We expect to fund these commitments to the extent utilized primarily through the repayment of existing loans, deposit growth, and liquid assets.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Deposits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Deposits are our primary source of funding for our business operations, and the cost of deposits has a significant impact on our net interest income and net interest margin.</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deposits are made up of primarily non-interest checking and money market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had significant cash inflows related to an increase in deposits of $217.2 million, primarily as a result of an increase in the number of new relationships and fluctuations in existing accounts.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the next twelve months, approximately $178.0 million of time deposits are expected to mature. As these time deposits mature, some of these deposits may not renew due to the competition in the Bank’s marketplace. However, based on our historical runoff experience, we expect the outflow will not be significant and can be replenished through our organic growth in deposits. We believe our emphasis on local deposits, combined with our liquid investment portfolio, provides a stable funding base.</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Investment Securities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securities, excluding held-to-maturity securities, totaled $134.8 million at March 31, 2022. At March 31, 2022, 52.76% and 29.38% of our investment portfolio consisted of mortgage-backed securities and obligations of states and political subdivisions,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$14.4 million from our securities during 2022. In future periods, we expect to maintain approximately the same level of cash flows from our securities. Depending on market yield and our liquidity, we may purchase securities as a use of cash in our interest-earning asset portfolio.</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2022, we had cash proceeds from sales, maturities, and/or prepayments of securities of $6.4 million, offset by cash outflows of $1.6 million related to investment securities purchased. Additionally, at March 31, 2022, securities available-for-sale totaled $134.8 million, of which $57.4 million have been pledged as collateral for borrowings and other commitments.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76"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Future Contractual Obligations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estimated future obligations as of March 31, 2022 include both current and long-term obligations. Under our operating leases as discussed in Note 7, Leases, in the notes to our unaudited consolidated financial statements included in this Quarterly Report on Form 10-Q, we have a current obligation of $0.8 million and a long-term obligation of $4.5 million. We also have a current obligation of $178.0 million and a long-term obligation of $1.0 million related to time deposits, as discussed in Note 6, Interest-Bearing Deposits, in the notes to our unaudited consolidated financial statements included in this Quarterly Report on Form 10-Q. We have subordinated notes of $28.4 million, all of which are long-term obligations. Finally, we have one significant, long-term contract for core processing services. While the actual obligation is unknown and dependent on certain factors, including volume and activities, we estimate that our current obligation under this contract is $1.2 million and our long-term obligation is $0.2 million, which is estimated using 2021 average monthly expense extrapolated over the remaining life of the contract.</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FHLB Financing</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Bank is a shareholder of the FHLB, which enables the Bank to have access to lower-cost FHLB financing when necessary. At March 31, 2022, the Bank had a total financing availability of $360.4 million, net of letters of credit issued of $495.5 million.</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Dividends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use of liquidity for the Company is shareholder dividends. The Company paid dividends to its shareholders totaling $7.5 million during the quarter, including a cash distribution in the amount of $4.9 million paid on March 17, 2022 to shareholders of record as of May 3, 2021, for the Company's final accumulated adjustments account payout, which is described in further detail in the Company’s Proxy Statement filed with the SEC and mailed to shareholders on April 6, 2022.</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our current practice of paying quarterly cash dividends in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2022 at a rate of $0.15 per share, which is the rate of each of our last four quarterly dividend payments, our average total dividend paid each quarter would be approximately $2.6 million based on the number of current outstanding shares, which assumes no increases or decreases in the number of shares, and considering that unvested RSAs share equally in dividends with outstanding common stock.</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Impact of Inflation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Historical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consolidated cash flow activities: </w:t>
      </w:r>
    </w:p>
    <w:tbl>
      <w:tblPr>
        <w:tblW w:w="8646" w:type="dxa"/>
        <w:jc w:val="left"/>
        <w:tblInd w:w="0" w:type="dxa"/>
        <w:tblCellMar>
          <w:top w:w="28" w:type="dxa"/>
          <w:left w:w="28" w:type="dxa"/>
          <w:bottom w:w="28" w:type="dxa"/>
          <w:right w:w="28" w:type="dxa"/>
        </w:tblCellMar>
      </w:tblPr>
      <w:tblGrid>
        <w:gridCol w:w="1255"/>
        <w:gridCol w:w="1103"/>
        <w:gridCol w:w="1106"/>
        <w:gridCol w:w="109"/>
        <w:gridCol w:w="109"/>
        <w:gridCol w:w="109"/>
        <w:gridCol w:w="262"/>
        <w:gridCol w:w="765"/>
        <w:gridCol w:w="135"/>
        <w:gridCol w:w="135"/>
        <w:gridCol w:w="135"/>
        <w:gridCol w:w="135"/>
        <w:gridCol w:w="262"/>
        <w:gridCol w:w="765"/>
        <w:gridCol w:w="135"/>
        <w:gridCol w:w="109"/>
        <w:gridCol w:w="109"/>
        <w:gridCol w:w="109"/>
        <w:gridCol w:w="359"/>
        <w:gridCol w:w="1178"/>
        <w:gridCol w:w="262"/>
      </w:tblGrid>
      <w:tr>
        <w:trPr/>
        <w:tc>
          <w:tcPr>
            <w:tcW w:w="1255"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0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r>
      <w:tr>
        <w:trPr/>
        <w:tc>
          <w:tcPr>
            <w:tcW w:w="346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8,601 </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w:t>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(133,513)</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(52,608)</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(80,905)</w:t>
            </w:r>
          </w:p>
        </w:tc>
        <w:tc>
          <w:tcPr>
            <w:tcW w:w="2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209,662 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188,106 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21,556 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Operating Activities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by $5.1 million for the three months ended March 31, 2022 as compared to the three months ended March 31, 2021, primarily due to an increase in loans originated for sale, offset by an increase in proceeds from sale of loans. Various other, less material items made up the remainder of the change. Cash provided by operating activities is subject to variability period-over-period as a result of timing differences, including with respect to the collection of receivables and payments of interest expense, accounts payable, and bonuses.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Investing Activities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by $80.9 million for the three months ended March 31, 2022 as compared to the three months ended March 31, 2021, primarily due to an increase in loan originations, net of repayments, partially offset by a decrease in proceeds from the sale of securities available-for-sale and a decrease in purchases of securities available-for-sale.</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Financing Activities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increased by $21.6 million for the three months ended March 31, 2022 as compared to the three months ended March 31, 2021, primarily due to growth in deposit account balances, partially offset by a decrease in cash dividends paid.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Capital Adequacy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capital by tracking our level and quality of capital with consideration given to our overall financial condition, our asset quality, our level of allowance for loan losses, our geographic and industry concentrations, and other risk factors on our balance sheet, including interest rate sensitivity.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unaudited consolidated financial statements. As a bank holding company with less than $3.0 billion in total consolidated assets and that meets certain other criteria, we currently operate under the Small Bank Holding Company Policy Statement, and, accordingly, are exempt from the Board of Governors of the Federal Reserve System’s (“Federal Reserve”) generally applicable risk-based capital ratio and leverage ratio requirements. The Bank is subject to minimum risk-based and leverage capital requirements under federal regulations implementing the Basel III framework, and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March 31, 2022, both Bancorp and the Bank were in compliance with all applicable regulatory capital requirements, and the Bank qualified as “well-capitalized” under the prompt corrective action framework.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capital adequacy ratios as of March 31, 2022 and December 31, 2021 for Bancorp and the Bank are presented in the following tables. As of March 31, 2022 and December 31, 2021, Bancorp’s Tier 2 capital included subordinated debt, which was not included at the Bank level.</w:t>
      </w:r>
    </w:p>
    <w:tbl>
      <w:tblPr>
        <w:tblW w:w="10205" w:type="dxa"/>
        <w:jc w:val="left"/>
        <w:tblInd w:w="0" w:type="dxa"/>
        <w:tblCellMar>
          <w:top w:w="28" w:type="dxa"/>
          <w:left w:w="28" w:type="dxa"/>
          <w:bottom w:w="28" w:type="dxa"/>
          <w:right w:w="28" w:type="dxa"/>
        </w:tblCellMar>
      </w:tblPr>
      <w:tblGrid>
        <w:gridCol w:w="1008"/>
        <w:gridCol w:w="668"/>
        <w:gridCol w:w="673"/>
        <w:gridCol w:w="109"/>
        <w:gridCol w:w="109"/>
        <w:gridCol w:w="109"/>
        <w:gridCol w:w="211"/>
        <w:gridCol w:w="826"/>
        <w:gridCol w:w="109"/>
        <w:gridCol w:w="109"/>
        <w:gridCol w:w="109"/>
        <w:gridCol w:w="109"/>
        <w:gridCol w:w="308"/>
        <w:gridCol w:w="308"/>
        <w:gridCol w:w="328"/>
        <w:gridCol w:w="109"/>
        <w:gridCol w:w="109"/>
        <w:gridCol w:w="109"/>
        <w:gridCol w:w="211"/>
        <w:gridCol w:w="826"/>
        <w:gridCol w:w="109"/>
        <w:gridCol w:w="109"/>
        <w:gridCol w:w="109"/>
        <w:gridCol w:w="109"/>
        <w:gridCol w:w="353"/>
        <w:gridCol w:w="353"/>
        <w:gridCol w:w="317"/>
        <w:gridCol w:w="109"/>
        <w:gridCol w:w="109"/>
        <w:gridCol w:w="109"/>
        <w:gridCol w:w="260"/>
        <w:gridCol w:w="260"/>
        <w:gridCol w:w="261"/>
        <w:gridCol w:w="158"/>
        <w:gridCol w:w="158"/>
        <w:gridCol w:w="158"/>
        <w:gridCol w:w="255"/>
        <w:gridCol w:w="223"/>
        <w:gridCol w:w="229"/>
      </w:tblGrid>
      <w:tr>
        <w:trPr/>
        <w:tc>
          <w:tcPr>
            <w:tcW w:w="100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234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Capital Ratios for Bancorp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7" w:type="dxa"/>
            <w:gridSpan w:val="9"/>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20"/>
              </w:rPr>
              <w:t>Actual Ratio</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9"/>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Required for Capital </w:t>
            </w:r>
          </w:p>
          <w:p>
            <w:pPr>
              <w:pStyle w:val="TableContents"/>
              <w:spacing w:lineRule="auto" w:line="276" w:before="0" w:after="0"/>
              <w:jc w:val="center"/>
              <w:rPr/>
            </w:pPr>
            <w:r>
              <w:rPr>
                <w:rFonts w:ascii="Times New Roman;sans-serif" w:hAnsi="Times New Roman;sans-serif"/>
                <w:b/>
                <w:color w:val="000000"/>
                <w:sz w:val="20"/>
              </w:rPr>
              <w:t>Adequacy Purposes</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9"/>
            <w:tcBorders/>
            <w:shd w:fill="auto" w:val="clear"/>
            <w:tcMar>
              <w:top w:w="0" w:type="dxa"/>
              <w:left w:w="0" w:type="dxa"/>
              <w:bottom w:w="0" w:type="dxa"/>
              <w:right w:w="0" w:type="dxa"/>
            </w:tcMar>
            <w:vAlign w:val="center"/>
          </w:tcPr>
          <w:p>
            <w:pPr>
              <w:pStyle w:val="TableContents"/>
              <w:spacing w:lineRule="auto" w:line="276" w:before="0" w:after="283"/>
              <w:ind w:left="0" w:right="0" w:hanging="173"/>
              <w:jc w:val="center"/>
              <w:rPr>
                <w:rFonts w:ascii="Times New Roman;sans-serif" w:hAnsi="Times New Roman;sans-serif"/>
                <w:b/>
                <w:color w:val="000000"/>
                <w:sz w:val="20"/>
              </w:rPr>
            </w:pPr>
            <w:r>
              <w:rPr>
                <w:rFonts w:ascii="Times New Roman;sans-serif" w:hAnsi="Times New Roman;sans-serif"/>
                <w:b/>
                <w:color w:val="000000"/>
                <w:sz w:val="20"/>
              </w:rPr>
              <w:t xml:space="preserve">Ratio to be Well- </w:t>
              <w:br/>
              <w:t xml:space="preserve">Capitalized under Prompt </w:t>
              <w:br/>
              <w:t xml:space="preserve">Corrective Action </w:t>
              <w:br/>
              <w:t>Provisions</w:t>
            </w:r>
          </w:p>
        </w:tc>
      </w:tr>
      <w:tr>
        <w:trPr/>
        <w:tc>
          <w:tcPr>
            <w:tcW w:w="23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20"/>
              </w:rPr>
              <w:t>Ratio</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47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r>
      <w:tr>
        <w:trPr/>
        <w:tc>
          <w:tcPr>
            <w:tcW w:w="234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0"/>
              <w:ind w:left="0" w:right="0" w:hanging="17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ind w:left="0" w:right="0" w:hanging="173"/>
              <w:rPr>
                <w:sz w:val="4"/>
                <w:szCs w:val="4"/>
              </w:rPr>
            </w:pPr>
            <w:r>
              <w:rPr>
                <w:sz w:val="4"/>
                <w:szCs w:val="4"/>
              </w:rPr>
            </w:r>
          </w:p>
        </w:tc>
      </w:tr>
      <w:tr>
        <w:trPr/>
        <w:tc>
          <w:tcPr>
            <w:tcW w:w="23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328"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8.00 </w:t>
            </w:r>
          </w:p>
        </w:tc>
        <w:tc>
          <w:tcPr>
            <w:tcW w:w="317"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32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6.00 </w:t>
            </w:r>
          </w:p>
        </w:tc>
        <w:tc>
          <w:tcPr>
            <w:tcW w:w="3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328"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4.50 </w:t>
            </w:r>
          </w:p>
        </w:tc>
        <w:tc>
          <w:tcPr>
            <w:tcW w:w="317"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32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4.00 </w:t>
            </w:r>
          </w:p>
        </w:tc>
        <w:tc>
          <w:tcPr>
            <w:tcW w:w="3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9"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17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before="0" w:after="283"/>
              <w:ind w:left="0" w:right="0" w:hanging="173"/>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32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8.00 </w:t>
            </w:r>
          </w:p>
        </w:tc>
        <w:tc>
          <w:tcPr>
            <w:tcW w:w="3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328"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6.00 </w:t>
            </w:r>
          </w:p>
        </w:tc>
        <w:tc>
          <w:tcPr>
            <w:tcW w:w="317"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32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4.50 </w:t>
            </w:r>
          </w:p>
        </w:tc>
        <w:tc>
          <w:tcPr>
            <w:tcW w:w="3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328"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tbl>
      <w:tblPr>
        <w:tblW w:w="10205" w:type="dxa"/>
        <w:jc w:val="left"/>
        <w:tblInd w:w="0" w:type="dxa"/>
        <w:tblCellMar>
          <w:top w:w="28" w:type="dxa"/>
          <w:left w:w="28" w:type="dxa"/>
          <w:bottom w:w="28" w:type="dxa"/>
          <w:right w:w="28" w:type="dxa"/>
        </w:tblCellMar>
      </w:tblPr>
      <w:tblGrid>
        <w:gridCol w:w="861"/>
        <w:gridCol w:w="387"/>
        <w:gridCol w:w="389"/>
        <w:gridCol w:w="109"/>
        <w:gridCol w:w="109"/>
        <w:gridCol w:w="109"/>
        <w:gridCol w:w="211"/>
        <w:gridCol w:w="826"/>
        <w:gridCol w:w="109"/>
        <w:gridCol w:w="109"/>
        <w:gridCol w:w="109"/>
        <w:gridCol w:w="109"/>
        <w:gridCol w:w="308"/>
        <w:gridCol w:w="308"/>
        <w:gridCol w:w="321"/>
        <w:gridCol w:w="109"/>
        <w:gridCol w:w="109"/>
        <w:gridCol w:w="109"/>
        <w:gridCol w:w="211"/>
        <w:gridCol w:w="826"/>
        <w:gridCol w:w="109"/>
        <w:gridCol w:w="109"/>
        <w:gridCol w:w="109"/>
        <w:gridCol w:w="109"/>
        <w:gridCol w:w="353"/>
        <w:gridCol w:w="353"/>
        <w:gridCol w:w="317"/>
        <w:gridCol w:w="109"/>
        <w:gridCol w:w="109"/>
        <w:gridCol w:w="109"/>
        <w:gridCol w:w="216"/>
        <w:gridCol w:w="846"/>
        <w:gridCol w:w="111"/>
        <w:gridCol w:w="111"/>
        <w:gridCol w:w="111"/>
        <w:gridCol w:w="111"/>
        <w:gridCol w:w="405"/>
        <w:gridCol w:w="406"/>
        <w:gridCol w:w="364"/>
      </w:tblGrid>
      <w:tr>
        <w:trPr/>
        <w:tc>
          <w:tcPr>
            <w:tcW w:w="861"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163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Capital Ratios for the Bank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9"/>
            <w:tcBorders/>
            <w:shd w:fill="auto"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20"/>
              </w:rPr>
              <w:t>Actual Ratio</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9"/>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Required for Capital </w:t>
              <w:br/>
              <w:t>Adequacy Purposes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9"/>
            <w:tcBorders/>
            <w:shd w:fill="auto" w:val="clear"/>
            <w:tcMar>
              <w:top w:w="0" w:type="dxa"/>
              <w:left w:w="0" w:type="dxa"/>
              <w:bottom w:w="0" w:type="dxa"/>
              <w:right w:w="0" w:type="dxa"/>
            </w:tcMar>
            <w:vAlign w:val="center"/>
          </w:tcPr>
          <w:p>
            <w:pPr>
              <w:pStyle w:val="TableContents"/>
              <w:spacing w:lineRule="auto" w:line="276" w:before="0" w:after="283"/>
              <w:ind w:left="0" w:right="0" w:hanging="173"/>
              <w:jc w:val="center"/>
              <w:rPr>
                <w:rFonts w:ascii="Times New Roman;sans-serif" w:hAnsi="Times New Roman;sans-serif"/>
                <w:b/>
                <w:color w:val="000000"/>
                <w:sz w:val="20"/>
              </w:rPr>
            </w:pPr>
            <w:r>
              <w:rPr>
                <w:rFonts w:ascii="Times New Roman;sans-serif" w:hAnsi="Times New Roman;sans-serif"/>
                <w:b/>
                <w:color w:val="000000"/>
                <w:sz w:val="20"/>
              </w:rPr>
              <w:t>Ratio to be Well-</w:t>
              <w:br/>
              <w:t xml:space="preserve">Capitalized under Prompt </w:t>
              <w:br/>
              <w:t xml:space="preserve">Corrective Action </w:t>
              <w:br/>
              <w:t>Provisions</w:t>
            </w:r>
          </w:p>
        </w:tc>
      </w:tr>
      <w:tr>
        <w:trPr/>
        <w:tc>
          <w:tcPr>
            <w:tcW w:w="163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20"/>
              </w:rPr>
              <w:t>Ratio</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3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r>
      <w:tr>
        <w:trPr/>
        <w:tc>
          <w:tcPr>
            <w:tcW w:w="163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0"/>
              <w:ind w:left="0" w:right="0" w:hanging="17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top w:val="single" w:sz="4" w:space="0" w:color="000000"/>
            </w:tcBorders>
            <w:shd w:fill="CCEEFF" w:val="clear"/>
            <w:tcMar>
              <w:left w:w="0" w:type="dxa"/>
              <w:bottom w:w="0" w:type="dxa"/>
              <w:right w:w="0" w:type="dxa"/>
            </w:tcMar>
            <w:vAlign w:val="center"/>
          </w:tcPr>
          <w:p>
            <w:pPr>
              <w:pStyle w:val="TableContents"/>
              <w:spacing w:before="0" w:after="283"/>
              <w:ind w:left="0" w:right="0" w:hanging="173"/>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3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220,497 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10.00 </w:t>
            </w:r>
          </w:p>
        </w:tc>
        <w:tc>
          <w:tcPr>
            <w:tcW w:w="364" w:type="dxa"/>
            <w:tcBorders/>
            <w:shd w:fill="FFFF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3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6.00 </w:t>
            </w:r>
          </w:p>
        </w:tc>
        <w:tc>
          <w:tcPr>
            <w:tcW w:w="3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176,416 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8.00 </w:t>
            </w:r>
          </w:p>
        </w:tc>
        <w:tc>
          <w:tcPr>
            <w:tcW w:w="364" w:type="dxa"/>
            <w:tcBorders/>
            <w:shd w:fill="CCEE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3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143,338 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6.50 </w:t>
            </w:r>
          </w:p>
        </w:tc>
        <w:tc>
          <w:tcPr>
            <w:tcW w:w="364" w:type="dxa"/>
            <w:tcBorders/>
            <w:shd w:fill="FFFF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3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4.00 </w:t>
            </w:r>
          </w:p>
        </w:tc>
        <w:tc>
          <w:tcPr>
            <w:tcW w:w="3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130,885 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5.00 </w:t>
            </w:r>
          </w:p>
        </w:tc>
        <w:tc>
          <w:tcPr>
            <w:tcW w:w="364"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17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173"/>
              <w:jc w:val="right"/>
              <w:rPr>
                <w:color w:val="000000"/>
              </w:rPr>
            </w:pPr>
            <w:r>
              <w:rPr>
                <w:color w:val="000000"/>
              </w:rPr>
              <w:t> </w:t>
            </w:r>
          </w:p>
        </w:tc>
      </w:tr>
      <w:tr>
        <w:trPr/>
        <w:tc>
          <w:tcPr>
            <w:tcW w:w="163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3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8.00 </w:t>
            </w:r>
          </w:p>
        </w:tc>
        <w:tc>
          <w:tcPr>
            <w:tcW w:w="3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203,848 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10.00 </w:t>
            </w:r>
          </w:p>
        </w:tc>
        <w:tc>
          <w:tcPr>
            <w:tcW w:w="364" w:type="dxa"/>
            <w:tcBorders/>
            <w:shd w:fill="CCEE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3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163,078 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8.00 </w:t>
            </w:r>
          </w:p>
        </w:tc>
        <w:tc>
          <w:tcPr>
            <w:tcW w:w="364" w:type="dxa"/>
            <w:tcBorders/>
            <w:shd w:fill="FFFF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3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4.50 </w:t>
            </w:r>
          </w:p>
        </w:tc>
        <w:tc>
          <w:tcPr>
            <w:tcW w:w="3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6.50 </w:t>
            </w:r>
          </w:p>
        </w:tc>
        <w:tc>
          <w:tcPr>
            <w:tcW w:w="364" w:type="dxa"/>
            <w:tcBorders/>
            <w:shd w:fill="CCEEFF" w:val="clear"/>
            <w:tcMar>
              <w:top w:w="0" w:type="dxa"/>
              <w:left w:w="0" w:type="dxa"/>
              <w:bottom w:w="0" w:type="dxa"/>
              <w:right w:w="0" w:type="dxa"/>
            </w:tcMar>
            <w:vAlign w:val="center"/>
          </w:tcPr>
          <w:p>
            <w:pPr>
              <w:pStyle w:val="TableContents"/>
              <w:spacing w:lineRule="auto" w:line="273" w:before="0" w:after="283"/>
              <w:ind w:left="0" w:right="0" w:hanging="17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leverage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3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123,193 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r>
              <w:rPr>
                <w:rFonts w:ascii="Times New Roman;sans-serif" w:hAnsi="Times New Roman;sans-serif"/>
                <w:b w:val="false"/>
                <w:color w:val="000000"/>
                <w:sz w:val="20"/>
              </w:rPr>
              <w:t>5.00 </w:t>
            </w:r>
          </w:p>
        </w:tc>
        <w:tc>
          <w:tcPr>
            <w:tcW w:w="364"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Presented as if Bancorp were subject to Basel III capital requirements. The Company operates under the Small Bank Holding Company Policy Statement and therefore is not currently subject to generally applicable capital adequacy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to total loans held for investment, excluding PPP loans, is defined as allowance for loan losses, divided by total loans held for investment less PPP loans. The most directly comparable GAAP financial measure is allowance for loan losses to total loans held for investment.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Average loans held for investment and sale, excluding PPP loans, is defined as the daily average loans held for investment and sale, excluding the daily average PPP loans, and includes both performing and nonperforming loans. The most directly comparable GAAP measure is average loans held for investment and sale.</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Average loan yield, excluding PPP loans, is defined as the daily average loan yield, excluding PPP loans, and includes both performing and nonperforming loans. The most directly comparable GAAP financial measure is average loan yield.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their non-GAAP financial measures when making comparisons.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reconciliation table provides a more detailed analysis of these non-GAAP financial measures, along with their most directly comparable financial measures calculated in accordance with GAAP.</w:t>
      </w:r>
    </w:p>
    <w:tbl>
      <w:tblPr>
        <w:tblW w:w="10205" w:type="dxa"/>
        <w:jc w:val="left"/>
        <w:tblInd w:w="0" w:type="dxa"/>
        <w:tblCellMar>
          <w:top w:w="28" w:type="dxa"/>
          <w:left w:w="28" w:type="dxa"/>
          <w:bottom w:w="28" w:type="dxa"/>
          <w:right w:w="28" w:type="dxa"/>
        </w:tblCellMar>
      </w:tblPr>
      <w:tblGrid>
        <w:gridCol w:w="2388"/>
        <w:gridCol w:w="2094"/>
        <w:gridCol w:w="2106"/>
        <w:gridCol w:w="109"/>
        <w:gridCol w:w="109"/>
        <w:gridCol w:w="109"/>
        <w:gridCol w:w="211"/>
        <w:gridCol w:w="976"/>
        <w:gridCol w:w="271"/>
        <w:gridCol w:w="109"/>
        <w:gridCol w:w="109"/>
        <w:gridCol w:w="109"/>
        <w:gridCol w:w="211"/>
        <w:gridCol w:w="976"/>
        <w:gridCol w:w="318"/>
      </w:tblGrid>
      <w:tr>
        <w:trPr/>
        <w:tc>
          <w:tcPr>
            <w:tcW w:w="2388"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rPr>
                <w:sz w:val="4"/>
                <w:szCs w:val="4"/>
              </w:rPr>
            </w:pPr>
            <w:r>
              <w:rPr>
                <w:sz w:val="4"/>
                <w:szCs w:val="4"/>
              </w:rPr>
            </w:r>
          </w:p>
        </w:tc>
        <w:tc>
          <w:tcPr>
            <w:tcW w:w="2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65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Allowance for loan losses to total loans held for investment, excluding PPP loans </w:t>
              <w:b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6588"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23,904 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23,243 </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2,080,158 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1,934,460 </w:t>
            </w:r>
          </w:p>
        </w:tc>
        <w:tc>
          <w:tcPr>
            <w:tcW w:w="31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PPP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excluding PPP loans (denominator)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2,078,630 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1,912,336 </w:t>
            </w:r>
          </w:p>
        </w:tc>
        <w:tc>
          <w:tcPr>
            <w:tcW w:w="31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to total loans held for investment, excluding PPP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885" w:type="dxa"/>
        <w:jc w:val="left"/>
        <w:tblInd w:w="0" w:type="dxa"/>
        <w:tblCellMar>
          <w:top w:w="28" w:type="dxa"/>
          <w:left w:w="28" w:type="dxa"/>
          <w:bottom w:w="28" w:type="dxa"/>
          <w:right w:w="28" w:type="dxa"/>
        </w:tblCellMar>
      </w:tblPr>
      <w:tblGrid>
        <w:gridCol w:w="2025"/>
        <w:gridCol w:w="1782"/>
        <w:gridCol w:w="1787"/>
        <w:gridCol w:w="109"/>
        <w:gridCol w:w="109"/>
        <w:gridCol w:w="109"/>
        <w:gridCol w:w="211"/>
        <w:gridCol w:w="976"/>
        <w:gridCol w:w="109"/>
        <w:gridCol w:w="109"/>
        <w:gridCol w:w="109"/>
        <w:gridCol w:w="109"/>
        <w:gridCol w:w="211"/>
        <w:gridCol w:w="976"/>
        <w:gridCol w:w="154"/>
      </w:tblGrid>
      <w:tr>
        <w:trPr/>
        <w:tc>
          <w:tcPr>
            <w:tcW w:w="2025"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r>
      <w:tr>
        <w:trPr/>
        <w:tc>
          <w:tcPr>
            <w:tcW w:w="5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Average loans held for investment and sale, excluding PPP loans </w:t>
              <w:b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2021</w:t>
            </w:r>
          </w:p>
        </w:tc>
      </w:tr>
      <w:tr>
        <w:trPr/>
        <w:tc>
          <w:tcPr>
            <w:tcW w:w="559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loans held for investment and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1,977,509 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1,526,130 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average PPP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loans held for investment and sale, excluding PPP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1,968,623 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1,349,746 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tbl>
      <w:tblPr>
        <w:tblW w:w="10170" w:type="dxa"/>
        <w:jc w:val="left"/>
        <w:tblInd w:w="0" w:type="dxa"/>
        <w:tblCellMar>
          <w:top w:w="28" w:type="dxa"/>
          <w:left w:w="28" w:type="dxa"/>
          <w:bottom w:w="28" w:type="dxa"/>
          <w:right w:w="28" w:type="dxa"/>
        </w:tblCellMar>
      </w:tblPr>
      <w:tblGrid>
        <w:gridCol w:w="2374"/>
        <w:gridCol w:w="2087"/>
        <w:gridCol w:w="2094"/>
        <w:gridCol w:w="109"/>
        <w:gridCol w:w="109"/>
        <w:gridCol w:w="109"/>
        <w:gridCol w:w="211"/>
        <w:gridCol w:w="976"/>
        <w:gridCol w:w="271"/>
        <w:gridCol w:w="109"/>
        <w:gridCol w:w="109"/>
        <w:gridCol w:w="109"/>
        <w:gridCol w:w="211"/>
        <w:gridCol w:w="976"/>
        <w:gridCol w:w="316"/>
      </w:tblGrid>
      <w:tr>
        <w:trPr/>
        <w:tc>
          <w:tcPr>
            <w:tcW w:w="2374" w:type="dxa"/>
            <w:tcBorders/>
            <w:shd w:fill="auto" w:val="clear"/>
            <w:vAlign w:val="center"/>
          </w:tcPr>
          <w:p>
            <w:pPr>
              <w:pStyle w:val="TableContents"/>
              <w:spacing w:before="0" w:after="283"/>
              <w:rPr>
                <w:sz w:val="4"/>
                <w:szCs w:val="4"/>
              </w:rPr>
            </w:pPr>
            <w:r>
              <w:rPr>
                <w:sz w:val="4"/>
                <w:szCs w:val="4"/>
              </w:rPr>
            </w:r>
          </w:p>
        </w:tc>
        <w:tc>
          <w:tcPr>
            <w:tcW w:w="2087"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65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r>
      <w:tr>
        <w:trPr/>
        <w:tc>
          <w:tcPr>
            <w:tcW w:w="6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Average loan yield, excluding PPP loans </w:t>
              <w:b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c>
          <w:tcPr>
            <w:tcW w:w="3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0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2021</w:t>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 income on loans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18,613 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and fee income on PPP loans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 income on loans, excluding PPP loans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21,481 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16,213 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Annualized interest and fee income on loans, excluding PPP loans (numerator)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loans held for investment and sale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1,977,509 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1,526,130 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average PPP loans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176,384 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loans held for investment and sale, excluding PPP loans (denominator)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1,968,623 </w:t>
            </w:r>
          </w:p>
        </w:tc>
        <w:tc>
          <w:tcPr>
            <w:tcW w:w="271"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1,349,746 </w:t>
            </w:r>
          </w:p>
        </w:tc>
        <w:tc>
          <w:tcPr>
            <w:tcW w:w="316"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loan yield, excluding PPP loans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87"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7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31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 for a smaller reporting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ITEM 4. Controls and Procedures</w:t>
      </w:r>
      <w:r>
        <w:rPr>
          <w:color w:val="000000"/>
        </w:rPr>
        <w:t xml:space="preserve"> </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Evaluation of Disclosure Controls and Procedures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conducted an evaluation of the effectiveness as of March 31, 2022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Changes in Internal Control over Financial Reporting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such term is defined in Rule 13a-15(f) under the Exchange Act) that occurred during the three months ended March 31, 2022 that has materially affected, or is reasonably likely to materially affect, such controls.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ITEM 1A. Risk Factors</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the risk factors previously disclosed under Item 1A of the Company’s Annual report on Form 10-K for the year ended December 31, 2021, previously filed with the SEC.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ind w:left="0" w:right="0" w:hanging="27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Unregistered Sales of Equity Securities</w:t>
      </w:r>
      <w:r>
        <w:rPr>
          <w:color w:val="00000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240" w:after="283"/>
        <w:ind w:left="0" w:right="0" w:hanging="27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Use of Proceeds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lineRule="auto" w:line="288" w:before="240" w:after="283"/>
        <w:ind w:left="0" w:right="0" w:hanging="27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Issuer Purchases of Equity Securities</w:t>
      </w:r>
      <w:r>
        <w:rPr>
          <w:color w:val="00000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ITEM 3. Defaults Upon Senior Securities</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ITEM 4. Mine Safety Disclosures</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exhibits are filed as part of this report or hereby incorporated by references to filings previously made with the SEC. </w:t>
      </w:r>
    </w:p>
    <w:tbl>
      <w:tblPr>
        <w:tblW w:w="10205" w:type="dxa"/>
        <w:jc w:val="left"/>
        <w:tblInd w:w="0" w:type="dxa"/>
        <w:tblCellMar>
          <w:top w:w="28" w:type="dxa"/>
          <w:left w:w="28" w:type="dxa"/>
          <w:bottom w:w="28" w:type="dxa"/>
          <w:right w:w="28" w:type="dxa"/>
        </w:tblCellMar>
      </w:tblPr>
      <w:tblGrid>
        <w:gridCol w:w="348"/>
        <w:gridCol w:w="305"/>
        <w:gridCol w:w="306"/>
        <w:gridCol w:w="1879"/>
        <w:gridCol w:w="1646"/>
        <w:gridCol w:w="1651"/>
        <w:gridCol w:w="197"/>
        <w:gridCol w:w="197"/>
        <w:gridCol w:w="193"/>
        <w:gridCol w:w="342"/>
        <w:gridCol w:w="299"/>
        <w:gridCol w:w="176"/>
        <w:gridCol w:w="245"/>
        <w:gridCol w:w="245"/>
        <w:gridCol w:w="246"/>
        <w:gridCol w:w="439"/>
        <w:gridCol w:w="277"/>
        <w:gridCol w:w="278"/>
        <w:gridCol w:w="272"/>
        <w:gridCol w:w="272"/>
        <w:gridCol w:w="392"/>
      </w:tblGrid>
      <w:tr>
        <w:trPr/>
        <w:tc>
          <w:tcPr>
            <w:tcW w:w="3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879"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12"/>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517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58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81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9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Herewith</w:t>
            </w:r>
          </w:p>
        </w:tc>
      </w:tr>
      <w:tr>
        <w:trPr/>
        <w:tc>
          <w:tcPr>
            <w:tcW w:w="95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17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left"/>
              <w:rPr/>
            </w:pPr>
            <w:hyperlink r:id="rId2">
              <w:r>
                <w:rPr>
                  <w:rStyle w:val="InternetLink"/>
                  <w:rFonts w:ascii="Times New Roman;sans-serif" w:hAnsi="Times New Roman;sans-serif"/>
                  <w:b w:val="false"/>
                  <w:color w:val="0000FF"/>
                  <w:sz w:val="20"/>
                  <w:u w:val="single"/>
                </w:rPr>
                <w:t>Amended and Restated Articles of Incorporation of Five Star Bancorp</w:t>
              </w:r>
            </w:hyperlink>
          </w:p>
        </w:tc>
        <w:tc>
          <w:tcPr>
            <w:tcW w:w="58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1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7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9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2021</w:t>
            </w:r>
          </w:p>
        </w:tc>
        <w:tc>
          <w:tcPr>
            <w:tcW w:w="93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17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
              <w:r>
                <w:rPr>
                  <w:rStyle w:val="InternetLink"/>
                  <w:rFonts w:ascii="Times New Roman;sans-serif" w:hAnsi="Times New Roman;sans-serif"/>
                  <w:b w:val="false"/>
                  <w:color w:val="0000FF"/>
                  <w:sz w:val="20"/>
                  <w:u w:val="single"/>
                </w:rPr>
                <w:t>Amended and Restated Bylaws of Five Star Bancorp</w:t>
              </w:r>
            </w:hyperlink>
          </w:p>
        </w:tc>
        <w:tc>
          <w:tcPr>
            <w:tcW w:w="58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001-40379</w:t>
            </w:r>
          </w:p>
        </w:tc>
        <w:tc>
          <w:tcPr>
            <w:tcW w:w="7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9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2022</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17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
              <w:r>
                <w:rPr>
                  <w:rStyle w:val="InternetLink"/>
                  <w:rFonts w:ascii="Times New Roman;sans-serif" w:hAnsi="Times New Roman;sans-serif"/>
                  <w:b w:val="false"/>
                  <w:color w:val="0000FF"/>
                  <w:sz w:val="20"/>
                  <w:u w:val="single"/>
                </w:rPr>
                <w:t>Form of Common Stock Certificate of Five Star Bancorp</w:t>
              </w:r>
            </w:hyperlink>
          </w:p>
        </w:tc>
        <w:tc>
          <w:tcPr>
            <w:tcW w:w="58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1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333-255143</w:t>
            </w:r>
          </w:p>
        </w:tc>
        <w:tc>
          <w:tcPr>
            <w:tcW w:w="7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9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26, 2021</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17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fsbc-20220331xexx101xupdat.htm">
              <w:r>
                <w:rPr>
                  <w:rStyle w:val="InternetLink"/>
                  <w:rFonts w:ascii="Times New Roman;sans-serif" w:hAnsi="Times New Roman;sans-serif"/>
                  <w:b w:val="false"/>
                  <w:color w:val="0000FF"/>
                  <w:sz w:val="20"/>
                  <w:u w:val="single"/>
                </w:rPr>
                <w:t>Executive Employment Agreement, dated March 23, 2022, between Five Star Bank and James Beckwith, effective January 3, 2022</w:t>
              </w:r>
            </w:hyperlink>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17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fsbc-20220331xexx101xupdat.htm">
              <w:r>
                <w:rPr>
                  <w:rStyle w:val="InternetLink"/>
                  <w:rFonts w:ascii="Times New Roman;sans-serif" w:hAnsi="Times New Roman;sans-serif"/>
                  <w:b w:val="false"/>
                  <w:color w:val="0000FF"/>
                  <w:sz w:val="20"/>
                  <w:u w:val="single"/>
                </w:rPr>
                <w:t>Five Star Bank Salary Continuation Agreement, dates September 1, 2007, as amended, between Five Star Bank and James Beckwith (included as Exhibit A to the Executive Employment Agreement filed herewith as Exhibit 10.1)</w:t>
              </w:r>
            </w:hyperlink>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17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fsbc-20220331x10qexx311.htm">
              <w:r>
                <w:rPr>
                  <w:rStyle w:val="InternetLink"/>
                  <w:rFonts w:ascii="Times New Roman;sans-serif" w:hAnsi="Times New Roman;sans-serif"/>
                  <w:b w:val="false"/>
                  <w:color w:val="0000FF"/>
                  <w:sz w:val="20"/>
                  <w:u w:val="single"/>
                </w:rPr>
                <w:t>Certification of Chief Executive Officer pursuant to Rule 13a-14(a)/15d-14(a), as adopted pursuant to Section 302 of the Sarbanes-Oxley Act of 2002</w:t>
              </w:r>
            </w:hyperlink>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17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fsbc-20220331x10qexx312.htm">
              <w:r>
                <w:rPr>
                  <w:rStyle w:val="InternetLink"/>
                  <w:rFonts w:ascii="Times New Roman;sans-serif" w:hAnsi="Times New Roman;sans-serif"/>
                  <w:b w:val="false"/>
                  <w:color w:val="0000FF"/>
                  <w:sz w:val="20"/>
                  <w:u w:val="single"/>
                </w:rPr>
                <w:t>Certification of Chief Financial Officer pursuant to Rule 13a-14(a)/15d-14(a), as adopted pursuant to Section 302 of the Sarbanes-Oxley Act of 2002</w:t>
              </w:r>
            </w:hyperlink>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17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fsbc-20220331x10qex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17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fsbc-20220331x10qexx322.htm">
              <w:r>
                <w:rPr>
                  <w:rStyle w:val="InternetLink"/>
                  <w:rFonts w:ascii="Times New Roman;sans-serif" w:hAnsi="Times New Roman;sans-serif"/>
                  <w:b w:val="false"/>
                  <w:color w:val="0000FF"/>
                  <w:sz w:val="20"/>
                  <w:u w:val="single"/>
                </w:rPr>
                <w:t>Certification of Chief Financial Officer pursuant to 18 U.S.C. Section 1350, as adopted by Section 906 of the Sarbanes-Oxley Act of 2002</w:t>
              </w:r>
            </w:hyperlink>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17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Interactive Data</w:t>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r>
        <w:trPr/>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17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in Exhibit 101)</w:t>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contract, or arrangement.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76" w:before="0" w:after="0"/>
        <w:rPr/>
      </w:pPr>
      <w:hyperlink w:anchor="i996f15dd32d84690b9982a2725300141_7">
        <w:r>
          <w:rPr>
            <w:rStyle w:val="InternetLink"/>
          </w:rPr>
          <w:t xml:space="preserve">Table of </w:t>
        </w:r>
      </w:hyperlink>
      <w:hyperlink w:anchor="i996f15dd32d84690b9982a2725300141_7">
        <w:r>
          <w:rPr>
            <w:rStyle w:val="InternetLink"/>
          </w:rPr>
          <w:t>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4389" w:type="dxa"/>
        <w:jc w:val="left"/>
        <w:tblInd w:w="0" w:type="dxa"/>
        <w:tblCellMar>
          <w:top w:w="28" w:type="dxa"/>
          <w:left w:w="28" w:type="dxa"/>
          <w:bottom w:w="28" w:type="dxa"/>
          <w:right w:w="28" w:type="dxa"/>
        </w:tblCellMar>
      </w:tblPr>
      <w:tblGrid>
        <w:gridCol w:w="124"/>
        <w:gridCol w:w="109"/>
        <w:gridCol w:w="109"/>
        <w:gridCol w:w="414"/>
        <w:gridCol w:w="414"/>
        <w:gridCol w:w="417"/>
        <w:gridCol w:w="109"/>
        <w:gridCol w:w="109"/>
        <w:gridCol w:w="109"/>
        <w:gridCol w:w="724"/>
        <w:gridCol w:w="724"/>
        <w:gridCol w:w="10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Star Bancorp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Beckwith</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Beckwith</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Heather Luck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Heather Luck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&amp;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2022 EXECUTIVE EMPLOYMENT AGREEMENT</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This 2022 Executive Employment Agreement (“Agreement”) is entered into in Sacramento, California and is effective as of the 3rd day of January 2022 (“Effective Date”) by and between Five Star Bank, a California commercial bank (“Bank”), and James Beckwith (“Beckwith”). Bank and Beckwith are collectively referred to herein as “Parties.”</w:t>
      </w:r>
    </w:p>
    <w:p>
      <w:pPr>
        <w:pStyle w:val="TextBody"/>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RECITALS</w:t>
      </w:r>
    </w:p>
    <w:p>
      <w:pPr>
        <w:pStyle w:val="TextBody"/>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Bank currently employs Beckwith and Bank and Beckwith desire to continue Bank’s employment of Beckwith.</w:t>
      </w:r>
    </w:p>
    <w:p>
      <w:pPr>
        <w:pStyle w:val="TextBody"/>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Beckwith possesses the requisite knowledge, skill and experience to serve as the chief executive of Bank. </w:t>
      </w:r>
    </w:p>
    <w:p>
      <w:pPr>
        <w:pStyle w:val="TextBody"/>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Bank and Beckwith are parties to an Executive Employment Agreement, dated as of January 3, 2019 (the “2019 Agreement”), the “Term” (as defined therein) of which expired immediately prior to the Effective Date, and the parties desire that this Agreement will restate, supersede and replace the 2019 Agreement.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the mutual covenants, promises and conditions set forth herein, Bank and Beckwith agree as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pPr>
      <w:r>
        <w:rPr>
          <w:rFonts w:ascii="Times New Roman;sans-serif" w:hAnsi="Times New Roman;sans-serif"/>
          <w:b/>
          <w:color w:val="000000"/>
          <w:sz w:val="24"/>
        </w:rPr>
        <w:t>Article 1.</w:t>
      </w:r>
      <w:r>
        <w:rPr>
          <w:rFonts w:ascii="Times New Roman;sans-serif" w:hAnsi="Times New Roman;sans-serif"/>
          <w:b/>
          <w:color w:val="000000"/>
          <w:sz w:val="20"/>
        </w:rPr>
        <w:t>Term and Title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0"/>
          <w:u w:val="single"/>
        </w:rPr>
        <w:t>President and Chief Executive Officer of Bank</w:t>
      </w:r>
      <w:r>
        <w:rPr>
          <w:rFonts w:ascii="Times New Roman;sans-serif" w:hAnsi="Times New Roman;sans-serif"/>
          <w:b w:val="false"/>
          <w:color w:val="000000"/>
          <w:sz w:val="20"/>
        </w:rPr>
        <w:t>. During the Term of Employment defined below, Beckwith shall serve as the President and Chief Executive Officer of Bank. The Parties contemplate that Beckwith shall report directly to the Chairman of the Board of Bank and to the Board of Bank.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0"/>
          <w:u w:val="single"/>
        </w:rPr>
        <w:t>President and Chief Executive Officer of Five Star Bancorp</w:t>
      </w:r>
      <w:r>
        <w:rPr>
          <w:rFonts w:ascii="Times New Roman;sans-serif" w:hAnsi="Times New Roman;sans-serif"/>
          <w:b w:val="false"/>
          <w:color w:val="000000"/>
          <w:sz w:val="20"/>
        </w:rPr>
        <w:t>. During the Term of Employment defined below, Beckwith shall serve as the President and Chief Executive Officer of Five Star Bancorp and shall continue to serve as the President and Chief Executive Officer of Five Star Bancorp for so long as Beckwith serves as the President and Chief Executive Officer of Bank. The Parties contemplate that Beckwith, in his capacity as President and Chief Executive Officer of Five Star Bancorp, shall report directly to the Chairman of the Board of Five Star Bancorp and to the Board of Five Star Bancorp. Beckwith shall not receive any additional or supplemental compensation for his role as the President and Chief Executive Officer of Five Star Bancorp. Five Star Bancorp, Bank, and Five Star Bancorp’s other subsidiaries are collectively referred to herein as “Bank Group.”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0"/>
          <w:u w:val="single"/>
        </w:rPr>
        <w:t>Director of Bank and Five Star Bancorp</w:t>
      </w:r>
      <w:r>
        <w:rPr>
          <w:rFonts w:ascii="Times New Roman;sans-serif" w:hAnsi="Times New Roman;sans-serif"/>
          <w:b w:val="false"/>
          <w:color w:val="000000"/>
          <w:sz w:val="20"/>
        </w:rPr>
        <w:t>. During the Term of Employment defined below, Beckwith shall serve as a member of the Board of Bank and as a member of the Board of Five Star Bancorp. Beckwith agrees to fulfill all of his duties as a member of the Board of Bank and of the Board of Five Star Bancorp and Beckwith agrees to resign immediately from the Board of Bank and the Board of Five Star Bancorp upon the termination of his employment as the President and Chief Executive Officer of Bank or of Five Star Bancorp. Beckwith shall not receive additional or supplemental compensation for his role as a Director of Bank or his role as a Director of Five Star Bancorp.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0"/>
          <w:u w:val="single"/>
        </w:rPr>
        <w:t>Term of Employment</w:t>
      </w:r>
      <w:r>
        <w:rPr>
          <w:rFonts w:ascii="Times New Roman;sans-serif" w:hAnsi="Times New Roman;sans-serif"/>
          <w:b w:val="false"/>
          <w:color w:val="000000"/>
          <w:sz w:val="20"/>
        </w:rPr>
        <w:t>. Subject to any earlier termination as provided in Article 5 herein below, Beckwith’s employment under this Agreement shall commence on the Effective Date and shall continue for a three (3) year period (“Term”), also subject to any extension as set forth herein. Upon expiration of the Term, and each subsequent term or extension thereof, this Agreement shall automatically be extended for an additional term of one (1) year, unless Beckwith or Bank shall have notified the other party hereto of his or its election to terminate this Agreement not later than sixty (60) days prior to the end of such subsequent term or extension thereof (the Term, together with any extensions, until termination in accordance herewith, shall be referenced herein as the “Term of Employment”). Nothing stated in this Agreement or represented orally or in writing to either Party shall create any obligation to renew this Agreement and the decision of Bank not to extend the Term or any subsequent term, shall not be deemed a termination of employment entitling Beckwith to any severance compensation or separation benefits under either this Agreement or any Bank or Bank severance plan or practice then in effect.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pPr>
      <w:r>
        <w:rPr>
          <w:rFonts w:ascii="Times New Roman;sans-serif" w:hAnsi="Times New Roman;sans-serif"/>
          <w:b/>
          <w:color w:val="000000"/>
          <w:sz w:val="24"/>
        </w:rPr>
        <w:t>Article 2.</w:t>
      </w:r>
      <w:r>
        <w:rPr>
          <w:rFonts w:ascii="Times New Roman;sans-serif" w:hAnsi="Times New Roman;sans-serif"/>
          <w:b/>
          <w:color w:val="000000"/>
          <w:sz w:val="20"/>
        </w:rPr>
        <w:t>Duties of Beckwith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0"/>
          <w:u w:val="single"/>
        </w:rPr>
        <w:t>Compliance with Law</w:t>
      </w:r>
      <w:r>
        <w:rPr>
          <w:rFonts w:ascii="Times New Roman;sans-serif" w:hAnsi="Times New Roman;sans-serif"/>
          <w:b w:val="false"/>
          <w:color w:val="000000"/>
          <w:sz w:val="20"/>
        </w:rPr>
        <w:t>. Beckwith hereby agrees to use his best efforts as President and CEO of Bank and President and CEO of Five Star Bancorp and agrees to perform such related duties as are customary for the chief executive officer of a financial institution or as may reasonably be required by Bank Group from time to time. Beckwith agrees during the Term of Employment to remain knowledgeable of, and to comply with, all applicable rules and regulations relating to banking and to keep informed of, and to comply with, all applicable federal, state and local laws, regulations, and/or ordinances governing the conduct of Bank Group’s business, including, but not limited to, relevant sections of the California Department of Financial Protection and Innovation (“DFPI”), the applicable rules and regulations of the Federal Deposit Insurance Corporation (“FDIC”), the Consumer Financial Protection Bureau, and the Financial Crimes Enforcement Network of the U.S. Department of the Treasury, and the policies and procedures of Bank Group.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0"/>
          <w:u w:val="single"/>
        </w:rPr>
        <w:t>Bank Management Obligations</w:t>
      </w:r>
      <w:r>
        <w:rPr>
          <w:rFonts w:ascii="Times New Roman;sans-serif" w:hAnsi="Times New Roman;sans-serif"/>
          <w:b w:val="false"/>
          <w:color w:val="000000"/>
          <w:sz w:val="20"/>
        </w:rPr>
        <w:t>. Pursuant to, and in accordance with, the policies and procedures of Bank Group, as may be amended from time to time in Bank Group’s discretion, Beckwith shall be responsible for the general management of Bank Group consistent with the intent of this Agreement and sound business practices. Beckwith shall assist Bank Group in (1) the creation, maintenance and monitoring of Bank Group’s relationships to ensure the legal and ethical conduct of business, (2) the supervising of Bank Group personnel and to ensure compliance with all applicable state and federal laws, and (3) the recruiting of senior executive staff as needed.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0"/>
          <w:u w:val="single"/>
        </w:rPr>
        <w:t>Full Time Employment</w:t>
      </w:r>
      <w:r>
        <w:rPr>
          <w:rFonts w:ascii="Times New Roman;sans-serif" w:hAnsi="Times New Roman;sans-serif"/>
          <w:b w:val="false"/>
          <w:color w:val="000000"/>
          <w:sz w:val="20"/>
        </w:rPr>
        <w:t>. Beckwith shall devote his full energies, abilities and productive time to the performance of the services contemplated under this Agreement, unless an alternative arrangement is agreed to by the Chairman of the Board of Bank. Beckwith shall not engage in any business or personal activities that would interfere or conflict with the performance of Beckwith’s duties under this Agreement, without the prior written consent of the Chairman of the Board of Bank.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0"/>
          <w:u w:val="single"/>
        </w:rPr>
        <w:t>Location</w:t>
      </w:r>
      <w:r>
        <w:rPr>
          <w:rFonts w:ascii="Times New Roman;sans-serif" w:hAnsi="Times New Roman;sans-serif"/>
          <w:b w:val="false"/>
          <w:color w:val="000000"/>
          <w:sz w:val="20"/>
        </w:rPr>
        <w:t>. Beckwith agrees to perform the services contemplated under this Agreement at the office location(s) authorized and approved by the Chairman of the Board of Bank.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pPr>
      <w:r>
        <w:rPr>
          <w:rFonts w:ascii="Times New Roman;sans-serif" w:hAnsi="Times New Roman;sans-serif"/>
          <w:b/>
          <w:color w:val="000000"/>
          <w:sz w:val="24"/>
        </w:rPr>
        <w:t>Article 3.</w:t>
      </w:r>
      <w:r>
        <w:rPr>
          <w:rFonts w:ascii="Times New Roman;sans-serif" w:hAnsi="Times New Roman;sans-serif"/>
          <w:b/>
          <w:color w:val="000000"/>
          <w:sz w:val="20"/>
        </w:rPr>
        <w:t>Beckwith’s Compensation, Incentive and Benefits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0"/>
          <w:u w:val="single"/>
        </w:rPr>
        <w:t>Base Salary</w:t>
      </w:r>
      <w:r>
        <w:rPr>
          <w:rFonts w:ascii="Times New Roman;sans-serif" w:hAnsi="Times New Roman;sans-serif"/>
          <w:b w:val="false"/>
          <w:color w:val="000000"/>
          <w:sz w:val="20"/>
        </w:rPr>
        <w:t>. During the Term of Employment, Bank shall pay Beckwith a competitive base salary as determined by the Compensation Committee of Bank and Compensation Committee of Five Star Bancorp (collectively, the “Committees”). Base salary will be payable in accordance with the standard payroll procedures of Bank. Beckwith’s base salary may be adjusted periodically to reflect such changes as the Committees determine appropriate.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0"/>
          <w:u w:val="single"/>
        </w:rPr>
        <w:t>Annual Bonus</w:t>
      </w:r>
      <w:r>
        <w:rPr>
          <w:rFonts w:ascii="Times New Roman;sans-serif" w:hAnsi="Times New Roman;sans-serif"/>
          <w:b w:val="false"/>
          <w:color w:val="000000"/>
          <w:sz w:val="20"/>
        </w:rPr>
        <w:t>. During the Term of Employment, Beckwith shall be eligible for an annual bonus in accordance with the terms of the applicable bonus program and subject to the oversight and discretion of the Committees. Unless otherwise determined by the Committees or set forth in the applicable program, Beckwith must be employed in good standing on the date of payment to receive an annual bonus. The Committees shall determine Beckwith’s eligibility for and payment under any other incentive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0"/>
          <w:u w:val="single"/>
        </w:rPr>
        <w:t>Equity Compensation</w:t>
      </w:r>
      <w:r>
        <w:rPr>
          <w:rFonts w:ascii="Times New Roman;sans-serif" w:hAnsi="Times New Roman;sans-serif"/>
          <w:b w:val="false"/>
          <w:color w:val="000000"/>
          <w:sz w:val="20"/>
        </w:rPr>
        <w:t xml:space="preserve">. Beckwith may receive equity awards in Five Star Bancorp during the Term of Employment as determined by the Compensation Committee of Five Star Bancorp in its sole discretion.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0"/>
          <w:u w:val="single"/>
        </w:rPr>
        <w:t>Participation In Five Star Bank Benefit Plans</w:t>
      </w:r>
      <w:r>
        <w:rPr>
          <w:rFonts w:ascii="Times New Roman;sans-serif" w:hAnsi="Times New Roman;sans-serif"/>
          <w:b w:val="false"/>
          <w:color w:val="000000"/>
          <w:sz w:val="20"/>
        </w:rPr>
        <w:t>. Beckwith shall be eligible to participate in those group employee benefit plans, including, without limitation, medical, dental, and life insurance, which Bank makes available to similarly situated employees from time to time, subject to all terms and conditions of those plans and amendments thereto, including, without limitation, any and all provisions concerning eligibility for participation.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0"/>
          <w:u w:val="single"/>
        </w:rPr>
        <w:t>Expenses</w:t>
      </w:r>
      <w:r>
        <w:rPr>
          <w:rFonts w:ascii="Times New Roman;sans-serif" w:hAnsi="Times New Roman;sans-serif"/>
          <w:b w:val="false"/>
          <w:color w:val="000000"/>
          <w:sz w:val="20"/>
        </w:rPr>
        <w:t>. Upon presentation of appropriate vouchers and receipts, Bank shall reimburse Beckwith, in a manner similar to other senior Bank executives, for all reasonable business expenses incurred by Beckwith.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0"/>
          <w:u w:val="single"/>
        </w:rPr>
        <w:t>Retirement Plan</w:t>
      </w:r>
      <w:r>
        <w:rPr>
          <w:rFonts w:ascii="Times New Roman;sans-serif" w:hAnsi="Times New Roman;sans-serif"/>
          <w:b w:val="false"/>
          <w:color w:val="000000"/>
          <w:sz w:val="20"/>
        </w:rPr>
        <w:t>. During the Term of Employment, Beckwith shall be entitled to participate in retirement plans generally offered to other senior Bank executives.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0"/>
          <w:u w:val="single"/>
        </w:rPr>
        <w:t>Salary Continuation Agreement</w:t>
      </w:r>
      <w:r>
        <w:rPr>
          <w:rFonts w:ascii="Times New Roman;sans-serif" w:hAnsi="Times New Roman;sans-serif"/>
          <w:b w:val="false"/>
          <w:color w:val="000000"/>
          <w:sz w:val="20"/>
        </w:rPr>
        <w:t>. Beckwith shall be entitled to the benefits set forth in the Five Star Bank Salary Continuation Agreement dated September 1, 2007, as amended on December 31, 2008 and on July 1, 2014, all of which are attached hereto as Exhibit A (the “Salary Continuation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1.8</w:t>
      </w:r>
      <w:r>
        <w:rPr>
          <w:rFonts w:ascii="Times New Roman;sans-serif" w:hAnsi="Times New Roman;sans-serif"/>
          <w:b w:val="false"/>
          <w:color w:val="000000"/>
          <w:sz w:val="20"/>
          <w:u w:val="single"/>
        </w:rPr>
        <w:t>Automobile</w:t>
      </w:r>
      <w:r>
        <w:rPr>
          <w:rFonts w:ascii="Times New Roman;sans-serif" w:hAnsi="Times New Roman;sans-serif"/>
          <w:b w:val="false"/>
          <w:color w:val="000000"/>
          <w:sz w:val="20"/>
        </w:rPr>
        <w:t>. Bank shall provide an automobile or auto allowance to Beckwith at the discretion of the Committees.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1.9</w:t>
      </w:r>
      <w:r>
        <w:rPr>
          <w:rFonts w:ascii="Times New Roman;sans-serif" w:hAnsi="Times New Roman;sans-serif"/>
          <w:b w:val="false"/>
          <w:color w:val="000000"/>
          <w:sz w:val="20"/>
          <w:u w:val="single"/>
        </w:rPr>
        <w:t>Vacation</w:t>
      </w:r>
      <w:r>
        <w:rPr>
          <w:rFonts w:ascii="Times New Roman;sans-serif" w:hAnsi="Times New Roman;sans-serif"/>
          <w:b w:val="false"/>
          <w:color w:val="000000"/>
          <w:sz w:val="20"/>
        </w:rPr>
        <w:t>. During the Term of Employment, Beckwith shall be entitled to vacation according to Bank’s vacation policies.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pPr>
      <w:r>
        <w:rPr>
          <w:rFonts w:ascii="Times New Roman;sans-serif" w:hAnsi="Times New Roman;sans-serif"/>
          <w:b/>
          <w:color w:val="000000"/>
          <w:sz w:val="24"/>
        </w:rPr>
        <w:t>Article 4.</w:t>
      </w:r>
      <w:r>
        <w:rPr>
          <w:rFonts w:ascii="Times New Roman;sans-serif" w:hAnsi="Times New Roman;sans-serif"/>
          <w:b/>
          <w:color w:val="000000"/>
          <w:sz w:val="20"/>
        </w:rPr>
        <w:t>Beckwith’s Confidentiality, Unfair Competition and Related Obligations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0"/>
          <w:u w:val="single"/>
        </w:rPr>
        <w:t>Safeguarding Customer Information</w:t>
      </w:r>
      <w:r>
        <w:rPr>
          <w:rFonts w:ascii="Times New Roman;sans-serif" w:hAnsi="Times New Roman;sans-serif"/>
          <w:b w:val="false"/>
          <w:color w:val="000000"/>
          <w:sz w:val="20"/>
        </w:rPr>
        <w:t>. Beckwith has and will learn of, and come into possession of, non-public information regarding borrowers or prospective borrowers(“Customer Information”) . Beckwith agrees to comply with all Bank Group policies regarding Customer Information, to take all reasonable measures to ensure the security and confidentiality of Customer Information, to protect against any anticipated threats or hazards to the security of such information and to protect against the unauthorized access to or use of Customer Information, which could result in substantial harm or inconvenience to any borrower or prospective borrower. Beckwith agrees that he will use such Customer Information only for the limited purpose(s) for which it is disclosed, and for no other purpose. Beckwith further agrees to comply with all federal and state laws governing the disclosure of Customer Information. Customer Information includes, regardless of the form in which it is handled or maintained, without limitation, names, addresses, banking history, bank and credit card account numbers, income and credit information and social security numbers.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0"/>
          <w:u w:val="single"/>
        </w:rPr>
        <w:t>Confidential Information</w:t>
      </w:r>
      <w:r>
        <w:rPr>
          <w:rFonts w:ascii="Times New Roman;sans-serif" w:hAnsi="Times New Roman;sans-serif"/>
          <w:b w:val="false"/>
          <w:color w:val="000000"/>
          <w:sz w:val="20"/>
        </w:rPr>
        <w:t>. Beckwith acknowledges that Bank Group owns proprietary Confidential Information which constitutes a valuable, special and unique asset. This Confidential Information has been compiled and developed by Bank Group over time at considerable expense and effort, has not been divulged to third parties, and is not known to Bank Group’s competitors, who could have obtained economic value from such information had it been known. As used herein, the term “Confidential Information” includes all information and materials belonging to, used by, or in the possession of Bank Group relating to its products, processes, services, technologies, inventions, patents, ideas, contracts, forms, records, data, processes, financial information, business strategies, pricing, marketing plans, customer lists, and trade secrets of every kind and character, but shall not include (a) information that was already within the public domain at the time the information was acquired by Beckwith, or (b) information that subsequently becomes public through no act or omission of Beckwith or anyone at Beckwith’s direction. Beckwith agrees that all Confidential Information is and shall continue to be the exclusive property of Bank Group, whether or not prepared in whole or in part by Beckwith and whether or not disclosed to or entrusted to Beckwith’s custody. Beckwith’s obligation to preserve the secrecy of Confidential Information shall survive the termination or expiration of this Agreement and his employment. Upon termination of Beckwith’s employment, Beckwith agrees to return to Bank all files, papers, and materials of any kind containing or relating to Confidential Information or Customer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0"/>
          <w:u w:val="single"/>
        </w:rPr>
        <w:t>Non-Solicitation</w:t>
      </w:r>
      <w:r>
        <w:rPr>
          <w:rFonts w:ascii="Times New Roman;sans-serif" w:hAnsi="Times New Roman;sans-serif"/>
          <w:b w:val="false"/>
          <w:color w:val="000000"/>
          <w:sz w:val="20"/>
        </w:rPr>
        <w:t>. Beckwith acknowledges that Bank Group’s relationships with its employees are of important and immeasurable value, and Bank Group would be materially harmed if, following his termination of employment, Beckwith solicited Bank Group’s employees. Beckwith agrees that if Bank terminates Beckwith for any reason under Section 5.2, Beckwith leaves employment with Bank for any reason under Section 5.3, or Beckwith’s employment terminates on account of the expiration of the Term or a renewal period, then for a period of twenty-four (24) months following such termination, he shall not induce or attempt to induce any employee of Bank Group (a) to discontinue employment or association with Bank, (b) to obtain employment with a competitor of Bank Group, or (c) to provide services to Beckwith or any company or venture affiliated with Beckwith.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0"/>
          <w:u w:val="single"/>
        </w:rPr>
        <w:t>Non-Disparagement</w:t>
      </w:r>
      <w:r>
        <w:rPr>
          <w:rFonts w:ascii="Times New Roman;sans-serif" w:hAnsi="Times New Roman;sans-serif"/>
          <w:b w:val="false"/>
          <w:color w:val="000000"/>
          <w:sz w:val="20"/>
        </w:rPr>
        <w:t>. During and after the Term of Employment, Beckwith will not (a) make, publish or communicate, to any entity or person or in any public forum, any negative, defamatory, maliciously false or otherwise disparaging remarks, comments or statements concerning Bank Group or its officers, directors, employees, agents, business, products or services, or (b) make disparaging remarks which would violate Beckwith’s fiduciary duties. This Section 4.4 does not restrict or impede Beckwith from exercising rights under Section 7 of the National Labor Relations Act (or any other protected rights) to the extent that such rights cannot be waived by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0"/>
          <w:u w:val="single"/>
        </w:rPr>
        <w:t>Certain Disclosures</w:t>
      </w:r>
      <w:r>
        <w:rPr>
          <w:rFonts w:ascii="Times New Roman;sans-serif" w:hAnsi="Times New Roman;sans-serif"/>
          <w:b w:val="false"/>
          <w:color w:val="000000"/>
          <w:sz w:val="20"/>
        </w:rPr>
        <w:t>. Pursuant to the Defend Trade Secrets Act of 2016, Beckwith will not be held criminally or civilly liable under any federal or state trade secret law for any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that is filed under seal in a lawsuit or other proceeding. Nothing in this Agreement shall be construed to prevent disclosure of Confidential Information or Customer Information, or Beckwith providing truthful statements in order to comply with any applicable law or regulation or any valid order of a court of competent jurisdiction or an authorized government agency, provided that such compliance does not exceed the extent required by such law, regulation or order. To the extent permitted, Beckwith shall promptly provide written notice of any such order or requirement to the Board of Bank. Nothing in this Agreement prevents Beckwith from discussing or disclosing information about unlawful acts in the workplace, such as harassment or discrimination or any other conduct that Beckwith has reason to believe is unlawful.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0"/>
          <w:u w:val="single"/>
        </w:rPr>
        <w:t>Prior Agreements</w:t>
      </w:r>
      <w:r>
        <w:rPr>
          <w:rFonts w:ascii="Times New Roman;sans-serif" w:hAnsi="Times New Roman;sans-serif"/>
          <w:b w:val="false"/>
          <w:color w:val="000000"/>
          <w:sz w:val="20"/>
        </w:rPr>
        <w:t>. Beckwith represents and covenants that he is not bound by any agreement in effect with any prior employer, or anyone else, which would preclude, limit or in any manner restrict the performance of his duties under this Agreement or on behalf of Bank Group. Without limiting the foregoing, Beckwith expressly acknowledges and agrees that during the performance of his duties under this Agreement, he has not and will not violate the terms and conditions of any agreement with respect to the use or misappropriation of proprietary information or trade secrets of any former employer. Beckwith further acknowledges and agrees that he has not divulged or used any such information for the benefit of Bank Group.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pPr>
      <w:r>
        <w:rPr>
          <w:rFonts w:ascii="Times New Roman;sans-serif" w:hAnsi="Times New Roman;sans-serif"/>
          <w:b/>
          <w:color w:val="000000"/>
          <w:sz w:val="24"/>
        </w:rPr>
        <w:t>Article 5.</w:t>
      </w:r>
      <w:r>
        <w:rPr>
          <w:rFonts w:ascii="Times New Roman;sans-serif" w:hAnsi="Times New Roman;sans-serif"/>
          <w:b/>
          <w:color w:val="000000"/>
          <w:sz w:val="20"/>
        </w:rPr>
        <w:t>Termination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rPr/>
      </w:pPr>
      <w:r>
        <w:rPr>
          <w:rFonts w:ascii="Times New Roman;sans-serif" w:hAnsi="Times New Roman;sans-serif"/>
          <w:b w:val="false"/>
          <w:color w:val="000000"/>
          <w:sz w:val="22"/>
        </w:rPr>
        <w:t>1.1</w:t>
      </w:r>
      <w:r>
        <w:rPr>
          <w:rFonts w:ascii="Times New Roman;sans-serif" w:hAnsi="Times New Roman;sans-serif"/>
          <w:b w:val="false"/>
          <w:color w:val="000000"/>
          <w:sz w:val="20"/>
          <w:u w:val="single"/>
        </w:rPr>
        <w:t>Death or Disability</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In the event of Beckwith’s death during the Term of Employment, the Term of Employment shall automatically terminate.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0"/>
        </w:rPr>
        <w:t>Bank and Beckwith respectively shall each have the right to terminate the Term of Employment in the event of Beckwith’s Disability. “Disability” as used in this Agreement shall have the meaning set forth in Section 22(e)(3) of the Internal Revenue Code (the “Code”), which, as of the date of this Agreement, is as follows:</w: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An individual is permanently and totally disabled if he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termination of Beckwith’s employment by either party for Disability shall be communicated to the other party by written notice, and shall be effective on the tenth (10th) day after receipt of such notice by the other party (the “Disability Effective Date”), unless Beckwith returns to full-time performance of his duties before the Disability Effective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0"/>
          <w:u w:val="single"/>
        </w:rPr>
        <w:t>By Bank</w:t>
      </w:r>
      <w:r>
        <w:rPr>
          <w:rFonts w:ascii="Times New Roman;sans-serif" w:hAnsi="Times New Roman;sans-serif"/>
          <w:b w:val="false"/>
          <w:color w:val="00000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Bank shall have the right to terminate Beckwith’s employment for Cause. “Cause” as used in this Agreement shall mean: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0"/>
        </w:rPr>
        <w:t xml:space="preserve">Beckwith’s charge of or conviction by, or entry of a plea of guilty or </w:t>
      </w:r>
      <w:r>
        <w:rPr>
          <w:rFonts w:ascii="Times New Roman;sans-serif" w:hAnsi="Times New Roman;sans-serif"/>
          <w:b w:val="false"/>
          <w:i/>
          <w:color w:val="000000"/>
          <w:sz w:val="20"/>
        </w:rPr>
        <w:t>nolo contendere</w:t>
      </w:r>
      <w:r>
        <w:rPr>
          <w:color w:val="000000"/>
        </w:rPr>
        <w:t xml:space="preserve"> </w:t>
      </w:r>
      <w:r>
        <w:rPr>
          <w:rFonts w:ascii="Times New Roman;sans-serif" w:hAnsi="Times New Roman;sans-serif"/>
          <w:b w:val="false"/>
          <w:color w:val="000000"/>
          <w:sz w:val="20"/>
        </w:rPr>
        <w:t>in a court of competent jurisdiction, for any crime involving moral turpitude or a felony in the jurisdiction involved;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0"/>
        </w:rPr>
        <w:t>Beckwith’s willful refusal or negligent failure to perform Beckwith’s duties as required by this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0"/>
        </w:rPr>
        <w:t>Beckwith’s gross negligence, insubordination or material violation of any duty of loyalty or fiduciary duty to Bank Group or any other material misconduct on the part of Beckwith;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0"/>
        </w:rPr>
        <w:t>Revocation of any approvals required by the FDIC or the DFPI for Beckwith to perform his assigned duties and responsibilities with Bank Group, including without limitation, Beckwith’s removal or prohibition from participating in the conduct of Bank’s affairs by an order issued under section 8(e)(3) or (g)(1) of the Federal Deposit Insurance Act (12 U.S.C. §1818(e)(3) and (g)(1)) or sections 585-589 of the California Financial Code, or Beckwith otherwise becoming ineligible to perform his assigned duties under applicable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v)</w:t>
      </w:r>
      <w:r>
        <w:rPr>
          <w:rFonts w:ascii="Times New Roman;sans-serif" w:hAnsi="Times New Roman;sans-serif"/>
          <w:b w:val="false"/>
          <w:color w:val="000000"/>
          <w:sz w:val="20"/>
        </w:rPr>
        <w:t>Beckwith’s material failure to comply with all applicable federal, state and local laws, regulations, and/or ordinances governing his duties with Bank Group; 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vi)</w:t>
      </w:r>
      <w:r>
        <w:rPr>
          <w:rFonts w:ascii="Times New Roman;sans-serif" w:hAnsi="Times New Roman;sans-serif"/>
          <w:b w:val="false"/>
          <w:color w:val="000000"/>
          <w:sz w:val="20"/>
        </w:rPr>
        <w:t>Beckwith’s material breach of any other provision of this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0"/>
        </w:rPr>
        <w:t>Bank shall also have the right to terminate Beckwith’s employment without “Cause” at any time, with or without notice, subject solely to the requirements set forth in Section 5.8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rPr/>
      </w:pPr>
      <w:r>
        <w:rPr>
          <w:rFonts w:ascii="Times New Roman;sans-serif" w:hAnsi="Times New Roman;sans-serif"/>
          <w:b w:val="false"/>
          <w:color w:val="000000"/>
          <w:sz w:val="22"/>
        </w:rPr>
        <w:t>1.3</w:t>
      </w:r>
      <w:r>
        <w:rPr>
          <w:rFonts w:ascii="Times New Roman;sans-serif" w:hAnsi="Times New Roman;sans-serif"/>
          <w:b w:val="false"/>
          <w:color w:val="000000"/>
          <w:sz w:val="20"/>
          <w:u w:val="single"/>
        </w:rPr>
        <w:t>By Beckwith</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Beckwith shall have the right to terminate the Employment Term for Good Reason (as defined below), upon thirty (30) days’ written notice to Bank delivered within thirty (30) days following the occurrence of an event constituting Good Reason; provided that Bank shall have thirty (30) days after the date such notice has been received by Bank in which to cure the conduct specified in such notice. Beckwith’s continued employment during such thirty (30) day period shall not constitute Beckwith’s consent to, or a waiver of rights with respect to, any act or failure to act constituting Good Reason hereunder. For purposes of this Agreement “Good Reason” shall mean, without Beckwith’s consent: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0"/>
        </w:rPr>
        <w:t>a significant material adverse change in Beckwith’s position or responsibilities, including (1) following a change in control, Beckwith ceasing to serve as Chief Executive Officer of the acquiring or surviving entity, as applicable, (2) a material change in duties that represents a substantial reduction in the position or responsibilities in effect immediately prior thereto, or (3) the assignment to Beckwith of any significant duties or responsibilities that are materially inconsistent with such position or responsibilities; except in connection with the termination of Beckwith’s employment for Cause, as a result of his Disability or death, or by Beckwith other than for Good Reason;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0"/>
        </w:rPr>
        <w:t>a material reduction in Beckwith’s Base Salary other than in connection with a general reduction in wages for all senior executive employees of Bank;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0"/>
        </w:rPr>
        <w:t>Bank requiring Beckwith to be based at any place outside a sixty (60) mile radius of his initial place of employment with Bank, except for reasonably required travel on Bank’s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iv)</w:t>
      </w:r>
      <w:r>
        <w:rPr>
          <w:rFonts w:ascii="Times New Roman;sans-serif" w:hAnsi="Times New Roman;sans-serif"/>
          <w:b w:val="false"/>
          <w:color w:val="000000"/>
          <w:sz w:val="20"/>
        </w:rPr>
        <w:t>Bank’s failure to provide Beckwith with any material compensation, including salary, bonuses, and benefits, as outlined in this Agreement; 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v)</w:t>
      </w:r>
      <w:r>
        <w:rPr>
          <w:rFonts w:ascii="Times New Roman;sans-serif" w:hAnsi="Times New Roman;sans-serif"/>
          <w:b w:val="false"/>
          <w:color w:val="000000"/>
          <w:sz w:val="20"/>
        </w:rPr>
        <w:t>any material breach by Bank of its obligations to Beckwith under this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0"/>
        </w:rPr>
        <w:t>Beckwith shall have the right to terminate his employment hereunder without Good Reason by providing Bank with a written notice of termination, and such termination shall not in and of itself be a breach of this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0"/>
          <w:u w:val="single"/>
        </w:rPr>
        <w:t>Bank’s Default</w:t>
      </w:r>
      <w:r>
        <w:rPr>
          <w:rFonts w:ascii="Times New Roman;sans-serif" w:hAnsi="Times New Roman;sans-serif"/>
          <w:b w:val="false"/>
          <w:color w:val="000000"/>
          <w:sz w:val="20"/>
        </w:rPr>
        <w:t>. If Bank is in default (as defined in section 3(x)(1) of the Federal Deposit Insurance Act), all obligations under this Agreement shall terminate as of the date of default, except to the extent determined that continuation of the Agreement is necessary for the continued operation of Bank: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by the FDIC at the time the FDIC enters into an agreement to provide assistance to or on behalf of the association under the authority contained in 13(c) of the Federal Deposit Insurance Act; 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0"/>
        </w:rPr>
        <w:t>by the FDIC at the time of approval of a supervisory merger to resolve problems related to operation of the association or when the association is determined by the FDIC to be in an unsafe or unsound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0"/>
          <w:u w:val="single"/>
        </w:rPr>
        <w:t>Beckwith’s Temporary Suspension</w:t>
      </w:r>
      <w:r>
        <w:rPr>
          <w:rFonts w:ascii="Times New Roman;sans-serif" w:hAnsi="Times New Roman;sans-serif"/>
          <w:b w:val="false"/>
          <w:color w:val="000000"/>
          <w:sz w:val="20"/>
        </w:rPr>
        <w:t>. If Beckwith is suspended or temporarily prohibited from participating in the conduct of Bank’s or Bank Group’s affairs by a notice served under section 8(e)(3) or (g)(1) of the Federal Deposit Insurance Act (12 U.S.C. 1818(e)(3) and (g)(1)) or sections 585-589 of the California Financial Code, Bank’s obligations under this Agreement shall be suspended as of the date of service unless stayed by appropriate proceedings. If the charges in the notice are dismissed, Bank may in its discretion (i) pay Beckwith all or part of the compensation withheld while its obligations under this Agreement were suspended, and (ii) reinstate (in whole or in part) any of its obligations which were suspended.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0"/>
          <w:u w:val="single"/>
        </w:rPr>
        <w:t>Loan Files</w:t>
      </w:r>
      <w:r>
        <w:rPr>
          <w:rFonts w:ascii="Times New Roman;sans-serif" w:hAnsi="Times New Roman;sans-serif"/>
          <w:b w:val="false"/>
          <w:color w:val="000000"/>
          <w:sz w:val="20"/>
        </w:rPr>
        <w:t>. Upon termination of Beckwith’s employment for any reason, all loan files, whether pending or closed, shall remain with, or promptly be returned to Bank, at Bank’s election, along with any Confidential Information in Beckwith’s possession. Beckwith acknowledges and agrees that all such files and Confidential Information are the sole and exclusive property of Bank and no copies shall be retained by Beckwith.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0"/>
          <w:u w:val="single"/>
        </w:rPr>
        <w:t>Computers/Equipment</w:t>
      </w:r>
      <w:r>
        <w:rPr>
          <w:rFonts w:ascii="Times New Roman;sans-serif" w:hAnsi="Times New Roman;sans-serif"/>
          <w:b w:val="false"/>
          <w:color w:val="000000"/>
          <w:sz w:val="20"/>
        </w:rPr>
        <w:t>. Immediately upon the termination of Beckwith’s employment for any reason, any and all computer hardware and other equipment provided to Beckwith by Bank Group shall be returned to Bank.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rPr/>
      </w:pPr>
      <w:r>
        <w:rPr>
          <w:rFonts w:ascii="Times New Roman;sans-serif" w:hAnsi="Times New Roman;sans-serif"/>
          <w:b w:val="false"/>
          <w:color w:val="000000"/>
          <w:sz w:val="22"/>
        </w:rPr>
        <w:t>1.8</w:t>
      </w:r>
      <w:r>
        <w:rPr>
          <w:rFonts w:ascii="Times New Roman;sans-serif" w:hAnsi="Times New Roman;sans-serif"/>
          <w:b w:val="false"/>
          <w:color w:val="000000"/>
          <w:sz w:val="20"/>
          <w:u w:val="single"/>
        </w:rPr>
        <w:t>Effect of Termination Upon Beckwith’s Compensation</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 In the event Beckwith’s employment terminates for any reason, Beckwith shall be entitled to his Base Salary through the effective date of termination (the “Termination Date”), reimbursement for reasonable business expenses incurred through the Termination Date in accordance with Section 3.5, and benefits accrued and vested under the employee benefits plans in which Beckwith participants in accordance with the terms of such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0"/>
          <w:u w:val="single"/>
        </w:rPr>
        <w:t>Termination by Bank Without Cause or by Beckwith With Good Reason</w:t>
      </w:r>
      <w:r>
        <w:rPr>
          <w:rFonts w:ascii="Times New Roman;sans-serif" w:hAnsi="Times New Roman;sans-serif"/>
          <w:b w:val="false"/>
          <w:color w:val="00000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0"/>
        </w:rPr>
        <w:t>In the event Beckwith’s employment is terminated by Bank without Cause or should Beckwith terminate his employment for Good Reason in accordance with Section 5.3(a), then, in addition to the payments and benefits set forth in Section 5.8(a), subject to Beckwith complying with the requirements set forth in this Section 5.8(b), Beckwith shall receive a “Severance Payment” equal to the sum of (1) twenty-four (24) months of Base Salary plus (2) two (2) times the most recently paid annual cash bonus received by Beckwith. Subject to the other provisions set forth herein, the Severance Payment shall be paid in lump sum in the seventh (7th) month following termination and in accordance with the requirements of Section 409A of the Code. Beckwith shall not be entitled to any other severance or separation payments or benefits under any Bank Group policy, program or arrangement, except as may be provided under the Salary Continuation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2160"/>
        <w:jc w:val="both"/>
        <w:rPr/>
      </w:pPr>
      <w:r>
        <w:rPr>
          <w:rFonts w:ascii="Times New Roman;sans-serif" w:hAnsi="Times New Roman;sans-serif"/>
          <w:b w:val="false"/>
          <w:color w:val="000000"/>
          <w:sz w:val="22"/>
        </w:rPr>
        <w:t>ii)</w:t>
      </w:r>
      <w:r>
        <w:rPr>
          <w:rFonts w:ascii="Times New Roman;sans-serif" w:hAnsi="Times New Roman;sans-serif"/>
          <w:b w:val="false"/>
          <w:color w:val="000000"/>
          <w:sz w:val="20"/>
        </w:rPr>
        <w:t>Beckwith’s rights to the Severance Payment shall be conditioned on Beckwith signing and not revoking a separation agreement, in a form provided by Bank, that confirms Beckwith’s continuing obligations to Bank Group and includes a release of all claims against Bank Group and its affiliates, officers, directors, employees and related parties (the “Release Agreement”) and such Release Agreement becoming effective and irrevocable within sixty (60) days following the Termination Date. Beckwith’s rights to the Severance Payment shall also be conditioned on Beckwith complying with Beckwith’s continuing obligations under Article 4. In the event that Beckwith breaches or violates any such obligations, Beckwith will forfeit his right to receive any unpaid portion of the Severance Payment and will promptly repay to Bank any portion of the Severance Payment previously paid to Beckwith.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0"/>
          <w:u w:val="single"/>
        </w:rPr>
        <w:t>Golden Parachute Payments</w:t>
      </w:r>
      <w:r>
        <w:rPr>
          <w:rFonts w:ascii="Times New Roman;sans-serif" w:hAnsi="Times New Roman;sans-serif"/>
          <w:b w:val="false"/>
          <w:color w:val="000000"/>
          <w:sz w:val="20"/>
        </w:rPr>
        <w:t>. Bank Group shall have no obligation to make any Severance Payment or other payment that is prohibited by or subject to approval under section 359 of Title 12 of the Code of Federal Regulations. 12 C.F.R. § 359 (2011).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pPr>
      <w:r>
        <w:rPr>
          <w:rFonts w:ascii="Times New Roman;sans-serif" w:hAnsi="Times New Roman;sans-serif"/>
          <w:b/>
          <w:color w:val="000000"/>
          <w:sz w:val="24"/>
        </w:rPr>
        <w:t>Article 6.</w:t>
      </w:r>
      <w:r>
        <w:rPr>
          <w:rFonts w:ascii="Times New Roman;sans-serif" w:hAnsi="Times New Roman;sans-serif"/>
          <w:b/>
          <w:color w:val="000000"/>
          <w:sz w:val="20"/>
        </w:rPr>
        <w:t>Tax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0"/>
          <w:u w:val="single"/>
        </w:rPr>
        <w:t>Withholding</w:t>
      </w:r>
      <w:r>
        <w:rPr>
          <w:rFonts w:ascii="Times New Roman;sans-serif" w:hAnsi="Times New Roman;sans-serif"/>
          <w:b w:val="false"/>
          <w:color w:val="000000"/>
          <w:sz w:val="20"/>
        </w:rPr>
        <w:t xml:space="preserve">. All payments and benefits shall be subject to applicable taxes and withholding, as required by applicable law or authorized by Beckwith.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0"/>
          <w:u w:val="single"/>
        </w:rPr>
        <w:t>Section 409A</w:t>
      </w:r>
      <w:r>
        <w:rPr>
          <w:rFonts w:ascii="Times New Roman;sans-serif" w:hAnsi="Times New Roman;sans-serif"/>
          <w:b w:val="false"/>
          <w:color w:val="000000"/>
          <w:sz w:val="20"/>
        </w:rPr>
        <w:t>. The Parties intend that the payments and benefits under this Agreement comply with, or meet an exemption from, Section 409A of the Code, and this Agreement shall be interpreted consistent with this intent; provided, however, that nothing herein shall be transfer liability for any tax, including any tax under Section 409A of the Code, from Beckwith to Bank, Five Star Bancorp, or any other person or entity. Any payment that is subject to Section 409A of the Code and that is contingent on a termination of employment is contingent on a “separation from service” within the meaning of Section 409A of the Code. Each such payment shall be considered to be a separate payment for purposes of Section 409A of the Code. If, upon separation from service, Beckwith is a “specified employee” within the meaning of Section 409A, any payment under this Agreement that is subject to Section 409A of the Code, and triggered by a separation service, and would otherwise be paid within six months after Beckwith’s separation from service will instead be paid in the seventh month following Beckwith’s separation from service (to the extent required by Section 409A(a)(2)(B)(i)). Any taxable reimbursement shall be paid no later than December 31 of the year after the year in which the expense is incurred, and all taxable reimbursements and in-kind benefits shall be provided in accordance with Treas. Reg. § 1.409A-3(i)(1)(iv).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0"/>
          <w:u w:val="single"/>
        </w:rPr>
        <w:t>Section 280G “Best Net”</w:t>
      </w:r>
      <w:r>
        <w:rPr>
          <w:rFonts w:ascii="Times New Roman;sans-serif" w:hAnsi="Times New Roman;sans-serif"/>
          <w:b w:val="false"/>
          <w:color w:val="000000"/>
          <w:sz w:val="20"/>
        </w:rPr>
        <w:t xml:space="preserve">. If any payments or benefits to Beckwith under this Agreement or otherwise would constitute a “parachute payment” within the meaning of Section 280G of the Code and, but for this Section 6.3, would be subject to the excise tax imposed by Section 4999 of the Code (the “Excise Tax”), then Beckwith’s payments and benefits shall be reduced to the greatest amount that would not be subject to the Excise Tax if, after taking into account applicable federal, state, local and foreign income and employment taxes, the Excise Tax, and any other applicable taxes, Beckwith would retain a greater amount on an after-tax basis following such reduction. Payments and benefits shall be reduced in the following order, in each case, in reverse chronological order: (a) cash payments not subject to Section 409A of the Code; (b) cash payments subject to Section 409A of the Code; (c) equity-based payments and acceleration; and (d) non-cash forms of benefits. Unless Bank and Beckwith otherwise agree in writing, any determination required under this Section 6.3 shall be made by an accounting firm selected by Bank (the “Accountant”), whose determination shall be conclusive and binding. The Accountant may make reasonable assumptions and approximations concerning applicable taxes and may rely on reasonable, good faith interpretations concerning the application of Sections 280G and 4999 of the Code. Bank and Beckwith will furnish to the Accountant such information and documents as the Accountant may reasonably request in order to make a determination under this Section 6.3. Bank shall bear all costs the Accountant may reasonably incur in connection with such calculations.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pPr>
      <w:r>
        <w:rPr>
          <w:rFonts w:ascii="Times New Roman;sans-serif" w:hAnsi="Times New Roman;sans-serif"/>
          <w:b/>
          <w:color w:val="000000"/>
          <w:sz w:val="24"/>
        </w:rPr>
        <w:t>Article 7.</w:t>
      </w:r>
      <w:r>
        <w:rPr>
          <w:rFonts w:ascii="Times New Roman;sans-serif" w:hAnsi="Times New Roman;sans-serif"/>
          <w:b/>
          <w:color w:val="000000"/>
          <w:sz w:val="20"/>
        </w:rPr>
        <w:t>Notices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Any notice given hereunder by either Party to the other may be effected either by personal delivery in writing or by mail, registered or certified, postage prepaid, with return receipt requested. Mailed notices shall be addressed to the Parties at the following addresses: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Bank or Bank Group:        </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Chairman of the Board    </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Five Star Bank</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3100 Zinfandel Dr. #100</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Rancho Cordova, CA 95670</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James Beckwith: at the address in Bank’s payroll or personnel file</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Party may change his or its address by written notice in accordance with this section of the Agreement. Notices delivered personally shall be deemed communicated as of the actual date of receipt. Mailed notices shall be deemed communicated no later than three (3) business days after deposit in the United States mail.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pPr>
      <w:r>
        <w:rPr>
          <w:rFonts w:ascii="Times New Roman;sans-serif" w:hAnsi="Times New Roman;sans-serif"/>
          <w:b/>
          <w:color w:val="000000"/>
          <w:sz w:val="24"/>
        </w:rPr>
        <w:t>Article 8.</w:t>
      </w:r>
      <w:r>
        <w:rPr>
          <w:rFonts w:ascii="Times New Roman;sans-serif" w:hAnsi="Times New Roman;sans-serif"/>
          <w:b/>
          <w:color w:val="000000"/>
          <w:sz w:val="20"/>
        </w:rPr>
        <w:t>Dispute Resolution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0"/>
          <w:u w:val="single"/>
        </w:rPr>
        <w:t>Dispute Resolution Procedures</w:t>
      </w:r>
      <w:r>
        <w:rPr>
          <w:rFonts w:ascii="Times New Roman;sans-serif" w:hAnsi="Times New Roman;sans-serif"/>
          <w:b w:val="false"/>
          <w:color w:val="000000"/>
          <w:sz w:val="20"/>
        </w:rPr>
        <w:t xml:space="preserve">. Any controversy, claim, or dispute arising out of, relating to, or resulting from this Agreement or any other matter in any way relating to or arising out of Beckwith’s employment with Bank (collectively “Dispute”), shall first be subject to good faith negotiation between the Parties. If the </w:t>
      </w:r>
      <w:r>
        <w:br w:type="page"/>
      </w: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Dispute cannot be settled through negotiation, the Parties agree to attempt in good faith to settle the Dispute by mediation administered by JAMS, as set forth in Section 8.2. If the Parties are unsuccessful at resolving the Dispute through such mediation, the Parties agree to arbitration as set forth in Section 8.3. This Article 8 replaces all prior agreements regarding the resolution of disputes covered by this Agreement and is the full and final agreement relating to the formal resolution of disputes covered by this Agreement. This Article 8 shall survive the termination of Beckwith’s employment, and can only be revoked or modified by a writing signed by an officer of Bank and Beckwith, which specifically states an intent to revoke or modify this Article 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0"/>
          <w:u w:val="single"/>
        </w:rPr>
        <w:t>Mediation</w:t>
      </w:r>
      <w:r>
        <w:rPr>
          <w:rFonts w:ascii="Times New Roman;sans-serif" w:hAnsi="Times New Roman;sans-serif"/>
          <w:b w:val="false"/>
          <w:color w:val="000000"/>
          <w:sz w:val="20"/>
        </w:rPr>
        <w:t>. Either Party may commence mediation of a good faith Dispute by providing to the Judicial Arbitration and Mediation Services (“JAMS”) and the other Party a written request for mediation. Such request shall set forth the subject of the Dispute and the relief requested. The Parties will cooperate with JAMS and with one another in selecting a mediator from the JAMS panel of neutrals, and in scheduling the mediation proceedings which shall be conducted in Sacramento, California. The Parties covenant that they will participate in the mediation in good faith. All offers, promises, conduct and statements, whether oral or written, made in the course of the mediation by any of the Parties and/or their respective agents, employees, experts and attorneys, and by the mediator or any JAMS employees, are confidential, privileged, and inadmissible for any purpose, including impeachment, in any arbitration or other proceeding involving the Parties, provided that evidence that is otherwise admissible or discoverable shall not be rendered inadmissible or non-discoverable as a result of its use in the mediation.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0"/>
          <w:u w:val="single"/>
        </w:rPr>
        <w:t>Arbitration</w:t>
      </w:r>
      <w:r>
        <w:rPr>
          <w:rFonts w:ascii="Times New Roman;sans-serif" w:hAnsi="Times New Roman;sans-serif"/>
          <w:b w:val="false"/>
          <w:color w:val="00000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 xml:space="preserve">The Parties agree that any and all Disputes shall be subject to binding arbitration pursuant to the Federal Arbitration Act (9 U.S.C. sec. 1 et seq.) (the “FAA”). The FAA’s substantive and procedural provisions shall exclusively govern and apply with full force and effect to this Agreement, including its enforcement, and any state court of competent jurisdiction shall compel arbitration in the same manner as a federal court under the FAA. Both Bank and Beckwith are giving up any right that either of them might have to have a judge or jury decide any Dispute, and such Disputes include without limitation claims arising out of or relating to interpretation or application of this arbitration provision, including without limitation the enforceability, revocability, or validity of the arbitration provision. The Parties agree that the arbitrator’s award shall be final and binding on the Parties, provided that any award shall be reviewable by a court of law to the fullest extent allowed by law including for any error of law by the arbitrator. This provision to arbitrate shall not apply to Disputes that cannot be subject to a pre-dispute arbitration agreement, to claims for injunctive or other equitable relief as provided in Section 8.4, or to any claims or disputes arising out of or relating to any Bank plan subject to the Employee Retirement Income and Security Act (“ERISA”), which claims or disputes shall be subject to ERISA. The Parties further agree that the fullest extent permitted by law, any Dispute shall be brought in the individual capacity of Bank or Beckwith, and not as a collective or representative claim on behalf of any persons or class.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0"/>
        </w:rPr>
        <w:t xml:space="preserve">Any arbitration will be administered by JAMS, pursuant to each of its Employment Arbitration Rules &amp; Procedures and subject to JAMS Policy on Employment Arbitration Minimum Standards of Procedural Fairness, each as then in effect. A copy of the current JAMS rules can be obtained at </w:t>
      </w:r>
      <w:r>
        <w:rPr>
          <w:rFonts w:ascii="Times New Roman;sans-serif" w:hAnsi="Times New Roman;sans-serif"/>
          <w:b w:val="false"/>
          <w:color w:val="0000FF"/>
          <w:sz w:val="20"/>
          <w:u w:val="single"/>
        </w:rPr>
        <w:t>https://www.jamsadr.com/rules-employment-arbitration/</w:t>
      </w:r>
      <w:r>
        <w:rPr>
          <w:rFonts w:ascii="Times New Roman;sans-serif" w:hAnsi="Times New Roman;sans-serif"/>
          <w:b w:val="false"/>
          <w:color w:val="000000"/>
          <w:sz w:val="20"/>
        </w:rPr>
        <w:t xml:space="preserve">, or by requesting a copy from the Company. The Parties will each bear their own costs for legal representation, discovery, deposition, expert witnesses, and other legal costs ordinarily borne by a party in litigation. The Parties shall share the cost of the arbitrator and arbitration proceedings equally, except that the costs of the arbitrator and arbitration proceedings to be paid by Beckwith shall not exceed the amount Beckwith would have had to pay in court costs to initiate or respond to a civil action had the matter been pursued in court. The arbitrator shall have discretion to award monetary and other damages or to award no damages, and to fashion any other relief the arbitrator deems appropriate but only to the extent consistent with law. The Parties agree that the arbitrator shall have discretion to award the prevailing party reasonable costs and attorney’s fees incurred in bringing or defending a Dispute under this Section 8.3, to the fullest extent allowed by law at the time of the arbitration. Any award by the arbitrator shall be accompanied by a written statement of the factual and legal bases for the award. Any arbitration shall take place in the City of Sacramento, County of Sacramento, California, and both Bank and Beckwith agree to submit to the jurisdiction of the arbitrator.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0"/>
        </w:rPr>
        <w:t xml:space="preserve">Beckwith understands that this Agreement does not prohibit him from pursuing an administrative claim with a local, state, or federal administrative body or government agency that is authorized to </w:t>
      </w:r>
      <w:r>
        <w:br w:type="page"/>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enforce or administer laws related to employment. This Agreement does, however, preclude Beckwith from pursuing a court action regarding any such claim, except as permitted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0"/>
          <w:u w:val="single"/>
        </w:rPr>
        <w:t>Injunctive Relief</w:t>
      </w:r>
      <w:r>
        <w:rPr>
          <w:rFonts w:ascii="Times New Roman;sans-serif" w:hAnsi="Times New Roman;sans-serif"/>
          <w:b w:val="false"/>
          <w:color w:val="000000"/>
          <w:sz w:val="20"/>
        </w:rPr>
        <w:t>. In accordance with Rule 1281.8 of the California Code of Civil Procedure, the Parties agree that any Party may also petition the court for injunctive relief where either party alleges or claims a violation of Article 4 or any other agreement regarding intellectual property, confidential information or noninterference. In the event either Party seeks injunctive relief, the prevailing party shall be entitled to recover reasonable costs and attorneys’ fees to the extent permitted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pPr>
      <w:r>
        <w:rPr>
          <w:rFonts w:ascii="Times New Roman;sans-serif" w:hAnsi="Times New Roman;sans-serif"/>
          <w:b/>
          <w:color w:val="000000"/>
          <w:sz w:val="24"/>
        </w:rPr>
        <w:t>Article 9.</w:t>
      </w:r>
      <w:r>
        <w:rPr>
          <w:rFonts w:ascii="Times New Roman;sans-serif" w:hAnsi="Times New Roman;sans-serif"/>
          <w:b/>
          <w:color w:val="000000"/>
          <w:sz w:val="20"/>
        </w:rPr>
        <w:t>Miscellaneous Provisions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0"/>
          <w:u w:val="single"/>
        </w:rPr>
        <w:t>Integration</w:t>
      </w:r>
      <w:r>
        <w:rPr>
          <w:rFonts w:ascii="Times New Roman;sans-serif" w:hAnsi="Times New Roman;sans-serif"/>
          <w:b w:val="false"/>
          <w:color w:val="000000"/>
          <w:sz w:val="20"/>
        </w:rPr>
        <w:t>. This Agreement supersedes any and all other agreements, either oral or in writing, between Bank and Beckwith with respect to Beckwith’s performance of services as an agent or employee of Bank, including, without limitation, the 2019 Agreement, and contains all the covenants and agreements between the Parties with respect to such services in any manner whatsoever. Each Party to this Agreement acknowledges that no representations, inducements, promises or agreements, oral or otherwise, have been made by the other Party which are not embodied herein, and that no other agreement statement or promise not contained in this Agreement shall be valid or binding.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0"/>
          <w:u w:val="single"/>
        </w:rPr>
        <w:t>Assignment</w:t>
      </w:r>
      <w:r>
        <w:rPr>
          <w:rFonts w:ascii="Times New Roman;sans-serif" w:hAnsi="Times New Roman;sans-serif"/>
          <w:b w:val="false"/>
          <w:color w:val="000000"/>
          <w:sz w:val="20"/>
        </w:rPr>
        <w:t>. This Agreement may not be assigned by Beckwith, but shall inure to the benefit of, and shall be binding upon, the successors and assigns of Bank.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0"/>
          <w:u w:val="single"/>
        </w:rPr>
        <w:t>Receipt of Agreement</w:t>
      </w:r>
      <w:r>
        <w:rPr>
          <w:rFonts w:ascii="Times New Roman;sans-serif" w:hAnsi="Times New Roman;sans-serif"/>
          <w:b w:val="false"/>
          <w:color w:val="000000"/>
          <w:sz w:val="20"/>
        </w:rPr>
        <w:t>. Each of the Parties acknowledges that he or it has read this Agreement in its entirety and hereby acknowledges receipt of a fully-executed copy thereof.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0"/>
          <w:u w:val="single"/>
        </w:rPr>
        <w:t>Governing Law/Jurisdiction/Venue</w:t>
      </w:r>
      <w:r>
        <w:rPr>
          <w:rFonts w:ascii="Times New Roman;sans-serif" w:hAnsi="Times New Roman;sans-serif"/>
          <w:b w:val="false"/>
          <w:color w:val="000000"/>
          <w:sz w:val="20"/>
        </w:rPr>
        <w:t>. This Agreement shall be governed by and construed under the laws of the State of California, without regard to its conflicts of laws principles. The Parties agree that any action taken to enforce the terms of this Agreement, including judicial action not inconsistent with the arbitration provisions hereunder, shall come under the jurisdiction of, and be properly heard and adjudicated in the Courts of the State of California and that venue shall be proper in the County of Sacramento.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0"/>
          <w:u w:val="single"/>
        </w:rPr>
        <w:t>Captions and Section Headings</w:t>
      </w:r>
      <w:r>
        <w:rPr>
          <w:rFonts w:ascii="Times New Roman;sans-serif" w:hAnsi="Times New Roman;sans-serif"/>
          <w:b w:val="false"/>
          <w:color w:val="000000"/>
          <w:sz w:val="20"/>
        </w:rPr>
        <w:t>. Captions and section headings used herein are for convenience only and are not part of this Agreement and shall not be used in construing 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0"/>
          <w:u w:val="single"/>
        </w:rPr>
        <w:t>Amendments and Waiver</w:t>
      </w:r>
      <w:r>
        <w:rPr>
          <w:rFonts w:ascii="Times New Roman;sans-serif" w:hAnsi="Times New Roman;sans-serif"/>
          <w:b w:val="false"/>
          <w:color w:val="000000"/>
          <w:sz w:val="20"/>
        </w:rPr>
        <w:t>. This Agreement may be amended from time to time only by a writing signed by both Parties. A waiver of any of the terms and conditions hereof shall not be construed as a waiver of any other provision, nor shall any waiver constitute a continuing waiver or commit a-Party to providing a waiver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0"/>
          <w:u w:val="single"/>
        </w:rPr>
        <w:t>Survival</w:t>
      </w:r>
      <w:r>
        <w:rPr>
          <w:rFonts w:ascii="Times New Roman;sans-serif" w:hAnsi="Times New Roman;sans-serif"/>
          <w:b w:val="false"/>
          <w:color w:val="000000"/>
          <w:sz w:val="20"/>
        </w:rPr>
        <w:t>. The covenants, agreements, representations and warranties made herein shall survive the termination of this Agreement, unless the context clearly provides otherwise. Specific survival provisions shall not lessen the survival nature of provisions without such specificity.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1.8</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If a court or arbitrator of competent jurisdiction finds any provision in this Agreement to be invalid, illegal, or otherwise unenforceable, that determination will not affect any other provision of this Agreement. The invalid provision will be severed from this Agreement and all remaining provisions will continue to be enforceable by their terms and of full force and effect.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1.9</w:t>
      </w:r>
      <w:r>
        <w:rPr>
          <w:rFonts w:ascii="Times New Roman;sans-serif" w:hAnsi="Times New Roman;sans-serif"/>
          <w:b w:val="false"/>
          <w:color w:val="000000"/>
          <w:sz w:val="20"/>
          <w:u w:val="single"/>
        </w:rPr>
        <w:t>Interpretation</w:t>
      </w:r>
      <w:r>
        <w:rPr>
          <w:rFonts w:ascii="Times New Roman;sans-serif" w:hAnsi="Times New Roman;sans-serif"/>
          <w:b w:val="false"/>
          <w:color w:val="000000"/>
          <w:sz w:val="20"/>
        </w:rPr>
        <w:t>. Any ambiguity in the language, words, phrases, gender identifiers, sentences, or provisions contained herein is not to be interpreted against a Party merely by reason of that Party having drafted, suggested, transcribed, or dictated such provision. In interpreting this Agreement the intentions of the Parties, as expressed in this Agreement, shall be paramount and this Agreement shall be read as a whole document in order to ascertain the intentions of the Parties with respect to any particular word, phrase, sentence, or provision. This Agreement shall not be deemed to have been prepared or drafted by one Party or another, and shall be construed accordingly.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1.10</w:t>
      </w:r>
      <w:r>
        <w:rPr>
          <w:rFonts w:ascii="Times New Roman;sans-serif" w:hAnsi="Times New Roman;sans-serif"/>
          <w:b w:val="false"/>
          <w:color w:val="000000"/>
          <w:sz w:val="20"/>
          <w:u w:val="single"/>
        </w:rPr>
        <w:t>Rights and Remedies</w:t>
      </w:r>
      <w:r>
        <w:rPr>
          <w:rFonts w:ascii="Times New Roman;sans-serif" w:hAnsi="Times New Roman;sans-serif"/>
          <w:b w:val="false"/>
          <w:color w:val="000000"/>
          <w:sz w:val="20"/>
        </w:rPr>
        <w:t>. No right, power or remedy conferred upon a party in this Agreement shall be exclusive, and each such right, power and remedy shall be cumulative and in addition to every other right, power, or remedy, whether conferred in this Agreement or any other agreement, or now or hereafter available at law or in equity or by statute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1.11</w:t>
      </w:r>
      <w:r>
        <w:rPr>
          <w:rFonts w:ascii="Times New Roman;sans-serif" w:hAnsi="Times New Roman;sans-serif"/>
          <w:b w:val="false"/>
          <w:color w:val="000000"/>
          <w:sz w:val="20"/>
          <w:u w:val="single"/>
        </w:rPr>
        <w:t>Third-party Beneficiary</w:t>
      </w:r>
      <w:r>
        <w:rPr>
          <w:rFonts w:ascii="Times New Roman;sans-serif" w:hAnsi="Times New Roman;sans-serif"/>
          <w:b w:val="false"/>
          <w:color w:val="000000"/>
          <w:sz w:val="20"/>
        </w:rPr>
        <w:t>. This Agreement has been made by, and is made solely for the benefit of Bank Group, Bank Group’s successors and assigns. Nothing in this Agreement is intended to confer any rights or remedies under or because of this Agreement on any persons or entities other than the Parties to it and Bank Group’s successors and assigns. Nothing in this Agreement is intended to relieve or discharge the obligation or liability of any third persons or entities to any Party to this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ind w:left="0" w:right="0" w:firstLine="720"/>
        <w:jc w:val="both"/>
        <w:rPr/>
      </w:pPr>
      <w:r>
        <w:rPr>
          <w:rFonts w:ascii="Times New Roman;sans-serif" w:hAnsi="Times New Roman;sans-serif"/>
          <w:b w:val="false"/>
          <w:color w:val="000000"/>
          <w:sz w:val="22"/>
        </w:rPr>
        <w:t>1.12</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executed in counterparts, each of which shall constitute an original, but all of which together shall constitute one and the same instrument. The Parties agree that a signed copy of this Agreement transmitted by one Party to the other by facsimile transmission shall be binding upon the sending Party to the same extent as a signed original of this Agreement.</w:t>
      </w:r>
    </w:p>
    <w:p>
      <w:pPr>
        <w:pStyle w:val="TextBody"/>
        <w:spacing w:lineRule="auto" w:line="240" w:before="0" w:after="480"/>
        <w:rPr>
          <w:rFonts w:ascii="Times New Roman;sans-serif" w:hAnsi="Times New Roman;sans-serif"/>
          <w:b w:val="false"/>
          <w:color w:val="000000"/>
          <w:sz w:val="20"/>
        </w:rPr>
      </w:pPr>
      <w:r>
        <w:rPr>
          <w:rFonts w:ascii="Times New Roman;sans-serif" w:hAnsi="Times New Roman;sans-serif"/>
          <w:b w:val="false"/>
          <w:color w:val="000000"/>
          <w:sz w:val="20"/>
        </w:rPr>
        <w:t>This Agreement is entered into by and between the Parties as of the above written Effective Date.</w:t>
      </w:r>
    </w:p>
    <w:p>
      <w:pPr>
        <w:pStyle w:val="TextBody"/>
        <w:spacing w:lineRule="auto" w:line="240" w:before="0" w:after="0"/>
        <w:rPr/>
      </w:pPr>
      <w:r>
        <w:rPr>
          <w:rFonts w:ascii="Times New Roman;sans-serif" w:hAnsi="Times New Roman;sans-serif"/>
          <w:b w:val="false"/>
          <w:color w:val="000000"/>
          <w:sz w:val="20"/>
        </w:rPr>
        <w:t>Dated: 3/23/2022    </w:t>
      </w:r>
      <w:r>
        <w:rPr>
          <w:rFonts w:ascii="Times New Roman;sans-serif" w:hAnsi="Times New Roman;sans-serif"/>
          <w:b w:val="false"/>
          <w:color w:val="000000"/>
          <w:sz w:val="20"/>
          <w:u w:val="single"/>
        </w:rPr>
        <w:t>/s/ James Beckwith</w:t>
      </w:r>
      <w:r>
        <w:rPr>
          <w:color w:val="000000"/>
          <w:u w:val="single"/>
        </w:rPr>
        <w:t>    </w:t>
      </w:r>
    </w:p>
    <w:p>
      <w:pPr>
        <w:pStyle w:val="TextBody"/>
        <w:spacing w:lineRule="auto" w:line="240" w:before="0" w:after="480"/>
        <w:rPr>
          <w:rFonts w:ascii="Times New Roman;sans-serif" w:hAnsi="Times New Roman;sans-serif"/>
          <w:b w:val="false"/>
          <w:color w:val="000000"/>
          <w:sz w:val="20"/>
        </w:rPr>
      </w:pPr>
      <w:r>
        <w:rPr>
          <w:rFonts w:ascii="Times New Roman;sans-serif" w:hAnsi="Times New Roman;sans-serif"/>
          <w:b w:val="false"/>
          <w:color w:val="000000"/>
          <w:sz w:val="20"/>
        </w:rPr>
        <w:t>JAMES BECKWITH</w:t>
      </w:r>
    </w:p>
    <w:p>
      <w:pPr>
        <w:pStyle w:val="TextBody"/>
        <w:spacing w:lineRule="auto" w:line="240" w:before="0" w:after="480"/>
        <w:rPr>
          <w:rFonts w:ascii="Times New Roman;sans-serif" w:hAnsi="Times New Roman;sans-serif"/>
          <w:b w:val="false"/>
          <w:color w:val="000000"/>
          <w:sz w:val="20"/>
        </w:rPr>
      </w:pPr>
      <w:r>
        <w:rPr>
          <w:rFonts w:ascii="Times New Roman;sans-serif" w:hAnsi="Times New Roman;sans-serif"/>
          <w:b w:val="false"/>
          <w:color w:val="000000"/>
          <w:sz w:val="20"/>
        </w:rPr>
        <w:t>Dated: 3/23/2022    FIVE STAR BANK</w:t>
      </w:r>
    </w:p>
    <w:p>
      <w:pPr>
        <w:pStyle w:val="TextBody"/>
        <w:spacing w:lineRule="auto" w:line="240"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David J. Lucchetti</w:t>
      </w:r>
      <w:r>
        <w:rPr>
          <w:color w:val="000000"/>
          <w:u w:val="single"/>
        </w:rPr>
        <w:t>    </w:t>
      </w:r>
    </w:p>
    <w:p>
      <w:pPr>
        <w:pStyle w:val="TextBody"/>
        <w:spacing w:lineRule="auto" w:line="240" w:before="0" w:after="0"/>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David J. Lucchetti    </w:t>
      </w:r>
    </w:p>
    <w:p>
      <w:pPr>
        <w:pStyle w:val="TextBody"/>
        <w:spacing w:lineRule="auto" w:line="240" w:before="0" w:after="240"/>
        <w:rPr/>
      </w:pPr>
      <w:r>
        <w:rPr>
          <w:rFonts w:ascii="Times New Roman;sans-serif" w:hAnsi="Times New Roman;sans-serif"/>
          <w:b w:val="false"/>
          <w:color w:val="000000"/>
          <w:sz w:val="20"/>
        </w:rPr>
        <w:t xml:space="preserve">Its: </w:t>
      </w:r>
      <w:r>
        <w:rPr>
          <w:rFonts w:ascii="Times New Roman;sans-serif" w:hAnsi="Times New Roman;sans-serif"/>
          <w:b w:val="false"/>
          <w:color w:val="000000"/>
          <w:sz w:val="20"/>
          <w:u w:val="single"/>
        </w:rPr>
        <w:t>Board Chairperson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Attachment:</w:t>
      </w:r>
    </w:p>
    <w:p>
      <w:pPr>
        <w:pStyle w:val="TextBody"/>
        <w:spacing w:lineRule="auto" w:line="240"/>
        <w:rPr>
          <w:rFonts w:ascii="Times New Roman;sans-serif" w:hAnsi="Times New Roman;sans-serif"/>
          <w:b w:val="false"/>
          <w:color w:val="000000"/>
          <w:sz w:val="20"/>
        </w:rPr>
      </w:pPr>
      <w:r>
        <w:rPr>
          <w:rFonts w:ascii="Times New Roman;sans-serif" w:hAnsi="Times New Roman;sans-serif"/>
          <w:b w:val="false"/>
          <w:color w:val="000000"/>
          <w:sz w:val="20"/>
        </w:rPr>
        <w:t>Exhibit A: Five Star Bank Salary Continuation Agreement and amendments</w:t>
      </w:r>
      <w:r>
        <w:br w:type="page"/>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Five Star Bank Salary Continuation Agreement</w:t>
      </w:r>
    </w:p>
    <w:p>
      <w:pPr>
        <w:pStyle w:val="TextBody"/>
        <w:rPr/>
      </w:pPr>
      <w:r>
        <w:rPr/>
      </w:r>
      <w:r>
        <w:br w:type="page"/>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FIVE STAR BANK</w:t>
        <w:br/>
        <w:t>SALARY CONTINUATION AGREEMENT</w:t>
      </w:r>
    </w:p>
    <w:p>
      <w:pPr>
        <w:pStyle w:val="TextBody"/>
        <w:spacing w:lineRule="auto" w:line="240" w:before="0" w:after="240"/>
        <w:ind w:left="0" w:right="0" w:firstLine="720"/>
        <w:jc w:val="both"/>
        <w:rPr/>
      </w:pPr>
      <w:r>
        <w:rPr>
          <w:rFonts w:ascii="Times New Roman;sans-serif" w:hAnsi="Times New Roman;sans-serif"/>
          <w:b w:val="false"/>
          <w:color w:val="000000"/>
          <w:sz w:val="20"/>
        </w:rPr>
        <w:t>THIS SALARY CONTINUATION AGREEMENT (this “Agreement”) is adopted this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day of September, 2007, by and between FIVE STAR BANK, located in Rocklin, California (the “Bank”), and JAMES BECKWITH (the “Executive”).</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this Agreement is to provide specified benefits to the Executive, a member of a select group of management or highly compensated employees who contribute materially to the continued growth, development and future business success of the Bank. This Agreement shall be unfunded for tax purposes and for purposes of Title I of the Employee Retirement Income Security Act of 1974 (“ERISA”), as amended from time to time.</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Article 1 </w:t>
        <w:br/>
        <w:t>Definitions</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Whenever used in this Agreement, the following words and phrases shall have the meanings specified:</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1.1    “</w:t>
      </w:r>
      <w:r>
        <w:rPr>
          <w:rFonts w:ascii="Times New Roman;sans-serif" w:hAnsi="Times New Roman;sans-serif"/>
          <w:b w:val="false"/>
          <w:color w:val="000000"/>
          <w:sz w:val="20"/>
          <w:u w:val="single"/>
        </w:rPr>
        <w:t>Beneficiary</w:t>
      </w:r>
      <w:r>
        <w:rPr>
          <w:color w:val="000000"/>
        </w:rPr>
        <w:t xml:space="preserve">” </w:t>
      </w:r>
      <w:r>
        <w:rPr>
          <w:rFonts w:ascii="Times New Roman;sans-serif" w:hAnsi="Times New Roman;sans-serif"/>
          <w:b w:val="false"/>
          <w:color w:val="000000"/>
          <w:sz w:val="20"/>
        </w:rPr>
        <w:t>means each designated person or entity, or the estate of the deceased Executive, entitled to any benefits upon the death of the Executive pursuant to Article 4.</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1.2    “</w:t>
      </w:r>
      <w:r>
        <w:rPr>
          <w:rFonts w:ascii="Times New Roman;sans-serif" w:hAnsi="Times New Roman;sans-serif"/>
          <w:b w:val="false"/>
          <w:color w:val="000000"/>
          <w:sz w:val="20"/>
          <w:u w:val="single"/>
        </w:rPr>
        <w:t>Beneficiary Designation Form</w:t>
      </w:r>
      <w:r>
        <w:rPr>
          <w:color w:val="000000"/>
        </w:rPr>
        <w:t xml:space="preserve">” </w:t>
      </w:r>
      <w:r>
        <w:rPr>
          <w:rFonts w:ascii="Times New Roman;sans-serif" w:hAnsi="Times New Roman;sans-serif"/>
          <w:b w:val="false"/>
          <w:color w:val="000000"/>
          <w:sz w:val="20"/>
        </w:rPr>
        <w:t>means the form established from time to time by the Plan Administrator that the Executive completes, signs and returns to the Plan Administrator to designate one or more Beneficiaries.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1.3    “</w:t>
      </w:r>
      <w:r>
        <w:rPr>
          <w:rFonts w:ascii="Times New Roman;sans-serif" w:hAnsi="Times New Roman;sans-serif"/>
          <w:b w:val="false"/>
          <w:color w:val="000000"/>
          <w:sz w:val="20"/>
          <w:u w:val="single"/>
        </w:rPr>
        <w:t>Board</w:t>
      </w:r>
      <w:r>
        <w:rPr>
          <w:color w:val="000000"/>
        </w:rPr>
        <w:t xml:space="preserve">” </w:t>
      </w:r>
      <w:r>
        <w:rPr>
          <w:rFonts w:ascii="Times New Roman;sans-serif" w:hAnsi="Times New Roman;sans-serif"/>
          <w:b w:val="false"/>
          <w:color w:val="000000"/>
          <w:sz w:val="20"/>
        </w:rPr>
        <w:t>means the Board of Directors of the Bank as from time to time constituted.</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1.4    “</w:t>
      </w:r>
      <w:r>
        <w:rPr>
          <w:rFonts w:ascii="Times New Roman;sans-serif" w:hAnsi="Times New Roman;sans-serif"/>
          <w:b w:val="false"/>
          <w:color w:val="000000"/>
          <w:sz w:val="20"/>
          <w:u w:val="single"/>
        </w:rPr>
        <w:t>Change in Control</w:t>
      </w:r>
      <w:r>
        <w:rPr>
          <w:color w:val="000000"/>
        </w:rPr>
        <w:t xml:space="preserve">” </w:t>
      </w:r>
      <w:r>
        <w:rPr>
          <w:rFonts w:ascii="Times New Roman;sans-serif" w:hAnsi="Times New Roman;sans-serif"/>
          <w:b w:val="false"/>
          <w:color w:val="000000"/>
          <w:sz w:val="20"/>
        </w:rPr>
        <w:t>means a change in the ownership or effective control of the Bank, or in the ownership of a substantial portion of the assets of the Bank, as such change is defined in Code Section 409A and regulations thereunder.</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1.5    “</w:t>
      </w:r>
      <w:r>
        <w:rPr>
          <w:rFonts w:ascii="Times New Roman;sans-serif" w:hAnsi="Times New Roman;sans-serif"/>
          <w:b w:val="false"/>
          <w:color w:val="000000"/>
          <w:sz w:val="20"/>
          <w:u w:val="single"/>
        </w:rPr>
        <w:t>Code</w:t>
      </w:r>
      <w:r>
        <w:rPr>
          <w:color w:val="000000"/>
        </w:rPr>
        <w:t xml:space="preserve">” </w:t>
      </w:r>
      <w:r>
        <w:rPr>
          <w:rFonts w:ascii="Times New Roman;sans-serif" w:hAnsi="Times New Roman;sans-serif"/>
          <w:b w:val="false"/>
          <w:color w:val="000000"/>
          <w:sz w:val="20"/>
        </w:rPr>
        <w:t>means the Internal Revenue Code of 1986, as amended, and all regulations and guidance thereunder, including such regulations and guidance as may be promulgated after the Effective Date.</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1.6    “</w:t>
      </w:r>
      <w:r>
        <w:rPr>
          <w:rFonts w:ascii="Times New Roman;sans-serif" w:hAnsi="Times New Roman;sans-serif"/>
          <w:b w:val="false"/>
          <w:color w:val="000000"/>
          <w:sz w:val="20"/>
          <w:u w:val="single"/>
        </w:rPr>
        <w:t>Early Termination</w:t>
      </w:r>
      <w:r>
        <w:rPr>
          <w:color w:val="000000"/>
        </w:rPr>
        <w:t xml:space="preserve">” </w:t>
      </w:r>
      <w:r>
        <w:rPr>
          <w:rFonts w:ascii="Times New Roman;sans-serif" w:hAnsi="Times New Roman;sans-serif"/>
          <w:b w:val="false"/>
          <w:color w:val="000000"/>
          <w:sz w:val="20"/>
        </w:rPr>
        <w:t>means the Executive’s Separation from Service before attainment of Normal Retirement Age except when such Separation from Service occurs due to death or Termination for Cause or is made with Good Reason within twenty-four (24) months following Change in Control.</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1.7    “</w:t>
      </w:r>
      <w:r>
        <w:rPr>
          <w:rFonts w:ascii="Times New Roman;sans-serif" w:hAnsi="Times New Roman;sans-serif"/>
          <w:b w:val="false"/>
          <w:color w:val="000000"/>
          <w:sz w:val="20"/>
          <w:u w:val="single"/>
        </w:rPr>
        <w:t>Effective Date</w:t>
      </w:r>
      <w:r>
        <w:rPr>
          <w:color w:val="000000"/>
        </w:rPr>
        <w:t xml:space="preserve">” </w:t>
      </w:r>
      <w:r>
        <w:rPr>
          <w:rFonts w:ascii="Times New Roman;sans-serif" w:hAnsi="Times New Roman;sans-serif"/>
          <w:b w:val="false"/>
          <w:color w:val="000000"/>
          <w:sz w:val="20"/>
        </w:rPr>
        <w:t>means September 1, 2007.</w:t>
      </w:r>
    </w:p>
    <w:p>
      <w:pPr>
        <w:pStyle w:val="TextBody"/>
        <w:spacing w:lineRule="auto" w:line="240" w:before="0" w:after="0"/>
        <w:jc w:val="both"/>
        <w:rPr/>
      </w:pPr>
      <w:r>
        <w:rPr>
          <w:color w:val="000000"/>
        </w:rPr>
        <w:t>    </w:t>
      </w:r>
      <w:r>
        <w:rPr>
          <w:rFonts w:ascii="Times New Roman;sans-serif" w:hAnsi="Times New Roman;sans-serif"/>
          <w:b w:val="false"/>
          <w:color w:val="000000"/>
          <w:sz w:val="20"/>
        </w:rPr>
        <w:t>1.8    “</w:t>
      </w:r>
      <w:r>
        <w:rPr>
          <w:rFonts w:ascii="Times New Roman;sans-serif" w:hAnsi="Times New Roman;sans-serif"/>
          <w:b w:val="false"/>
          <w:color w:val="000000"/>
          <w:sz w:val="20"/>
          <w:u w:val="single"/>
        </w:rPr>
        <w:t>Good Reason</w:t>
      </w:r>
      <w:r>
        <w:rPr>
          <w:color w:val="000000"/>
        </w:rPr>
        <w:t xml:space="preserve">” </w:t>
      </w:r>
      <w:r>
        <w:rPr>
          <w:rFonts w:ascii="Times New Roman;sans-serif" w:hAnsi="Times New Roman;sans-serif"/>
          <w:b w:val="false"/>
          <w:color w:val="000000"/>
          <w:sz w:val="20"/>
        </w:rPr>
        <w:t>means the occurrence of any of the following events prior to Normal Retirement Age:</w:t>
      </w:r>
    </w:p>
    <w:p>
      <w:pPr>
        <w:pStyle w:val="TextBody"/>
        <w:spacing w:lineRule="auto" w:line="240" w:before="0" w:after="0"/>
        <w:jc w:val="both"/>
        <w:rPr>
          <w:color w:val="000000"/>
        </w:rPr>
      </w:pPr>
      <w:r>
        <w:rPr>
          <w:color w:val="000000"/>
        </w:rPr>
        <w:t> </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(a)    Without the Executive’s express written consent, the assignment to the Executive of any material duties or responsibilities inconsistent with the Executive’s positions, or a change in the Executive’s reporting responsibilities, titles, or offices, or any removal of the Executive from or any failure to re-elect the Executive to any of such positions;</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(b)    A reduction by the Bank in the Executive’s base salary;</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(c)    The Bank requiring the Executive to be based anywhere beyond one hundred (100) miles from the location where the Executive is based on the date of a Change in Control except for required travel on the Bank business to an extent substantially consistent with the Executive’s present business travel obligations or, in the event the Executive consents to any relocation, the failure by the Bank to pay (or reimburse the Executive) for all reasonable moving expenses incurred by the Executive relating to a change of the Executive’s principal residence in connection with such relocation and to indemnify the Executive against any loss realized on the sale of the Executive’s principal residence in connection with any such change of residence.</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1.9    “</w:t>
      </w:r>
      <w:r>
        <w:rPr>
          <w:rFonts w:ascii="Times New Roman;sans-serif" w:hAnsi="Times New Roman;sans-serif"/>
          <w:b w:val="false"/>
          <w:color w:val="000000"/>
          <w:sz w:val="20"/>
          <w:u w:val="single"/>
        </w:rPr>
        <w:t>Normal Retirement Age</w:t>
      </w:r>
      <w:r>
        <w:rPr>
          <w:color w:val="000000"/>
        </w:rPr>
        <w:t xml:space="preserve">” </w:t>
      </w:r>
      <w:r>
        <w:rPr>
          <w:rFonts w:ascii="Times New Roman;sans-serif" w:hAnsi="Times New Roman;sans-serif"/>
          <w:b w:val="false"/>
          <w:color w:val="000000"/>
          <w:sz w:val="20"/>
        </w:rPr>
        <w:t>means the Executive’s age sixty-five (65).</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1.10    “</w:t>
      </w:r>
      <w:r>
        <w:rPr>
          <w:rFonts w:ascii="Times New Roman;sans-serif" w:hAnsi="Times New Roman;sans-serif"/>
          <w:b w:val="false"/>
          <w:color w:val="000000"/>
          <w:sz w:val="20"/>
          <w:u w:val="single"/>
        </w:rPr>
        <w:t>Plan Administrator</w:t>
      </w:r>
      <w:r>
        <w:rPr>
          <w:color w:val="000000"/>
        </w:rPr>
        <w:t xml:space="preserve">” </w:t>
      </w:r>
      <w:r>
        <w:rPr>
          <w:rFonts w:ascii="Times New Roman;sans-serif" w:hAnsi="Times New Roman;sans-serif"/>
          <w:b w:val="false"/>
          <w:color w:val="000000"/>
          <w:sz w:val="20"/>
        </w:rPr>
        <w:t>means the Board or such committee or person as the Board shall appoint.</w:t>
      </w:r>
      <w:r>
        <w:br w:type="page"/>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40" w:before="0" w:after="240"/>
        <w:jc w:val="both"/>
        <w:rPr/>
      </w:pPr>
      <w:r>
        <w:rPr>
          <w:color w:val="000000"/>
        </w:rPr>
        <w:t>    </w:t>
      </w:r>
      <w:r>
        <w:rPr>
          <w:rFonts w:ascii="Times New Roman;sans-serif" w:hAnsi="Times New Roman;sans-serif"/>
          <w:b w:val="false"/>
          <w:color w:val="000000"/>
          <w:sz w:val="20"/>
        </w:rPr>
        <w:t>1.11    “</w:t>
      </w:r>
      <w:r>
        <w:rPr>
          <w:rFonts w:ascii="Times New Roman;sans-serif" w:hAnsi="Times New Roman;sans-serif"/>
          <w:b w:val="false"/>
          <w:color w:val="000000"/>
          <w:sz w:val="20"/>
          <w:u w:val="single"/>
        </w:rPr>
        <w:t>Plan Year</w:t>
      </w:r>
      <w:r>
        <w:rPr>
          <w:color w:val="000000"/>
        </w:rPr>
        <w:t xml:space="preserve">” </w:t>
      </w:r>
      <w:r>
        <w:rPr>
          <w:rFonts w:ascii="Times New Roman;sans-serif" w:hAnsi="Times New Roman;sans-serif"/>
          <w:b w:val="false"/>
          <w:color w:val="000000"/>
          <w:sz w:val="20"/>
        </w:rPr>
        <w:t>means each twelve (12) month period commencing on January 1 and ending on December 31 of each year. The initial Plan Year shall commence on the Effective Date of this Agreement and end on the following December 31.</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1.12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means the schedule attached to this Agreement and made a part hereof. Schedule A shall be updated upon a change in any of the benefits under Articles 2 or 3.</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1.13    “</w:t>
      </w:r>
      <w:r>
        <w:rPr>
          <w:rFonts w:ascii="Times New Roman;sans-serif" w:hAnsi="Times New Roman;sans-serif"/>
          <w:b w:val="false"/>
          <w:color w:val="000000"/>
          <w:sz w:val="20"/>
          <w:u w:val="single"/>
        </w:rPr>
        <w:t>Separation from Service</w:t>
      </w:r>
      <w:r>
        <w:rPr>
          <w:color w:val="000000"/>
        </w:rPr>
        <w:t xml:space="preserve">” </w:t>
      </w:r>
      <w:r>
        <w:rPr>
          <w:rFonts w:ascii="Times New Roman;sans-serif" w:hAnsi="Times New Roman;sans-serif"/>
          <w:b w:val="false"/>
          <w:color w:val="000000"/>
          <w:sz w:val="20"/>
        </w:rPr>
        <w:t>means termination of the Executive’s employment with the Bank for reasons other than death. Whether a Separation from Service has occurred is determined in accordance with the requirements of Code Section 409A based on whether the facts and circumstances indicate that the Bank and Executive reasonably anticipated that no further services would be performed after a certain date or that the level of bona fide services the Executive would perform after such date (whether as an employee or as an independent contractor) would permanently decrease to no more than twenty percent (20%) of the average level of bona fide services performed (whether as an employee or an independent contractor) over the immediately preceding thirty-six (36) month period (or the full period of services to the Bank if the Executive has been providing services to the Bank less than thirty-six (36) months).</w:t>
      </w:r>
    </w:p>
    <w:p>
      <w:pPr>
        <w:pStyle w:val="TextBody"/>
        <w:spacing w:lineRule="auto" w:line="240" w:before="0" w:after="0"/>
        <w:jc w:val="both"/>
        <w:rPr/>
      </w:pPr>
      <w:r>
        <w:rPr>
          <w:color w:val="000000"/>
        </w:rPr>
        <w:t>    </w:t>
      </w:r>
      <w:r>
        <w:rPr>
          <w:rFonts w:ascii="Times New Roman;sans-serif" w:hAnsi="Times New Roman;sans-serif"/>
          <w:b w:val="false"/>
          <w:color w:val="000000"/>
          <w:sz w:val="20"/>
        </w:rPr>
        <w:t>1.14    “</w:t>
      </w:r>
      <w:r>
        <w:rPr>
          <w:rFonts w:ascii="Times New Roman;sans-serif" w:hAnsi="Times New Roman;sans-serif"/>
          <w:b w:val="false"/>
          <w:color w:val="000000"/>
          <w:sz w:val="20"/>
          <w:u w:val="single"/>
        </w:rPr>
        <w:t>Specified Employee</w:t>
      </w:r>
      <w:r>
        <w:rPr>
          <w:color w:val="000000"/>
        </w:rPr>
        <w:t xml:space="preserve">” </w:t>
      </w:r>
      <w:r>
        <w:rPr>
          <w:rFonts w:ascii="Times New Roman;sans-serif" w:hAnsi="Times New Roman;sans-serif"/>
          <w:b w:val="false"/>
          <w:color w:val="000000"/>
          <w:sz w:val="20"/>
        </w:rPr>
        <w:t>means an employee who at the time of Separation from Service is a key employee of the Bank, if any stock of the Bank is publicly traded on an established securities market or otherwise. For purposes of this Agreement, an employee is a key employee if the employee meets the requirements of Code Section 416(i)(1)(A)(i), (ii), or (iii) (applied in accordance with the regulations thereunder and disregarding section 416(i)(5)) at any time during the twelve (12) month period ending on December 31 (the “identification period”). If the employee is a key employee during an identification period, the employee is treated as a key employee for purposes of this Agreement during the twelve (12) month period that begins on the first day of April following the close of the identification period.</w:t>
      </w:r>
    </w:p>
    <w:p>
      <w:pPr>
        <w:pStyle w:val="TextBody"/>
        <w:spacing w:lineRule="auto" w:line="240" w:before="0" w:after="0"/>
        <w:jc w:val="both"/>
        <w:rPr>
          <w:color w:val="000000"/>
        </w:rPr>
      </w:pPr>
      <w:r>
        <w:rPr>
          <w:color w:val="000000"/>
        </w:rPr>
        <w:t> </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1.15    “</w:t>
      </w:r>
      <w:r>
        <w:rPr>
          <w:rFonts w:ascii="Times New Roman;sans-serif" w:hAnsi="Times New Roman;sans-serif"/>
          <w:b w:val="false"/>
          <w:color w:val="000000"/>
          <w:sz w:val="20"/>
          <w:u w:val="single"/>
        </w:rPr>
        <w:t>Termination for Cause</w:t>
      </w:r>
      <w:r>
        <w:rPr>
          <w:color w:val="000000"/>
        </w:rPr>
        <w:t xml:space="preserve">” </w:t>
      </w:r>
      <w:r>
        <w:rPr>
          <w:rFonts w:ascii="Times New Roman;sans-serif" w:hAnsi="Times New Roman;sans-serif"/>
          <w:b w:val="false"/>
          <w:color w:val="000000"/>
          <w:sz w:val="20"/>
        </w:rPr>
        <w:t>means Separation from Service for:</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a)    Gross negligence or gross neglect of duties to the Bank;</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b)    Conviction of a felony or of a gross misdemeanor involving moral turpitude in connection with the Executive’s employment with the Bank; or</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c)    Fraud, disloyalty, dishonesty or willful violation of any law or significant Bank policy committed in connection with the Executive’s employment and resulting in a material adverse effect on the Bank.</w:t>
      </w:r>
    </w:p>
    <w:p>
      <w:pPr>
        <w:pStyle w:val="TextBody"/>
        <w:spacing w:lineRule="auto" w:line="240" w:before="0" w:after="240"/>
        <w:jc w:val="both"/>
        <w:rPr/>
      </w:pPr>
      <w:r>
        <w:rPr>
          <w:color w:val="000000"/>
        </w:rPr>
        <w:t>    </w:t>
      </w:r>
      <w:r>
        <w:rPr>
          <w:rFonts w:ascii="Times New Roman;sans-serif" w:hAnsi="Times New Roman;sans-serif"/>
          <w:b w:val="false"/>
          <w:color w:val="000000"/>
          <w:sz w:val="20"/>
        </w:rPr>
        <w:t>1.16    “</w:t>
      </w:r>
      <w:r>
        <w:rPr>
          <w:rFonts w:ascii="Times New Roman;sans-serif" w:hAnsi="Times New Roman;sans-serif"/>
          <w:b w:val="false"/>
          <w:color w:val="000000"/>
          <w:sz w:val="20"/>
          <w:u w:val="single"/>
        </w:rPr>
        <w:t>Years of Participation</w:t>
      </w:r>
      <w:r>
        <w:rPr>
          <w:color w:val="000000"/>
        </w:rPr>
        <w:t xml:space="preserve">” </w:t>
      </w:r>
      <w:r>
        <w:rPr>
          <w:rFonts w:ascii="Times New Roman;sans-serif" w:hAnsi="Times New Roman;sans-serif"/>
          <w:b w:val="false"/>
          <w:color w:val="000000"/>
          <w:sz w:val="20"/>
        </w:rPr>
        <w:t>means the consecutive twelve (12) month period beginning on the Effective Date of this Agreement and any twelve (12) month anniversary thereof during the entirety of which time the Executive is a participant in this Agreement.</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Article 2 </w:t>
        <w:br/>
        <w:t>Distributions During Lifetime</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2.1    </w:t>
      </w:r>
      <w:r>
        <w:rPr>
          <w:rFonts w:ascii="Times New Roman;sans-serif" w:hAnsi="Times New Roman;sans-serif"/>
          <w:b w:val="false"/>
          <w:color w:val="000000"/>
          <w:sz w:val="20"/>
          <w:u w:val="single"/>
        </w:rPr>
        <w:t>Normal Retirement Benefit</w:t>
      </w:r>
      <w:r>
        <w:rPr>
          <w:rFonts w:ascii="Times New Roman;sans-serif" w:hAnsi="Times New Roman;sans-serif"/>
          <w:b w:val="false"/>
          <w:color w:val="000000"/>
          <w:sz w:val="20"/>
        </w:rPr>
        <w:t>. At Normal Retirement Age, the Bank shall distribute to the Executive the benefit described in this Section 2.1 in lieu of any other benefit under this Article.</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2.1.1    </w:t>
      </w:r>
      <w:r>
        <w:rPr>
          <w:rFonts w:ascii="Times New Roman;sans-serif" w:hAnsi="Times New Roman;sans-serif"/>
          <w:b w:val="false"/>
          <w:color w:val="000000"/>
          <w:sz w:val="20"/>
          <w:u w:val="single"/>
        </w:rPr>
        <w:t>Amount of Benefit</w:t>
      </w:r>
      <w:r>
        <w:rPr>
          <w:rFonts w:ascii="Times New Roman;sans-serif" w:hAnsi="Times New Roman;sans-serif"/>
          <w:b w:val="false"/>
          <w:color w:val="000000"/>
          <w:sz w:val="20"/>
        </w:rPr>
        <w:t>. The annual benefit under this Section 2.1 is One Hundred Twenty-Five Thousand Dollars ($125,000).</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2.1.2    </w:t>
      </w:r>
      <w:r>
        <w:rPr>
          <w:rFonts w:ascii="Times New Roman;sans-serif" w:hAnsi="Times New Roman;sans-serif"/>
          <w:b w:val="false"/>
          <w:color w:val="000000"/>
          <w:sz w:val="20"/>
          <w:u w:val="single"/>
        </w:rPr>
        <w:t>Distribution of Benefit</w:t>
      </w:r>
      <w:r>
        <w:rPr>
          <w:rFonts w:ascii="Times New Roman;sans-serif" w:hAnsi="Times New Roman;sans-serif"/>
          <w:b w:val="false"/>
          <w:color w:val="000000"/>
          <w:sz w:val="20"/>
        </w:rPr>
        <w:t>. The Bank shall distribute the annual benefit to the Executive in twelve (12) equal monthly installments commencing on the first day of the month following Normal Retirement Age. The annual benefit shall be distributed to the Executive for ten (10) years.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2.2    </w:t>
      </w:r>
      <w:r>
        <w:rPr>
          <w:rFonts w:ascii="Times New Roman;sans-serif" w:hAnsi="Times New Roman;sans-serif"/>
          <w:b w:val="false"/>
          <w:color w:val="000000"/>
          <w:sz w:val="20"/>
          <w:u w:val="single"/>
        </w:rPr>
        <w:t>Early Termination Benefit</w:t>
      </w:r>
      <w:r>
        <w:rPr>
          <w:rFonts w:ascii="Times New Roman;sans-serif" w:hAnsi="Times New Roman;sans-serif"/>
          <w:b w:val="false"/>
          <w:color w:val="000000"/>
          <w:sz w:val="20"/>
        </w:rPr>
        <w:t>. If Early Termination occurs, the Bank shall distribute to the Executive the benefit described in this Section 2.2 in lieu of any other benefit under this Article.</w:t>
      </w:r>
    </w:p>
    <w:p>
      <w:pPr>
        <w:pStyle w:val="TextBody"/>
        <w:spacing w:lineRule="auto" w:line="240" w:before="0" w:after="0"/>
        <w:jc w:val="both"/>
        <w:rPr/>
      </w:pPr>
      <w:r>
        <w:rPr>
          <w:color w:val="000000"/>
        </w:rPr>
        <w:t>    </w:t>
      </w:r>
      <w:r>
        <w:rPr>
          <w:rFonts w:ascii="Times New Roman;sans-serif" w:hAnsi="Times New Roman;sans-serif"/>
          <w:b w:val="false"/>
          <w:color w:val="000000"/>
          <w:sz w:val="20"/>
        </w:rPr>
        <w:t>2.2.1    </w:t>
      </w:r>
      <w:r>
        <w:rPr>
          <w:rFonts w:ascii="Times New Roman;sans-serif" w:hAnsi="Times New Roman;sans-serif"/>
          <w:b w:val="false"/>
          <w:color w:val="000000"/>
          <w:sz w:val="20"/>
          <w:u w:val="single"/>
        </w:rPr>
        <w:t>Amount of Benefit</w:t>
      </w:r>
      <w:r>
        <w:rPr>
          <w:rFonts w:ascii="Times New Roman;sans-serif" w:hAnsi="Times New Roman;sans-serif"/>
          <w:b w:val="false"/>
          <w:color w:val="000000"/>
          <w:sz w:val="20"/>
        </w:rPr>
        <w:t>. The annual benefit under this Section 2.2 shall be a percentage of the Normal Retirement Benefit described in Section 2.1.1, determined according to the following table:</w:t>
      </w:r>
    </w:p>
    <w:p>
      <w:pPr>
        <w:pStyle w:val="TextBody"/>
        <w:spacing w:lineRule="auto" w:line="240"/>
        <w:rPr>
          <w:color w:val="000000"/>
        </w:rPr>
      </w:pPr>
      <w:r>
        <w:rPr>
          <w:color w:val="000000"/>
        </w:rPr>
        <w:t> </w:t>
      </w:r>
      <w:r>
        <w:br w:type="page"/>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tbl>
      <w:tblPr>
        <w:tblW w:w="6254" w:type="dxa"/>
        <w:jc w:val="left"/>
        <w:tblInd w:w="0" w:type="dxa"/>
        <w:tblCellMar>
          <w:top w:w="28" w:type="dxa"/>
          <w:left w:w="28" w:type="dxa"/>
          <w:bottom w:w="28" w:type="dxa"/>
          <w:right w:w="28" w:type="dxa"/>
        </w:tblCellMar>
      </w:tblPr>
      <w:tblGrid>
        <w:gridCol w:w="1108"/>
        <w:gridCol w:w="975"/>
        <w:gridCol w:w="977"/>
        <w:gridCol w:w="933"/>
        <w:gridCol w:w="933"/>
        <w:gridCol w:w="1328"/>
      </w:tblGrid>
      <w:tr>
        <w:trPr/>
        <w:tc>
          <w:tcPr>
            <w:tcW w:w="110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Completed Years of Participation at </w:t>
              <w:br/>
              <w:t>Separation from Service</w:t>
            </w:r>
          </w:p>
        </w:tc>
        <w:tc>
          <w:tcPr>
            <w:tcW w:w="319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 of Normal Retirement Benefit</w:t>
            </w:r>
          </w:p>
        </w:tc>
      </w:tr>
      <w:tr>
        <w:trPr/>
        <w:tc>
          <w:tcPr>
            <w:tcW w:w="306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19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06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9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06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9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306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9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306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or more</w:t>
            </w:r>
          </w:p>
        </w:tc>
        <w:tc>
          <w:tcPr>
            <w:tcW w:w="319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spacing w:lineRule="auto" w:line="240" w:before="0" w:after="0"/>
        <w:rPr>
          <w:color w:val="000000"/>
        </w:rPr>
      </w:pPr>
      <w:r>
        <w:rPr>
          <w:color w:val="000000"/>
        </w:rPr>
        <w:t> </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2.2.2    </w:t>
      </w:r>
      <w:r>
        <w:rPr>
          <w:rFonts w:ascii="Times New Roman;sans-serif" w:hAnsi="Times New Roman;sans-serif"/>
          <w:b w:val="false"/>
          <w:color w:val="000000"/>
          <w:sz w:val="20"/>
          <w:u w:val="single"/>
        </w:rPr>
        <w:t>Distribution of Benefit</w:t>
      </w:r>
      <w:r>
        <w:rPr>
          <w:rFonts w:ascii="Times New Roman;sans-serif" w:hAnsi="Times New Roman;sans-serif"/>
          <w:b w:val="false"/>
          <w:color w:val="000000"/>
          <w:sz w:val="20"/>
        </w:rPr>
        <w:t>. The Bank shall distribute the annual benefit to the Executive in twelve (12) equal monthly installments commencing on the first day of the month following Normal Retirement Age. The annual benefit shall be distributed to the Executive for ten (10) years.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2.3    </w:t>
      </w:r>
      <w:r>
        <w:rPr>
          <w:rFonts w:ascii="Times New Roman;sans-serif" w:hAnsi="Times New Roman;sans-serif"/>
          <w:b w:val="false"/>
          <w:color w:val="000000"/>
          <w:sz w:val="20"/>
          <w:u w:val="single"/>
        </w:rPr>
        <w:t>Change in Control Benefit</w:t>
      </w:r>
      <w:r>
        <w:rPr>
          <w:rFonts w:ascii="Times New Roman;sans-serif" w:hAnsi="Times New Roman;sans-serif"/>
          <w:b w:val="false"/>
          <w:color w:val="000000"/>
          <w:sz w:val="20"/>
        </w:rPr>
        <w:t>. If a Change in Control occurs, followed within twenty-four (24) months by Separation from Service for Good Reason the Bank shall distribute to the Executive the benefit described in this Section 2.3 in lieu of any other benefit under this Article.</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2.3.1    </w:t>
      </w:r>
      <w:r>
        <w:rPr>
          <w:rFonts w:ascii="Times New Roman;sans-serif" w:hAnsi="Times New Roman;sans-serif"/>
          <w:b w:val="false"/>
          <w:color w:val="000000"/>
          <w:sz w:val="20"/>
          <w:u w:val="single"/>
        </w:rPr>
        <w:t>Amount of Benefit</w:t>
      </w:r>
      <w:r>
        <w:rPr>
          <w:rFonts w:ascii="Times New Roman;sans-serif" w:hAnsi="Times New Roman;sans-serif"/>
          <w:b w:val="false"/>
          <w:color w:val="000000"/>
          <w:sz w:val="20"/>
        </w:rPr>
        <w:t>. The annual benefit under this Section 2.3 is the Normal Retirement Benefit amount described in Section 2.1.1.</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2.3.2    </w:t>
      </w:r>
      <w:r>
        <w:rPr>
          <w:rFonts w:ascii="Times New Roman;sans-serif" w:hAnsi="Times New Roman;sans-serif"/>
          <w:b w:val="false"/>
          <w:color w:val="000000"/>
          <w:sz w:val="20"/>
          <w:u w:val="single"/>
        </w:rPr>
        <w:t>Distribution of Benefit</w:t>
      </w:r>
      <w:r>
        <w:rPr>
          <w:rFonts w:ascii="Times New Roman;sans-serif" w:hAnsi="Times New Roman;sans-serif"/>
          <w:b w:val="false"/>
          <w:color w:val="000000"/>
          <w:sz w:val="20"/>
        </w:rPr>
        <w:t>. The Bank shall distribute the benefit to the Executive in twelve (12) equal monthly installments commencing on the first day of the month following Normal Retirement Age. The annual benefit shall be distributed to the Executive for ten (10) years.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2.4    </w:t>
      </w:r>
      <w:r>
        <w:rPr>
          <w:rFonts w:ascii="Times New Roman;sans-serif" w:hAnsi="Times New Roman;sans-serif"/>
          <w:b w:val="false"/>
          <w:color w:val="000000"/>
          <w:sz w:val="20"/>
          <w:u w:val="single"/>
        </w:rPr>
        <w:t>Restriction on Commencement of Distributions</w:t>
      </w:r>
      <w:r>
        <w:rPr>
          <w:rFonts w:ascii="Times New Roman;sans-serif" w:hAnsi="Times New Roman;sans-serif"/>
          <w:b w:val="false"/>
          <w:color w:val="000000"/>
          <w:sz w:val="20"/>
        </w:rPr>
        <w:t>. Notwithstanding any provision of this Agreement to the contrary, if the Executive is considered a Specified Employee, the provisions of this Section 2.4 shall govern all distributions hereunder. If benefit distributions which would otherwise be made to the Executive due to Separation from Service are limited because the Executive is a Specified Employee, then such distributions shall not be made during the first six (6) months following Separation from Service. Rather, any distribution which would otherwise be paid to the Executive during such period shall be accumulated and paid to the Executive in a lump sum on the first day of the seventh month following Separation from Service. All subsequent distributions shall be paid in the manner specified.</w:t>
      </w:r>
    </w:p>
    <w:p>
      <w:pPr>
        <w:pStyle w:val="TextBody"/>
        <w:spacing w:lineRule="auto" w:line="240" w:before="0" w:after="0"/>
        <w:jc w:val="both"/>
        <w:rPr/>
      </w:pPr>
      <w:r>
        <w:rPr>
          <w:color w:val="000000"/>
        </w:rPr>
        <w:t>    </w:t>
      </w:r>
      <w:r>
        <w:rPr>
          <w:rFonts w:ascii="Times New Roman;sans-serif" w:hAnsi="Times New Roman;sans-serif"/>
          <w:b w:val="false"/>
          <w:color w:val="000000"/>
          <w:sz w:val="20"/>
        </w:rPr>
        <w:t>2.5    </w:t>
      </w:r>
      <w:r>
        <w:rPr>
          <w:rFonts w:ascii="Times New Roman;sans-serif" w:hAnsi="Times New Roman;sans-serif"/>
          <w:b w:val="false"/>
          <w:color w:val="000000"/>
          <w:sz w:val="20"/>
          <w:u w:val="single"/>
        </w:rPr>
        <w:t>Distributions Upon Taxation of Amounts Deferred</w:t>
      </w:r>
      <w:r>
        <w:rPr>
          <w:rFonts w:ascii="Times New Roman;sans-serif" w:hAnsi="Times New Roman;sans-serif"/>
          <w:b w:val="false"/>
          <w:color w:val="000000"/>
          <w:sz w:val="20"/>
        </w:rPr>
        <w:t>. If, pursuant to Code Section 409A, the Federal Insurance Contributions Act or other state, local or foreign tax, the Executive becomes subject to tax on the amounts deferred hereunder, then the Bank may make a limited distribution to the Executive in a manner that conforms to the requirements of Code section 409A. Any such distribution will decrease the Executive’s benefits distributable under this Agreement.</w:t>
      </w:r>
    </w:p>
    <w:p>
      <w:pPr>
        <w:pStyle w:val="TextBody"/>
        <w:spacing w:lineRule="auto" w:line="240" w:before="0" w:after="0"/>
        <w:rPr>
          <w:color w:val="000000"/>
        </w:rPr>
      </w:pPr>
      <w:r>
        <w:rPr>
          <w:color w:val="000000"/>
        </w:rPr>
        <w:t> </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2.7    </w:t>
      </w:r>
      <w:r>
        <w:rPr>
          <w:rFonts w:ascii="Times New Roman;sans-serif" w:hAnsi="Times New Roman;sans-serif"/>
          <w:b w:val="false"/>
          <w:color w:val="000000"/>
          <w:sz w:val="20"/>
          <w:u w:val="single"/>
        </w:rPr>
        <w:t>Change in Form or Timing of Distributions</w:t>
      </w:r>
      <w:r>
        <w:rPr>
          <w:rFonts w:ascii="Times New Roman;sans-serif" w:hAnsi="Times New Roman;sans-serif"/>
          <w:b w:val="false"/>
          <w:color w:val="000000"/>
          <w:sz w:val="20"/>
        </w:rPr>
        <w:t>. For distribution of benefits under this Article 2, the Executive and the Bank may, subject to the terms of Section 8.1, amend this Agreement to delay the timing or change the form of distributions. Any such amendment:</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a)    may not accelerate the time or schedule of any distribution, except as provided in Code Section 409A;</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b)    must, for benefits distributable under Sections 2.1, 2.2 and 2.3, be made at least twelve (12) months prior to the first scheduled distribution</w:t>
      </w:r>
    </w:p>
    <w:p>
      <w:pPr>
        <w:pStyle w:val="TextBody"/>
        <w:spacing w:lineRule="auto" w:line="240" w:before="0" w:after="240"/>
        <w:jc w:val="both"/>
        <w:rPr/>
      </w:pPr>
      <w:r>
        <w:rPr>
          <w:color w:val="000000"/>
        </w:rPr>
        <w:t>    </w:t>
      </w:r>
      <w:r>
        <w:rPr>
          <w:rFonts w:ascii="Times New Roman;sans-serif" w:hAnsi="Times New Roman;sans-serif"/>
          <w:b w:val="false"/>
          <w:color w:val="000000"/>
          <w:sz w:val="20"/>
        </w:rPr>
        <w:t xml:space="preserve">c)    must, for benefits distributable under Sections 2.1, 2.2 and 2.3, delay the commencement of distributions for a minimum of five (5) years from the date the first distribution was originally scheduled to be made; </w:t>
      </w:r>
      <w:r>
        <w:rPr>
          <w:rFonts w:ascii="Times New Roman;sans-serif" w:hAnsi="Times New Roman;sans-serif"/>
          <w:b w:val="false"/>
          <w:color w:val="000000"/>
          <w:sz w:val="20"/>
          <w:u w:val="single"/>
        </w:rPr>
        <w:t>and</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d)    must take effect not less than twelve (12) months after the amendment is made.</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Article 3 </w:t>
        <w:br/>
        <w:t>Distribution at Death</w:t>
      </w:r>
    </w:p>
    <w:p>
      <w:pPr>
        <w:pStyle w:val="TextBody"/>
        <w:spacing w:lineRule="auto" w:line="240" w:before="0" w:after="240"/>
        <w:jc w:val="both"/>
        <w:rPr/>
      </w:pPr>
      <w:r>
        <w:rPr>
          <w:color w:val="000000"/>
        </w:rPr>
        <w:t>    </w:t>
      </w:r>
      <w:r>
        <w:rPr>
          <w:rFonts w:ascii="Times New Roman;sans-serif" w:hAnsi="Times New Roman;sans-serif"/>
          <w:b w:val="false"/>
          <w:color w:val="000000"/>
          <w:sz w:val="20"/>
        </w:rPr>
        <w:t>3.1    </w:t>
      </w:r>
      <w:r>
        <w:rPr>
          <w:rFonts w:ascii="Times New Roman;sans-serif" w:hAnsi="Times New Roman;sans-serif"/>
          <w:b w:val="false"/>
          <w:color w:val="000000"/>
          <w:sz w:val="20"/>
          <w:u w:val="single"/>
        </w:rPr>
        <w:t>Death During Active Service</w:t>
      </w:r>
      <w:r>
        <w:rPr>
          <w:rFonts w:ascii="Times New Roman;sans-serif" w:hAnsi="Times New Roman;sans-serif"/>
          <w:b w:val="false"/>
          <w:color w:val="000000"/>
          <w:sz w:val="20"/>
        </w:rPr>
        <w:t>. If the Executive dies prior to Separation from Service, the Bank shall distribute to the Beneficiary the benefit described in this Section 3.1. This benefit shall be distributed in lieu of any benefit under Article 2.</w:t>
      </w:r>
      <w:r>
        <w:br w:type="page"/>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40" w:before="0" w:after="240"/>
        <w:jc w:val="both"/>
        <w:rPr/>
      </w:pPr>
      <w:r>
        <w:rPr>
          <w:color w:val="000000"/>
        </w:rPr>
        <w:t>    </w:t>
      </w:r>
      <w:r>
        <w:rPr>
          <w:rFonts w:ascii="Times New Roman;sans-serif" w:hAnsi="Times New Roman;sans-serif"/>
          <w:b w:val="false"/>
          <w:color w:val="000000"/>
          <w:sz w:val="20"/>
        </w:rPr>
        <w:t>3.1.1    </w:t>
      </w:r>
      <w:r>
        <w:rPr>
          <w:rFonts w:ascii="Times New Roman;sans-serif" w:hAnsi="Times New Roman;sans-serif"/>
          <w:b w:val="false"/>
          <w:color w:val="000000"/>
          <w:sz w:val="20"/>
          <w:u w:val="single"/>
        </w:rPr>
        <w:t>Amount of Benefit</w:t>
      </w:r>
      <w:r>
        <w:rPr>
          <w:rFonts w:ascii="Times New Roman;sans-serif" w:hAnsi="Times New Roman;sans-serif"/>
          <w:b w:val="false"/>
          <w:color w:val="000000"/>
          <w:sz w:val="20"/>
        </w:rPr>
        <w:t>. The annual benefit under this Section 3.1 is the Normal Retirement Benefit amount described in Section 2.1.1.</w:t>
      </w:r>
    </w:p>
    <w:p>
      <w:pPr>
        <w:pStyle w:val="TextBody"/>
        <w:spacing w:lineRule="auto" w:line="240" w:before="0" w:after="240"/>
        <w:jc w:val="both"/>
        <w:rPr/>
      </w:pPr>
      <w:r>
        <w:rPr>
          <w:color w:val="000000"/>
        </w:rPr>
        <w:t>    </w:t>
      </w:r>
      <w:r>
        <w:rPr>
          <w:rFonts w:ascii="Times New Roman;sans-serif" w:hAnsi="Times New Roman;sans-serif"/>
          <w:b w:val="false"/>
          <w:color w:val="000000"/>
          <w:sz w:val="20"/>
        </w:rPr>
        <w:t>3.1.2    </w:t>
      </w:r>
      <w:r>
        <w:rPr>
          <w:rFonts w:ascii="Times New Roman;sans-serif" w:hAnsi="Times New Roman;sans-serif"/>
          <w:b w:val="false"/>
          <w:color w:val="000000"/>
          <w:sz w:val="20"/>
          <w:u w:val="single"/>
        </w:rPr>
        <w:t>Distribution of Benefit</w:t>
      </w:r>
      <w:r>
        <w:rPr>
          <w:rFonts w:ascii="Times New Roman;sans-serif" w:hAnsi="Times New Roman;sans-serif"/>
          <w:b w:val="false"/>
          <w:color w:val="000000"/>
          <w:sz w:val="20"/>
        </w:rPr>
        <w:t>. The Bank shall distribute the annual benefit to the Beneficiary in twelve (12) equal monthly installments for ten (10) years commencing on the first day of the fourth month following the Executive’s death. The Beneficiary shall be required to provide to the Bank the Executive’s death certificate.</w:t>
      </w:r>
    </w:p>
    <w:p>
      <w:pPr>
        <w:pStyle w:val="TextBody"/>
        <w:spacing w:lineRule="auto" w:line="240" w:before="0" w:after="240"/>
        <w:jc w:val="both"/>
        <w:rPr/>
      </w:pPr>
      <w:r>
        <w:rPr>
          <w:color w:val="000000"/>
        </w:rPr>
        <w:t>    </w:t>
      </w:r>
      <w:r>
        <w:rPr>
          <w:rFonts w:ascii="Times New Roman;sans-serif" w:hAnsi="Times New Roman;sans-serif"/>
          <w:b w:val="false"/>
          <w:color w:val="000000"/>
          <w:sz w:val="20"/>
        </w:rPr>
        <w:t>3.2    </w:t>
      </w:r>
      <w:r>
        <w:rPr>
          <w:rFonts w:ascii="Times New Roman;sans-serif" w:hAnsi="Times New Roman;sans-serif"/>
          <w:b w:val="false"/>
          <w:color w:val="000000"/>
          <w:sz w:val="20"/>
          <w:u w:val="single"/>
        </w:rPr>
        <w:t>Death During Distribution of a Benefit</w:t>
      </w:r>
      <w:r>
        <w:rPr>
          <w:rFonts w:ascii="Times New Roman;sans-serif" w:hAnsi="Times New Roman;sans-serif"/>
          <w:b w:val="false"/>
          <w:color w:val="000000"/>
          <w:sz w:val="20"/>
        </w:rPr>
        <w:t>. If the Executive dies after any benefit distributions have commenced under this Agreement but before receiving all such distributions, the Bank shall distribute to the Beneficiary the remaining benefits at the same time and in the same amounts they would have been distributed to the Executive had the Executive survived.</w:t>
      </w:r>
    </w:p>
    <w:p>
      <w:pPr>
        <w:pStyle w:val="TextBody"/>
        <w:spacing w:lineRule="auto" w:line="240" w:before="0" w:after="0"/>
        <w:jc w:val="both"/>
        <w:rPr/>
      </w:pPr>
      <w:r>
        <w:rPr>
          <w:color w:val="000000"/>
        </w:rPr>
        <w:t>    </w:t>
      </w:r>
      <w:r>
        <w:rPr>
          <w:rFonts w:ascii="Times New Roman;sans-serif" w:hAnsi="Times New Roman;sans-serif"/>
          <w:b w:val="false"/>
          <w:color w:val="000000"/>
          <w:sz w:val="20"/>
        </w:rPr>
        <w:t>3.3    </w:t>
      </w:r>
      <w:r>
        <w:rPr>
          <w:rFonts w:ascii="Times New Roman;sans-serif" w:hAnsi="Times New Roman;sans-serif"/>
          <w:b w:val="false"/>
          <w:color w:val="000000"/>
          <w:sz w:val="20"/>
          <w:u w:val="single"/>
        </w:rPr>
        <w:t>Death Before Benefit Distributions Commence</w:t>
      </w:r>
      <w:r>
        <w:rPr>
          <w:rFonts w:ascii="Times New Roman;sans-serif" w:hAnsi="Times New Roman;sans-serif"/>
          <w:b w:val="false"/>
          <w:color w:val="000000"/>
          <w:sz w:val="20"/>
        </w:rPr>
        <w:t>. If the Executive is entitled to benefit distributions under this Agreement but dies prior to the date that commencement of said benefit distributions are scheduled to be made under this Agreement, the Bank shall distribute to the Beneficiary the same benefits to which the Executive was entitled prior to death, except that the benefit distributions shall be paid in the manner specified in Section 3.1.2 and shall commence on the first day of the fourth month following the Executive’s death.</w:t>
      </w:r>
    </w:p>
    <w:p>
      <w:pPr>
        <w:pStyle w:val="TextBody"/>
        <w:spacing w:lineRule="auto" w:line="240" w:before="0" w:after="0"/>
        <w:rPr>
          <w:color w:val="000000"/>
        </w:rPr>
      </w:pPr>
      <w:r>
        <w:rPr>
          <w:color w:val="000000"/>
        </w:rPr>
        <w:t> </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Article 4</w:t>
        <w:br/>
        <w:t>Beneficiaries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4.1    </w:t>
      </w:r>
      <w:r>
        <w:rPr>
          <w:rFonts w:ascii="Times New Roman;sans-serif" w:hAnsi="Times New Roman;sans-serif"/>
          <w:b w:val="false"/>
          <w:color w:val="000000"/>
          <w:sz w:val="20"/>
          <w:u w:val="single"/>
        </w:rPr>
        <w:t>In General</w:t>
      </w:r>
      <w:r>
        <w:rPr>
          <w:rFonts w:ascii="Times New Roman;sans-serif" w:hAnsi="Times New Roman;sans-serif"/>
          <w:b w:val="false"/>
          <w:color w:val="000000"/>
          <w:sz w:val="20"/>
        </w:rPr>
        <w:t>. The Executive shall have the right, at any time, to designate a Beneficiary to receive any benefit distributions under this Agreement upon the death of the Executive. The Beneficiary designated under this Agreement may be the same as or different from the beneficiary designated under any other plan of the Bank in which the Executive participates.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4.2    </w:t>
      </w:r>
      <w:r>
        <w:rPr>
          <w:rFonts w:ascii="Times New Roman;sans-serif" w:hAnsi="Times New Roman;sans-serif"/>
          <w:b w:val="false"/>
          <w:color w:val="000000"/>
          <w:sz w:val="20"/>
          <w:u w:val="single"/>
        </w:rPr>
        <w:t>Designation</w:t>
      </w:r>
      <w:r>
        <w:rPr>
          <w:rFonts w:ascii="Times New Roman;sans-serif" w:hAnsi="Times New Roman;sans-serif"/>
          <w:b w:val="false"/>
          <w:color w:val="000000"/>
          <w:sz w:val="20"/>
        </w:rPr>
        <w:t>. The Executive shall designate a Beneficiary by completing and signing the Beneficiary Designation Form and delivering it to the Plan Administrator or its designated agent. If the Executive names someone other than the Executive’s spouse as a Beneficiary, the Plan Administrator may, in its sole discretion, determine that spousal consent is required to be provided in a form designated by the Plan Administrator, executed by the Executive’s spouse and returned to the Plan Administrator. The Executive’s beneficiary designation shall be deemed automatically revoked if the Beneficiary predeceases the Executive or if the Executive names a spouse as Beneficiary and the marriage is subsequently dissolved. The Executive shall have the right to change a Beneficiary by completing, signing and otherwise complying with the terms of the Beneficiary Designation Form and the Plan Administrator’s rules and procedures. Upon the acceptance by the Plan Administrator of a new Beneficiary Designation Form, all Beneficiary designations previously filed shall be cancelled. The Plan Administrator shall be entitled to rely on the last Beneficiary Designation Form filed by the Executive and accepted by the Plan Administrator prior to the Executive’s death.</w:t>
      </w:r>
    </w:p>
    <w:p>
      <w:pPr>
        <w:pStyle w:val="TextBody"/>
        <w:spacing w:lineRule="auto" w:line="240" w:before="0" w:after="240"/>
        <w:jc w:val="both"/>
        <w:rPr/>
      </w:pPr>
      <w:r>
        <w:rPr>
          <w:color w:val="000000"/>
        </w:rPr>
        <w:t>    </w:t>
      </w:r>
      <w:r>
        <w:rPr>
          <w:rFonts w:ascii="Times New Roman;sans-serif" w:hAnsi="Times New Roman;sans-serif"/>
          <w:b w:val="false"/>
          <w:color w:val="000000"/>
          <w:sz w:val="20"/>
        </w:rPr>
        <w:t>4.3    </w:t>
      </w:r>
      <w:r>
        <w:rPr>
          <w:rFonts w:ascii="Times New Roman;sans-serif" w:hAnsi="Times New Roman;sans-serif"/>
          <w:b w:val="false"/>
          <w:color w:val="000000"/>
          <w:sz w:val="20"/>
          <w:u w:val="single"/>
        </w:rPr>
        <w:t>Acknowledgment</w:t>
      </w:r>
      <w:r>
        <w:rPr>
          <w:rFonts w:ascii="Times New Roman;sans-serif" w:hAnsi="Times New Roman;sans-serif"/>
          <w:b w:val="false"/>
          <w:color w:val="000000"/>
          <w:sz w:val="20"/>
        </w:rPr>
        <w:t>. No designation or change in designation of a Beneficiary shall be effective until received, accepted and acknowledged in writing by the Plan Administrator or its designated agent.</w:t>
      </w:r>
    </w:p>
    <w:p>
      <w:pPr>
        <w:pStyle w:val="TextBody"/>
        <w:spacing w:lineRule="auto" w:line="240" w:before="0" w:after="240"/>
        <w:jc w:val="both"/>
        <w:rPr/>
      </w:pPr>
      <w:r>
        <w:rPr>
          <w:color w:val="000000"/>
        </w:rPr>
        <w:t>    </w:t>
      </w:r>
      <w:r>
        <w:rPr>
          <w:rFonts w:ascii="Times New Roman;sans-serif" w:hAnsi="Times New Roman;sans-serif"/>
          <w:b w:val="false"/>
          <w:color w:val="000000"/>
          <w:sz w:val="20"/>
        </w:rPr>
        <w:t>4.4    </w:t>
      </w:r>
      <w:r>
        <w:rPr>
          <w:rFonts w:ascii="Times New Roman;sans-serif" w:hAnsi="Times New Roman;sans-serif"/>
          <w:b w:val="false"/>
          <w:color w:val="000000"/>
          <w:sz w:val="20"/>
          <w:u w:val="single"/>
        </w:rPr>
        <w:t>No Beneficiary Designation</w:t>
      </w:r>
      <w:r>
        <w:rPr>
          <w:rFonts w:ascii="Times New Roman;sans-serif" w:hAnsi="Times New Roman;sans-serif"/>
          <w:b w:val="false"/>
          <w:color w:val="000000"/>
          <w:sz w:val="20"/>
        </w:rPr>
        <w:t>. If the Executive dies without a valid beneficiary designation, or if all designated Beneficiaries predecease the Executive, then the Executive’s spouse shall be the designated Beneficiary. If the Executive has no surviving spouse, any benefit shall be paid to the Executive’s estate.</w:t>
      </w:r>
    </w:p>
    <w:p>
      <w:pPr>
        <w:pStyle w:val="TextBody"/>
        <w:spacing w:lineRule="auto" w:line="240" w:before="0" w:after="0"/>
        <w:jc w:val="both"/>
        <w:rPr/>
      </w:pPr>
      <w:r>
        <w:rPr>
          <w:color w:val="000000"/>
        </w:rPr>
        <w:t>    </w:t>
      </w:r>
      <w:r>
        <w:rPr>
          <w:rFonts w:ascii="Times New Roman;sans-serif" w:hAnsi="Times New Roman;sans-serif"/>
          <w:b w:val="false"/>
          <w:color w:val="000000"/>
          <w:sz w:val="20"/>
        </w:rPr>
        <w:t>4.5    </w:t>
      </w:r>
      <w:r>
        <w:rPr>
          <w:rFonts w:ascii="Times New Roman;sans-serif" w:hAnsi="Times New Roman;sans-serif"/>
          <w:b w:val="false"/>
          <w:color w:val="000000"/>
          <w:sz w:val="20"/>
          <w:u w:val="single"/>
        </w:rPr>
        <w:t>Facility of Distribution</w:t>
      </w:r>
      <w:r>
        <w:rPr>
          <w:rFonts w:ascii="Times New Roman;sans-serif" w:hAnsi="Times New Roman;sans-serif"/>
          <w:b w:val="false"/>
          <w:color w:val="000000"/>
          <w:sz w:val="20"/>
        </w:rPr>
        <w:t>. If the Plan Administrator determines in its discretion that a benefit is to be distributed to a minor, to a person declared incompetent or to a person incapable of handling the disposition of that person’s property, the Plan Administrator may direct distribution of such benefit to the guardian, legal representative or person having the care or custody of such minor, incompetent person or incapable person. The Plan Administrator may require proof of incompetence, minority or guardianship as it may deem appropriate prior to distribution of the benefit. Any distribution of a benefit shall be a distribution for the account of the Executive and the Beneficiary, as the case may be, and shall completely discharge any liability under this Agreement for such distribution amount.</w:t>
      </w:r>
    </w:p>
    <w:p>
      <w:pPr>
        <w:pStyle w:val="TextBody"/>
        <w:spacing w:lineRule="auto" w:line="240" w:before="0" w:after="0"/>
        <w:rPr>
          <w:color w:val="000000"/>
        </w:rPr>
      </w:pPr>
      <w:r>
        <w:rPr>
          <w:color w:val="000000"/>
        </w:rPr>
        <w:t> </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Article 5</w:t>
        <w:br/>
        <w:t>General Limitations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5.1    </w:t>
      </w:r>
      <w:r>
        <w:rPr>
          <w:rFonts w:ascii="Times New Roman;sans-serif" w:hAnsi="Times New Roman;sans-serif"/>
          <w:b w:val="false"/>
          <w:color w:val="000000"/>
          <w:sz w:val="20"/>
          <w:u w:val="single"/>
        </w:rPr>
        <w:t>Termination for Cause</w:t>
      </w:r>
      <w:r>
        <w:rPr>
          <w:rFonts w:ascii="Times New Roman;sans-serif" w:hAnsi="Times New Roman;sans-serif"/>
          <w:b w:val="false"/>
          <w:color w:val="000000"/>
          <w:sz w:val="20"/>
        </w:rPr>
        <w:t>. Notwithstanding any provision of this Agreement to the contrary, the Bank shall not distribute any benefit under this Agreement if the Executive’s employment with the Bank is terminated by the Bank or an applicable regulator due to a Termination for Cause.</w:t>
      </w:r>
      <w:r>
        <w:br w:type="page"/>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40" w:before="0" w:after="240"/>
        <w:jc w:val="both"/>
        <w:rPr/>
      </w:pPr>
      <w:r>
        <w:rPr>
          <w:color w:val="000000"/>
        </w:rPr>
        <w:t>    </w:t>
      </w:r>
      <w:r>
        <w:rPr>
          <w:rFonts w:ascii="Times New Roman;sans-serif" w:hAnsi="Times New Roman;sans-serif"/>
          <w:b w:val="false"/>
          <w:color w:val="000000"/>
          <w:sz w:val="20"/>
        </w:rPr>
        <w:t>5.2    </w:t>
      </w:r>
      <w:r>
        <w:rPr>
          <w:rFonts w:ascii="Times New Roman;sans-serif" w:hAnsi="Times New Roman;sans-serif"/>
          <w:b w:val="false"/>
          <w:color w:val="000000"/>
          <w:sz w:val="20"/>
          <w:u w:val="single"/>
        </w:rPr>
        <w:t>Suicide or Misstatement</w:t>
      </w:r>
      <w:r>
        <w:rPr>
          <w:rFonts w:ascii="Times New Roman;sans-serif" w:hAnsi="Times New Roman;sans-serif"/>
          <w:b w:val="false"/>
          <w:color w:val="000000"/>
          <w:sz w:val="20"/>
        </w:rPr>
        <w:t>. No benefit shall be distributed if the Executive commits suicide within two (2) years after the Effective Date, or if an insurance company which issued a life insurance policy covering the Executive and owned by the Bank denies coverage (i) for material misstatements of fact made by the Executive on an application for such life insurance, or (ii) for any other reason.</w:t>
      </w:r>
    </w:p>
    <w:p>
      <w:pPr>
        <w:pStyle w:val="TextBody"/>
        <w:spacing w:lineRule="auto" w:line="240" w:before="0" w:after="240"/>
        <w:jc w:val="both"/>
        <w:rPr/>
      </w:pPr>
      <w:r>
        <w:rPr>
          <w:color w:val="000000"/>
        </w:rPr>
        <w:t>    </w:t>
      </w:r>
      <w:r>
        <w:rPr>
          <w:rFonts w:ascii="Times New Roman;sans-serif" w:hAnsi="Times New Roman;sans-serif"/>
          <w:b w:val="false"/>
          <w:color w:val="000000"/>
          <w:sz w:val="20"/>
        </w:rPr>
        <w:t>5.3    </w:t>
      </w:r>
      <w:r>
        <w:rPr>
          <w:rFonts w:ascii="Times New Roman;sans-serif" w:hAnsi="Times New Roman;sans-serif"/>
          <w:b w:val="false"/>
          <w:color w:val="000000"/>
          <w:sz w:val="20"/>
          <w:u w:val="single"/>
        </w:rPr>
        <w:t>Removal</w:t>
      </w:r>
      <w:r>
        <w:rPr>
          <w:rFonts w:ascii="Times New Roman;sans-serif" w:hAnsi="Times New Roman;sans-serif"/>
          <w:b w:val="false"/>
          <w:color w:val="000000"/>
          <w:sz w:val="20"/>
        </w:rPr>
        <w:t>. Notwithstanding any provision of this Agreement to the contrary, the Bank shall not distribute any benefit under this Agreement if the Executive is subject to a final removal or prohibition order issued by an appropriate federal banking agency pursuant to Section 8(e) of the Federal Deposit Insurance Act. Notwithstanding anything herein to the contrary, any payments made to the Executive pursuant to this Agreement, or otherwise, shall be subject to and conditioned upon compliance with 12 U.S.C. 1828 and FDIC Regulation 12 CFR Part 359, Golden Parachute Indemnification Payments and any other regulations or guidance promulgated thereunder.</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Article 6 </w:t>
        <w:br/>
        <w:t>Administration of Agreement</w:t>
      </w:r>
    </w:p>
    <w:p>
      <w:pPr>
        <w:pStyle w:val="TextBody"/>
        <w:spacing w:lineRule="auto" w:line="240" w:before="0" w:after="240"/>
        <w:jc w:val="both"/>
        <w:rPr/>
      </w:pPr>
      <w:r>
        <w:rPr>
          <w:color w:val="000000"/>
        </w:rPr>
        <w:t>    </w:t>
      </w:r>
      <w:r>
        <w:rPr>
          <w:rFonts w:ascii="Times New Roman;sans-serif" w:hAnsi="Times New Roman;sans-serif"/>
          <w:b w:val="false"/>
          <w:color w:val="000000"/>
          <w:sz w:val="20"/>
        </w:rPr>
        <w:t>6.1    </w:t>
      </w:r>
      <w:r>
        <w:rPr>
          <w:rFonts w:ascii="Times New Roman;sans-serif" w:hAnsi="Times New Roman;sans-serif"/>
          <w:b w:val="false"/>
          <w:color w:val="000000"/>
          <w:sz w:val="20"/>
          <w:u w:val="single"/>
        </w:rPr>
        <w:t>Plan Administrator Duties</w:t>
      </w:r>
      <w:r>
        <w:rPr>
          <w:rFonts w:ascii="Times New Roman;sans-serif" w:hAnsi="Times New Roman;sans-serif"/>
          <w:b w:val="false"/>
          <w:color w:val="000000"/>
          <w:sz w:val="20"/>
        </w:rPr>
        <w:t>. The Plan Administrator shall administer this Agreement according to its express terms and shall also have the discretion and authority to (i) make, amend, interpret and enforce all appropriate rules and regulations for the administration of this Agreement and (ii) decide or resolve any and all questions, including interpretations of this Agreement, as may arise in connection with this Agreement to the extent the exercise of such discretion and authority does not conflict with Code Section 409A.</w:t>
      </w:r>
    </w:p>
    <w:p>
      <w:pPr>
        <w:pStyle w:val="TextBody"/>
        <w:spacing w:lineRule="auto" w:line="240" w:before="0" w:after="240"/>
        <w:jc w:val="both"/>
        <w:rPr/>
      </w:pPr>
      <w:r>
        <w:rPr>
          <w:color w:val="000000"/>
        </w:rPr>
        <w:t>    </w:t>
      </w:r>
      <w:r>
        <w:rPr>
          <w:rFonts w:ascii="Times New Roman;sans-serif" w:hAnsi="Times New Roman;sans-serif"/>
          <w:b w:val="false"/>
          <w:color w:val="000000"/>
          <w:sz w:val="20"/>
        </w:rPr>
        <w:t>6.2    </w:t>
      </w:r>
      <w:r>
        <w:rPr>
          <w:rFonts w:ascii="Times New Roman;sans-serif" w:hAnsi="Times New Roman;sans-serif"/>
          <w:b w:val="false"/>
          <w:color w:val="000000"/>
          <w:sz w:val="20"/>
          <w:u w:val="single"/>
        </w:rPr>
        <w:t>Agents</w:t>
      </w:r>
      <w:r>
        <w:rPr>
          <w:rFonts w:ascii="Times New Roman;sans-serif" w:hAnsi="Times New Roman;sans-serif"/>
          <w:b w:val="false"/>
          <w:color w:val="000000"/>
          <w:sz w:val="20"/>
        </w:rPr>
        <w:t>. In the administration of this Agreement, the Plan Administrator may employ agents and delegate to them such administrative duties as the Plan Administrator sees fit, including acting through a duly appointed representative, and may from time to time consult with counsel who may be counsel to the Bank.</w:t>
      </w:r>
    </w:p>
    <w:p>
      <w:pPr>
        <w:pStyle w:val="TextBody"/>
        <w:spacing w:lineRule="auto" w:line="240" w:before="0" w:after="240"/>
        <w:jc w:val="both"/>
        <w:rPr/>
      </w:pPr>
      <w:r>
        <w:rPr>
          <w:color w:val="000000"/>
        </w:rPr>
        <w:t>    </w:t>
      </w:r>
      <w:r>
        <w:rPr>
          <w:rFonts w:ascii="Times New Roman;sans-serif" w:hAnsi="Times New Roman;sans-serif"/>
          <w:b w:val="false"/>
          <w:color w:val="000000"/>
          <w:sz w:val="20"/>
        </w:rPr>
        <w:t>6.3    </w:t>
      </w:r>
      <w:r>
        <w:rPr>
          <w:rFonts w:ascii="Times New Roman;sans-serif" w:hAnsi="Times New Roman;sans-serif"/>
          <w:b w:val="false"/>
          <w:color w:val="000000"/>
          <w:sz w:val="20"/>
          <w:u w:val="single"/>
        </w:rPr>
        <w:t>Binding Effect of Decisions</w:t>
      </w:r>
      <w:r>
        <w:rPr>
          <w:rFonts w:ascii="Times New Roman;sans-serif" w:hAnsi="Times New Roman;sans-serif"/>
          <w:b w:val="false"/>
          <w:color w:val="000000"/>
          <w:sz w:val="20"/>
        </w:rPr>
        <w:t>. Any decision or action of the Plan Administrator with respect to any question arising out of or in connection with the administration, interpretation or application of this Agreement and the rules and regulations promulgated hereunder shall be final and conclusive and binding upon all persons having any interest in this Agreement.</w:t>
      </w:r>
    </w:p>
    <w:p>
      <w:pPr>
        <w:pStyle w:val="TextBody"/>
        <w:spacing w:lineRule="auto" w:line="240" w:before="0" w:after="0"/>
        <w:jc w:val="both"/>
        <w:rPr/>
      </w:pPr>
      <w:r>
        <w:rPr>
          <w:color w:val="000000"/>
        </w:rPr>
        <w:t>    </w:t>
      </w:r>
      <w:r>
        <w:rPr>
          <w:rFonts w:ascii="Times New Roman;sans-serif" w:hAnsi="Times New Roman;sans-serif"/>
          <w:b w:val="false"/>
          <w:color w:val="000000"/>
          <w:sz w:val="20"/>
        </w:rPr>
        <w:t>6.4    </w:t>
      </w:r>
      <w:r>
        <w:rPr>
          <w:rFonts w:ascii="Times New Roman;sans-serif" w:hAnsi="Times New Roman;sans-serif"/>
          <w:b w:val="false"/>
          <w:color w:val="000000"/>
          <w:sz w:val="20"/>
          <w:u w:val="single"/>
        </w:rPr>
        <w:t>Indemnity of Plan Administrator</w:t>
      </w:r>
      <w:r>
        <w:rPr>
          <w:rFonts w:ascii="Times New Roman;sans-serif" w:hAnsi="Times New Roman;sans-serif"/>
          <w:b w:val="false"/>
          <w:color w:val="000000"/>
          <w:sz w:val="20"/>
        </w:rPr>
        <w:t>. The Bank shall indemnify and hold harmless the Plan Administrator against any and all claims, losses, damages, expenses or liabilities arising from any action or failure to act with respect to this Agreement, except in the case of willful misconduct by the Plan Administrator.</w:t>
      </w:r>
    </w:p>
    <w:p>
      <w:pPr>
        <w:pStyle w:val="TextBody"/>
        <w:spacing w:lineRule="auto" w:line="240" w:before="0" w:after="0"/>
        <w:rPr>
          <w:color w:val="000000"/>
        </w:rPr>
      </w:pPr>
      <w:r>
        <w:rPr>
          <w:color w:val="000000"/>
        </w:rPr>
        <w:t> </w:t>
      </w:r>
    </w:p>
    <w:p>
      <w:pPr>
        <w:pStyle w:val="TextBody"/>
        <w:spacing w:lineRule="auto" w:line="240" w:before="0" w:after="240"/>
        <w:jc w:val="both"/>
        <w:rPr/>
      </w:pPr>
      <w:r>
        <w:rPr>
          <w:color w:val="000000"/>
        </w:rPr>
        <w:t>    </w:t>
      </w:r>
      <w:r>
        <w:rPr>
          <w:rFonts w:ascii="Times New Roman;sans-serif" w:hAnsi="Times New Roman;sans-serif"/>
          <w:b w:val="false"/>
          <w:color w:val="000000"/>
          <w:sz w:val="20"/>
        </w:rPr>
        <w:t>6.5    </w:t>
      </w:r>
      <w:r>
        <w:rPr>
          <w:rFonts w:ascii="Times New Roman;sans-serif" w:hAnsi="Times New Roman;sans-serif"/>
          <w:b w:val="false"/>
          <w:color w:val="000000"/>
          <w:sz w:val="20"/>
          <w:u w:val="single"/>
        </w:rPr>
        <w:t>Bank Information</w:t>
      </w:r>
      <w:r>
        <w:rPr>
          <w:rFonts w:ascii="Times New Roman;sans-serif" w:hAnsi="Times New Roman;sans-serif"/>
          <w:b w:val="false"/>
          <w:color w:val="000000"/>
          <w:sz w:val="20"/>
        </w:rPr>
        <w:t>. To enable the Plan Administrator to perform its functions, the Bank shall supply full and timely information to the Plan Administrator on all matters relating to the date and circumstances of the Executive’s death or Separation from Service, and such other pertinent information as the Plan Administrator may reasonably require.</w:t>
      </w:r>
    </w:p>
    <w:p>
      <w:pPr>
        <w:pStyle w:val="TextBody"/>
        <w:spacing w:lineRule="auto" w:line="240" w:before="0" w:after="240"/>
        <w:jc w:val="both"/>
        <w:rPr/>
      </w:pPr>
      <w:r>
        <w:rPr>
          <w:color w:val="000000"/>
        </w:rPr>
        <w:t>    </w:t>
      </w:r>
      <w:r>
        <w:rPr>
          <w:rFonts w:ascii="Times New Roman;sans-serif" w:hAnsi="Times New Roman;sans-serif"/>
          <w:b w:val="false"/>
          <w:color w:val="000000"/>
          <w:sz w:val="20"/>
        </w:rPr>
        <w:t>6.6    </w:t>
      </w:r>
      <w:r>
        <w:rPr>
          <w:rFonts w:ascii="Times New Roman;sans-serif" w:hAnsi="Times New Roman;sans-serif"/>
          <w:b w:val="false"/>
          <w:color w:val="000000"/>
          <w:sz w:val="20"/>
          <w:u w:val="single"/>
        </w:rPr>
        <w:t>Annual Statement</w:t>
      </w:r>
      <w:r>
        <w:rPr>
          <w:rFonts w:ascii="Times New Roman;sans-serif" w:hAnsi="Times New Roman;sans-serif"/>
          <w:b w:val="false"/>
          <w:color w:val="000000"/>
          <w:sz w:val="20"/>
        </w:rPr>
        <w:t>. The Plan Administrator shall provide to the Executive, within one hundred twenty (120) days after the end of each Plan Year, a statement setting forth the benefits to be distributed under this Agreement.</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Article 7 </w:t>
        <w:br/>
        <w:t>Claims And Review Procedures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7.1    </w:t>
      </w:r>
      <w:r>
        <w:rPr>
          <w:rFonts w:ascii="Times New Roman;sans-serif" w:hAnsi="Times New Roman;sans-serif"/>
          <w:b w:val="false"/>
          <w:color w:val="000000"/>
          <w:sz w:val="20"/>
          <w:u w:val="single"/>
        </w:rPr>
        <w:t>Claims Procedure</w:t>
      </w:r>
      <w:r>
        <w:rPr>
          <w:rFonts w:ascii="Times New Roman;sans-serif" w:hAnsi="Times New Roman;sans-serif"/>
          <w:b w:val="false"/>
          <w:color w:val="000000"/>
          <w:sz w:val="20"/>
        </w:rPr>
        <w:t>. An Executive or Beneficiary (“claimant”) who has not received benefits under this Agreement that he or she believes should be distributed shall make a claim for such benefits as follows: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7.1.1    </w:t>
      </w:r>
      <w:r>
        <w:rPr>
          <w:rFonts w:ascii="Times New Roman;sans-serif" w:hAnsi="Times New Roman;sans-serif"/>
          <w:b w:val="false"/>
          <w:color w:val="000000"/>
          <w:sz w:val="20"/>
          <w:u w:val="single"/>
        </w:rPr>
        <w:t>Initiation — Written Claim</w:t>
      </w:r>
      <w:r>
        <w:rPr>
          <w:rFonts w:ascii="Times New Roman;sans-serif" w:hAnsi="Times New Roman;sans-serif"/>
          <w:b w:val="false"/>
          <w:color w:val="000000"/>
          <w:sz w:val="20"/>
        </w:rPr>
        <w:t>. The claimant initiates a claim by submitting to the Plan Administrator a written claim for the benefits. If such a claim relates to the contents of a notice received by the claimant, the claim must be made within sixty (60) days after such notice was received by the claimant. All other claims must be made within one hundred eighty (180) days of the date on which the event that caused the claim to arise occurred. The claim must state with particularity the determination desired by the claimant.</w:t>
      </w:r>
    </w:p>
    <w:p>
      <w:pPr>
        <w:pStyle w:val="TextBody"/>
        <w:spacing w:lineRule="auto" w:line="240" w:before="0" w:after="240"/>
        <w:jc w:val="both"/>
        <w:rPr/>
      </w:pPr>
      <w:r>
        <w:rPr>
          <w:color w:val="000000"/>
        </w:rPr>
        <w:t>    </w:t>
      </w:r>
      <w:r>
        <w:rPr>
          <w:rFonts w:ascii="Times New Roman;sans-serif" w:hAnsi="Times New Roman;sans-serif"/>
          <w:b w:val="false"/>
          <w:color w:val="000000"/>
          <w:sz w:val="20"/>
        </w:rPr>
        <w:t>7.1.2    </w:t>
      </w:r>
      <w:r>
        <w:rPr>
          <w:rFonts w:ascii="Times New Roman;sans-serif" w:hAnsi="Times New Roman;sans-serif"/>
          <w:b w:val="false"/>
          <w:color w:val="000000"/>
          <w:sz w:val="20"/>
          <w:u w:val="single"/>
        </w:rPr>
        <w:t>Timing of Plan Administrator Response</w:t>
      </w:r>
      <w:r>
        <w:rPr>
          <w:rFonts w:ascii="Times New Roman;sans-serif" w:hAnsi="Times New Roman;sans-serif"/>
          <w:b w:val="false"/>
          <w:color w:val="000000"/>
          <w:sz w:val="20"/>
        </w:rPr>
        <w:t>. The Plan Administrator shall respond to such claimant within ninety (90) days after receiving the claim. If the Plan Administrator determines that special circumstances require additional time for processing the claim, the Plan Administrator can extend the response period by an additional ninety (90) days by notifying the claimant in writing, prior to the end of the initial ninety (90) day period, that an additional period is required. The notice of extension must set forth the special circumstances and the date by which the Plan Administrator expects to render its decision.</w:t>
      </w:r>
      <w:r>
        <w:br w:type="page"/>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40" w:before="0" w:after="240"/>
        <w:jc w:val="both"/>
        <w:rPr/>
      </w:pPr>
      <w:r>
        <w:rPr>
          <w:color w:val="000000"/>
        </w:rPr>
        <w:t>    </w:t>
      </w:r>
      <w:r>
        <w:rPr>
          <w:rFonts w:ascii="Times New Roman;sans-serif" w:hAnsi="Times New Roman;sans-serif"/>
          <w:b w:val="false"/>
          <w:color w:val="000000"/>
          <w:sz w:val="20"/>
        </w:rPr>
        <w:t>7.1.3    </w:t>
      </w:r>
      <w:r>
        <w:rPr>
          <w:rFonts w:ascii="Times New Roman;sans-serif" w:hAnsi="Times New Roman;sans-serif"/>
          <w:b w:val="false"/>
          <w:color w:val="000000"/>
          <w:sz w:val="20"/>
          <w:u w:val="single"/>
        </w:rPr>
        <w:t>Notice of Decision</w:t>
      </w:r>
      <w:r>
        <w:rPr>
          <w:rFonts w:ascii="Times New Roman;sans-serif" w:hAnsi="Times New Roman;sans-serif"/>
          <w:b w:val="false"/>
          <w:color w:val="000000"/>
          <w:sz w:val="20"/>
        </w:rPr>
        <w:t>. If the Plan Administrator denies part or all of the claim, the Plan Administrator shall notify the claimant in writing of such denial. The Plan Administrator shall write the notification in a manner calculated to be understood by the claimant. The notification shall set forth:</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(a)    The specific reasons for the denial;</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(b)    A reference to the specific provisions of this Agreement on which the denial is based;</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(c)    A description of any additional information or material necessary for the claimant to perfect the claim and an explanation of why it is needed;</w:t>
      </w:r>
    </w:p>
    <w:p>
      <w:pPr>
        <w:pStyle w:val="TextBody"/>
        <w:spacing w:lineRule="auto" w:line="240" w:before="0" w:after="0"/>
        <w:rPr>
          <w:color w:val="000000"/>
        </w:rPr>
      </w:pPr>
      <w:r>
        <w:rPr>
          <w:color w:val="000000"/>
        </w:rPr>
        <w:t> </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(d)    An explanation of this Agreement’s review procedures and the time limits applicable to such procedures; and</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(e)    A statement of the claimant’s right to bring a civil action under ERISA Section 502(a) following an adverse benefit determination on review.</w:t>
      </w:r>
    </w:p>
    <w:p>
      <w:pPr>
        <w:pStyle w:val="TextBody"/>
        <w:spacing w:lineRule="auto" w:line="240" w:before="0" w:after="240"/>
        <w:jc w:val="both"/>
        <w:rPr/>
      </w:pPr>
      <w:r>
        <w:rPr>
          <w:color w:val="000000"/>
        </w:rPr>
        <w:t>    </w:t>
      </w:r>
      <w:r>
        <w:rPr>
          <w:rFonts w:ascii="Times New Roman;sans-serif" w:hAnsi="Times New Roman;sans-serif"/>
          <w:b w:val="false"/>
          <w:color w:val="000000"/>
          <w:sz w:val="20"/>
        </w:rPr>
        <w:t>7.2    </w:t>
      </w:r>
      <w:r>
        <w:rPr>
          <w:rFonts w:ascii="Times New Roman;sans-serif" w:hAnsi="Times New Roman;sans-serif"/>
          <w:b w:val="false"/>
          <w:color w:val="000000"/>
          <w:sz w:val="20"/>
          <w:u w:val="single"/>
        </w:rPr>
        <w:t>Review Procedure</w:t>
      </w:r>
      <w:r>
        <w:rPr>
          <w:rFonts w:ascii="Times New Roman;sans-serif" w:hAnsi="Times New Roman;sans-serif"/>
          <w:b w:val="false"/>
          <w:color w:val="000000"/>
          <w:sz w:val="20"/>
        </w:rPr>
        <w:t>. If the Plan Administrator denies part or all of the claim, the claimant shall have the opportunity for a full and fair review by the Plan Administrator of the denial as follows: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7.2.1    </w:t>
      </w:r>
      <w:r>
        <w:rPr>
          <w:rFonts w:ascii="Times New Roman;sans-serif" w:hAnsi="Times New Roman;sans-serif"/>
          <w:b w:val="false"/>
          <w:color w:val="000000"/>
          <w:sz w:val="20"/>
          <w:u w:val="single"/>
        </w:rPr>
        <w:t>Initiation — Written Request</w:t>
      </w:r>
      <w:r>
        <w:rPr>
          <w:rFonts w:ascii="Times New Roman;sans-serif" w:hAnsi="Times New Roman;sans-serif"/>
          <w:b w:val="false"/>
          <w:color w:val="000000"/>
          <w:sz w:val="20"/>
        </w:rPr>
        <w:t>. To initiate the review, the claimant, within sixty (60) days after receiving the Plan Administrator’s notice of denial, must file with the Plan Administrator a written request for review.</w:t>
      </w:r>
    </w:p>
    <w:p>
      <w:pPr>
        <w:pStyle w:val="TextBody"/>
        <w:spacing w:lineRule="auto" w:line="240" w:before="0" w:after="240"/>
        <w:jc w:val="both"/>
        <w:rPr/>
      </w:pPr>
      <w:r>
        <w:rPr>
          <w:color w:val="000000"/>
        </w:rPr>
        <w:t>    </w:t>
      </w:r>
      <w:r>
        <w:rPr>
          <w:rFonts w:ascii="Times New Roman;sans-serif" w:hAnsi="Times New Roman;sans-serif"/>
          <w:b w:val="false"/>
          <w:color w:val="000000"/>
          <w:sz w:val="20"/>
        </w:rPr>
        <w:t>7.2.2    </w:t>
      </w:r>
      <w:r>
        <w:rPr>
          <w:rFonts w:ascii="Times New Roman;sans-serif" w:hAnsi="Times New Roman;sans-serif"/>
          <w:b w:val="false"/>
          <w:color w:val="000000"/>
          <w:sz w:val="20"/>
          <w:u w:val="single"/>
        </w:rPr>
        <w:t>Additional Submissions — Information Access</w:t>
      </w:r>
      <w:r>
        <w:rPr>
          <w:rFonts w:ascii="Times New Roman;sans-serif" w:hAnsi="Times New Roman;sans-serif"/>
          <w:b w:val="false"/>
          <w:color w:val="000000"/>
          <w:sz w:val="20"/>
        </w:rPr>
        <w:t>. The claimant shall then have the opportunity to submit written comments, documents, records and other information relating to the claim. The Plan Administrator shall also provide the claimant, upon request and free of charge, reasonable access to, and copies of, all documents, records and other information relevant (as defined in applicable ERISA regulations) to the claimant’s claim for benefits.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7.2.3    </w:t>
      </w:r>
      <w:r>
        <w:rPr>
          <w:rFonts w:ascii="Times New Roman;sans-serif" w:hAnsi="Times New Roman;sans-serif"/>
          <w:b w:val="false"/>
          <w:color w:val="000000"/>
          <w:sz w:val="20"/>
          <w:u w:val="single"/>
        </w:rPr>
        <w:t>Considerations on Review</w:t>
      </w:r>
      <w:r>
        <w:rPr>
          <w:rFonts w:ascii="Times New Roman;sans-serif" w:hAnsi="Times New Roman;sans-serif"/>
          <w:b w:val="false"/>
          <w:color w:val="000000"/>
          <w:sz w:val="20"/>
        </w:rPr>
        <w:t>. In considering the review, the Plan Administrator shall take into account all materials and information the claimant submits relating to the claim, without regard to whether such information was submitted or considered in the initial benefit determination.</w:t>
      </w:r>
    </w:p>
    <w:p>
      <w:pPr>
        <w:pStyle w:val="TextBody"/>
        <w:spacing w:lineRule="auto" w:line="240" w:before="0" w:after="240"/>
        <w:jc w:val="both"/>
        <w:rPr/>
      </w:pPr>
      <w:r>
        <w:rPr>
          <w:color w:val="000000"/>
        </w:rPr>
        <w:t>    </w:t>
      </w:r>
      <w:r>
        <w:rPr>
          <w:rFonts w:ascii="Times New Roman;sans-serif" w:hAnsi="Times New Roman;sans-serif"/>
          <w:b w:val="false"/>
          <w:color w:val="000000"/>
          <w:sz w:val="20"/>
        </w:rPr>
        <w:t>7.2.4    </w:t>
      </w:r>
      <w:r>
        <w:rPr>
          <w:rFonts w:ascii="Times New Roman;sans-serif" w:hAnsi="Times New Roman;sans-serif"/>
          <w:b w:val="false"/>
          <w:color w:val="000000"/>
          <w:sz w:val="20"/>
          <w:u w:val="single"/>
        </w:rPr>
        <w:t>Timing of Plan Administrator Response</w:t>
      </w:r>
      <w:r>
        <w:rPr>
          <w:rFonts w:ascii="Times New Roman;sans-serif" w:hAnsi="Times New Roman;sans-serif"/>
          <w:b w:val="false"/>
          <w:color w:val="000000"/>
          <w:sz w:val="20"/>
        </w:rPr>
        <w:t>. The Plan Administrator shall respond in writing to such claimant within sixty (60) days after receiving the request for review. If the Plan Administrator determines that special circumstances require additional time for processing the claim, the Plan Administrator can extend the response period by an additional sixty (60) days by notifying the claimant in writing, prior to the end of the initial sixty (60) day period, that an additional period is required. The notice of extension must set forth the special circumstances and the date by which the Plan Administrator expects to render its decision.</w:t>
      </w:r>
    </w:p>
    <w:p>
      <w:pPr>
        <w:pStyle w:val="TextBody"/>
        <w:spacing w:lineRule="auto" w:line="240" w:before="0" w:after="240"/>
        <w:jc w:val="both"/>
        <w:rPr/>
      </w:pPr>
      <w:r>
        <w:rPr>
          <w:color w:val="000000"/>
        </w:rPr>
        <w:t>    </w:t>
      </w:r>
      <w:r>
        <w:rPr>
          <w:rFonts w:ascii="Times New Roman;sans-serif" w:hAnsi="Times New Roman;sans-serif"/>
          <w:b w:val="false"/>
          <w:color w:val="000000"/>
          <w:sz w:val="20"/>
        </w:rPr>
        <w:t>7.2.5    </w:t>
      </w:r>
      <w:r>
        <w:rPr>
          <w:rFonts w:ascii="Times New Roman;sans-serif" w:hAnsi="Times New Roman;sans-serif"/>
          <w:b w:val="false"/>
          <w:color w:val="000000"/>
          <w:sz w:val="20"/>
          <w:u w:val="single"/>
        </w:rPr>
        <w:t>Notice of Decision</w:t>
      </w:r>
      <w:r>
        <w:rPr>
          <w:rFonts w:ascii="Times New Roman;sans-serif" w:hAnsi="Times New Roman;sans-serif"/>
          <w:b w:val="false"/>
          <w:color w:val="000000"/>
          <w:sz w:val="20"/>
        </w:rPr>
        <w:t>. The Plan Administrator shall notify the claimant in writing of its decision on review. The Plan Administrator shall write the notification in a manner calculated to be understood by the claimant. The notification shall set forth:</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(a)    The specific reasons for the denial;</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(b)    A reference to the specific provisions of this Agreement on which the denial is based;</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(c)    A statement that the claimant is entitled to receive, upon request and free of charge, reasonable access to, and copies of, all documents, records and other information relevant (as defined in applicable ERISA regulations) to the claimant’s claim for benefits; and</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(d)    A statement of the claimant’s right to bring a civil action under ERISA Section 502(a).</w:t>
      </w:r>
    </w:p>
    <w:p>
      <w:pPr>
        <w:pStyle w:val="TextBody"/>
        <w:spacing w:lineRule="auto" w:line="240" w:before="0" w:after="0"/>
        <w:rPr>
          <w:color w:val="000000"/>
        </w:rPr>
      </w:pPr>
      <w:r>
        <w:rPr>
          <w:color w:val="000000"/>
        </w:rPr>
        <w:t> </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Article 8 </w:t>
        <w:br/>
        <w:t>Amendments and Termination</w:t>
      </w:r>
    </w:p>
    <w:p>
      <w:pPr>
        <w:pStyle w:val="TextBody"/>
        <w:spacing w:lineRule="auto" w:line="240" w:before="0" w:after="240"/>
        <w:jc w:val="both"/>
        <w:rPr/>
      </w:pPr>
      <w:r>
        <w:rPr>
          <w:color w:val="000000"/>
        </w:rPr>
        <w:t>    </w:t>
      </w:r>
      <w:r>
        <w:rPr>
          <w:rFonts w:ascii="Times New Roman;sans-serif" w:hAnsi="Times New Roman;sans-serif"/>
          <w:b w:val="false"/>
          <w:color w:val="000000"/>
          <w:sz w:val="20"/>
        </w:rPr>
        <w:t>8.1    </w:t>
      </w:r>
      <w:r>
        <w:rPr>
          <w:rFonts w:ascii="Times New Roman;sans-serif" w:hAnsi="Times New Roman;sans-serif"/>
          <w:b w:val="false"/>
          <w:color w:val="000000"/>
          <w:sz w:val="20"/>
          <w:u w:val="single"/>
        </w:rPr>
        <w:t xml:space="preserve">Amendments. </w:t>
      </w:r>
      <w:r>
        <w:rPr>
          <w:rFonts w:ascii="Times New Roman;sans-serif" w:hAnsi="Times New Roman;sans-serif"/>
          <w:b w:val="false"/>
          <w:color w:val="000000"/>
          <w:sz w:val="20"/>
        </w:rPr>
        <w:t xml:space="preserve">This Agreement may be amended only by a written agreement signed by the Bank and the Executive. However, the Bank may unilaterally amend this Agreement to conform with written directives to </w:t>
      </w:r>
      <w:r>
        <w:br w:type="page"/>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90" name="Frame9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Bank from its auditors or banking regulators or to comply with legislative changes or tax law, including without limitation Code Section 409A.</w:t>
      </w:r>
    </w:p>
    <w:p>
      <w:pPr>
        <w:pStyle w:val="TextBody"/>
        <w:spacing w:lineRule="auto" w:line="240" w:before="0" w:after="240"/>
        <w:jc w:val="both"/>
        <w:rPr/>
      </w:pPr>
      <w:r>
        <w:rPr>
          <w:color w:val="000000"/>
        </w:rPr>
        <w:t>    </w:t>
      </w:r>
      <w:r>
        <w:rPr>
          <w:rFonts w:ascii="Times New Roman;sans-serif" w:hAnsi="Times New Roman;sans-serif"/>
          <w:b w:val="false"/>
          <w:color w:val="000000"/>
          <w:sz w:val="20"/>
        </w:rPr>
        <w:t>8.2    </w:t>
      </w:r>
      <w:r>
        <w:rPr>
          <w:rFonts w:ascii="Times New Roman;sans-serif" w:hAnsi="Times New Roman;sans-serif"/>
          <w:b w:val="false"/>
          <w:color w:val="000000"/>
          <w:sz w:val="20"/>
          <w:u w:val="single"/>
        </w:rPr>
        <w:t>Plan Termination Generally</w:t>
      </w:r>
      <w:r>
        <w:rPr>
          <w:rFonts w:ascii="Times New Roman;sans-serif" w:hAnsi="Times New Roman;sans-serif"/>
          <w:b w:val="false"/>
          <w:color w:val="000000"/>
          <w:sz w:val="20"/>
        </w:rPr>
        <w:t>. This Agreement may be terminated only by a written agreement signed by the Bank and the Executive. The benefit shall be the entire amount accrued by the Bank with respect to the Bank’s obligations hereunder as of the date this Agreement is terminated. Except as provided in Section 8.3, the termination of this Agreement shall not cause a distribution of benefits under this Agreement. Rather, upon such termination benefit distributions will be made at the earliest distribution event permitted under Article 2 or Article 3.</w:t>
      </w:r>
    </w:p>
    <w:p>
      <w:pPr>
        <w:pStyle w:val="TextBody"/>
        <w:spacing w:lineRule="auto" w:line="240" w:before="0" w:after="240"/>
        <w:jc w:val="both"/>
        <w:rPr/>
      </w:pPr>
      <w:r>
        <w:rPr>
          <w:color w:val="000000"/>
        </w:rPr>
        <w:t>    </w:t>
      </w:r>
      <w:r>
        <w:rPr>
          <w:rFonts w:ascii="Times New Roman;sans-serif" w:hAnsi="Times New Roman;sans-serif"/>
          <w:b w:val="false"/>
          <w:color w:val="000000"/>
          <w:sz w:val="20"/>
        </w:rPr>
        <w:t>8.3    </w:t>
      </w:r>
      <w:r>
        <w:rPr>
          <w:rFonts w:ascii="Times New Roman;sans-serif" w:hAnsi="Times New Roman;sans-serif"/>
          <w:b w:val="false"/>
          <w:color w:val="000000"/>
          <w:sz w:val="20"/>
          <w:u w:val="single"/>
        </w:rPr>
        <w:t>Plan Terminations Under Code Section 409A</w:t>
      </w:r>
      <w:r>
        <w:rPr>
          <w:rFonts w:ascii="Times New Roman;sans-serif" w:hAnsi="Times New Roman;sans-serif"/>
          <w:b w:val="false"/>
          <w:color w:val="000000"/>
          <w:sz w:val="20"/>
        </w:rPr>
        <w:t>. Notwithstanding anything to the contrary in Section 8.2, if the Bank terminates this Agreement in the following circumstances:</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a)    Within thirty (30) days before or twelve (12) months after a Change in Control, provided that all distributions are made no later than twelve (12) months following such termination of this Agreement and further provided that all the Bank’s arrangements which are substantially similar to this Agreement are terminated so the Executive and all participants in the similar arrangements are required to receive all amounts of compensation deferred under the terminated arrangements within twelve (12) months of such termination;</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b)    Upon the Bank’s dissolution or with the approval of a bankruptcy court provided that the amounts deferred under this Agreement are included in the Executive’s gross income in the latest of (i) the calendar year in which this Agreement terminates; (ii) the calendar year in which the amount is no longer subject to a substantial risk of forfeiture; or (iii) the first calendar year in which the distribution is administratively practical; or</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c)    Upon the Bank’s termination of this and all other arrangements that would be aggregated with this Agreement pursuant to Treasury Regulations Section 1.409A-1(c) if the Executive participated in such arrangements (“Similar Arrangements”), provided that (i) the termination and liquidation does not occur proximate to a downturn in the financial health of the Bank, (ii) all termination distributions are made no earlier than twelve (12) months and no later than twenty-four (24) months following such termination, and (iii) the Bank does not adopt any new arrangement that would be a Similar Arrangement for a minimum of three (3) years following the date the Bank takes all necessary action to irrevocably terminate and liquidate the Agreement;</w:t>
      </w:r>
    </w:p>
    <w:p>
      <w:pPr>
        <w:pStyle w:val="TextBody"/>
        <w:spacing w:lineRule="auto" w:line="240" w:before="0" w:after="0"/>
        <w:rPr>
          <w:color w:val="000000"/>
        </w:rPr>
      </w:pPr>
      <w:r>
        <w:rPr>
          <w:color w:val="000000"/>
        </w:rPr>
        <w:t> </w: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the Bank may distribute the entire amount accrued by the Bank with respect to the Bank’s obligations hereunder, determined as of the date of the termination of this Agreement, to the Executive in a lump sum subject to the above terms.</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Article 9 </w:t>
        <w:br/>
        <w:t>Miscellaneous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9.1    </w:t>
      </w:r>
      <w:r>
        <w:rPr>
          <w:rFonts w:ascii="Times New Roman;sans-serif" w:hAnsi="Times New Roman;sans-serif"/>
          <w:b w:val="false"/>
          <w:color w:val="000000"/>
          <w:sz w:val="20"/>
          <w:u w:val="single"/>
        </w:rPr>
        <w:t>Binding Effect</w:t>
      </w:r>
      <w:r>
        <w:rPr>
          <w:rFonts w:ascii="Times New Roman;sans-serif" w:hAnsi="Times New Roman;sans-serif"/>
          <w:b w:val="false"/>
          <w:color w:val="000000"/>
          <w:sz w:val="20"/>
        </w:rPr>
        <w:t>. This Agreement shall bind the Executive and the Bank and their beneficiaries, survivors, executors, administrators and transferees.</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9.2    </w:t>
      </w:r>
      <w:r>
        <w:rPr>
          <w:rFonts w:ascii="Times New Roman;sans-serif" w:hAnsi="Times New Roman;sans-serif"/>
          <w:b w:val="false"/>
          <w:color w:val="000000"/>
          <w:sz w:val="20"/>
          <w:u w:val="single"/>
        </w:rPr>
        <w:t>No Guarantee of Employment</w:t>
      </w:r>
      <w:r>
        <w:rPr>
          <w:rFonts w:ascii="Times New Roman;sans-serif" w:hAnsi="Times New Roman;sans-serif"/>
          <w:b w:val="false"/>
          <w:color w:val="000000"/>
          <w:sz w:val="20"/>
        </w:rPr>
        <w:t>. This Agreement is not a contract for employment. It does not give the Executive the right to remain as an employee of the Bank nor interfere with the Bank’s right to discharge the Executive. It does not require the Executive to remain an employee nor interfere with the Executive’s right to terminate employment at any time.</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9.3    </w:t>
      </w:r>
      <w:r>
        <w:rPr>
          <w:rFonts w:ascii="Times New Roman;sans-serif" w:hAnsi="Times New Roman;sans-serif"/>
          <w:b w:val="false"/>
          <w:color w:val="000000"/>
          <w:sz w:val="20"/>
          <w:u w:val="single"/>
        </w:rPr>
        <w:t>Non-Transferability</w:t>
      </w:r>
      <w:r>
        <w:rPr>
          <w:rFonts w:ascii="Times New Roman;sans-serif" w:hAnsi="Times New Roman;sans-serif"/>
          <w:b w:val="false"/>
          <w:color w:val="000000"/>
          <w:sz w:val="20"/>
        </w:rPr>
        <w:t>. Benefits under this Agreement cannot be sold, transferred, assigned, pledged, attached or encumbered in any manner.</w:t>
      </w:r>
    </w:p>
    <w:p>
      <w:pPr>
        <w:pStyle w:val="TextBody"/>
        <w:spacing w:lineRule="auto" w:line="240" w:before="0" w:after="0"/>
        <w:jc w:val="both"/>
        <w:rPr/>
      </w:pPr>
      <w:r>
        <w:rPr>
          <w:color w:val="000000"/>
        </w:rPr>
        <w:t>    </w:t>
      </w:r>
      <w:r>
        <w:rPr>
          <w:rFonts w:ascii="Times New Roman;sans-serif" w:hAnsi="Times New Roman;sans-serif"/>
          <w:b w:val="false"/>
          <w:color w:val="000000"/>
          <w:sz w:val="20"/>
        </w:rPr>
        <w:t>9.4    </w:t>
      </w:r>
      <w:r>
        <w:rPr>
          <w:rFonts w:ascii="Times New Roman;sans-serif" w:hAnsi="Times New Roman;sans-serif"/>
          <w:b w:val="false"/>
          <w:color w:val="000000"/>
          <w:sz w:val="20"/>
          <w:u w:val="single"/>
        </w:rPr>
        <w:t>Tax Withholding and Reporting</w:t>
      </w:r>
      <w:r>
        <w:rPr>
          <w:rFonts w:ascii="Times New Roman;sans-serif" w:hAnsi="Times New Roman;sans-serif"/>
          <w:b w:val="false"/>
          <w:color w:val="000000"/>
          <w:sz w:val="20"/>
        </w:rPr>
        <w:t>. The Bank shall withhold any taxes that are required to be withheld, including but not limited to taxes owed under Code Section 409A from the benefits provided under this Agreement. The Executive acknowledges that the Bank’s sole liability regarding taxes is to forward any amounts withheld to the appropriate taxing authorities. The Bank shall satisfy all applicable reporting requirements, including those under Code Section 409A.</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9.5    </w:t>
      </w:r>
      <w:r>
        <w:rPr>
          <w:rFonts w:ascii="Times New Roman;sans-serif" w:hAnsi="Times New Roman;sans-serif"/>
          <w:b w:val="false"/>
          <w:color w:val="000000"/>
          <w:sz w:val="20"/>
          <w:u w:val="single"/>
        </w:rPr>
        <w:t>Applicable Law</w:t>
      </w:r>
      <w:r>
        <w:rPr>
          <w:rFonts w:ascii="Times New Roman;sans-serif" w:hAnsi="Times New Roman;sans-serif"/>
          <w:b w:val="false"/>
          <w:color w:val="000000"/>
          <w:sz w:val="20"/>
        </w:rPr>
        <w:t>. This Agreement and all rights hereunder shall be governed by the laws of the State of California, except to the extent preempted by the laws of the United States of America.</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9.6    </w:t>
      </w:r>
      <w:r>
        <w:rPr>
          <w:rFonts w:ascii="Times New Roman;sans-serif" w:hAnsi="Times New Roman;sans-serif"/>
          <w:b w:val="false"/>
          <w:color w:val="000000"/>
          <w:sz w:val="20"/>
          <w:u w:val="single"/>
        </w:rPr>
        <w:t>Unfunded Arrangement</w:t>
      </w:r>
      <w:r>
        <w:rPr>
          <w:rFonts w:ascii="Times New Roman;sans-serif" w:hAnsi="Times New Roman;sans-serif"/>
          <w:b w:val="false"/>
          <w:color w:val="000000"/>
          <w:sz w:val="20"/>
        </w:rPr>
        <w:t xml:space="preserve">. The Executive and the Beneficiary are general unsecured creditors of the Bank for the distribution of benefits under this Agreement. The benefits represent the mere promise by the Bank to distribute such benefits. The rights to benefits are not subject in any manner to anticipation, alienation, sale, transfer, assignment, pledge, encumbrance, attachment or garnishment by creditors. Any insurance on the Executive’s life or </w:t>
      </w:r>
      <w:r>
        <w:br w:type="page"/>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91" name="Frame9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informal funding asset is a general asset of the Bank to which the Executive and Beneficiary have no preferred or secured claim.</w:t>
      </w:r>
    </w:p>
    <w:p>
      <w:pPr>
        <w:pStyle w:val="TextBody"/>
        <w:spacing w:lineRule="auto" w:line="240" w:before="0" w:after="0"/>
        <w:jc w:val="both"/>
        <w:rPr/>
      </w:pPr>
      <w:r>
        <w:rPr>
          <w:color w:val="000000"/>
        </w:rPr>
        <w:t>    </w:t>
      </w:r>
      <w:r>
        <w:rPr>
          <w:rFonts w:ascii="Times New Roman;sans-serif" w:hAnsi="Times New Roman;sans-serif"/>
          <w:b w:val="false"/>
          <w:color w:val="000000"/>
          <w:sz w:val="20"/>
        </w:rPr>
        <w:t>9.7    </w:t>
      </w:r>
      <w:r>
        <w:rPr>
          <w:rFonts w:ascii="Times New Roman;sans-serif" w:hAnsi="Times New Roman;sans-serif"/>
          <w:b w:val="false"/>
          <w:color w:val="000000"/>
          <w:sz w:val="20"/>
          <w:u w:val="single"/>
        </w:rPr>
        <w:t>Reorganization</w:t>
      </w:r>
      <w:r>
        <w:rPr>
          <w:rFonts w:ascii="Times New Roman;sans-serif" w:hAnsi="Times New Roman;sans-serif"/>
          <w:b w:val="false"/>
          <w:color w:val="000000"/>
          <w:sz w:val="20"/>
        </w:rPr>
        <w:t>. The Bank shall not merge or consolidate into or with another bank, or reorganize, or sell substantially all of its assets to another bank, firm or person unless such succeeding or continuing bank, firm or person agrees to assume and discharge the obligations of the Bank under this Agreement. Upon the occurrence of such an event, the term “Bank” as used in this Agreement shall be deemed to refer to the successor or survivor entity.</w:t>
      </w:r>
    </w:p>
    <w:p>
      <w:pPr>
        <w:pStyle w:val="TextBody"/>
        <w:spacing w:lineRule="auto" w:line="240" w:before="0" w:after="0"/>
        <w:rPr>
          <w:color w:val="000000"/>
        </w:rPr>
      </w:pPr>
      <w:r>
        <w:rPr>
          <w:color w:val="000000"/>
        </w:rPr>
        <w:t> </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9.8    </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This Agreement constitutes the entire agreement between the Bank and the Executive as to the subject matter hereof. No rights are granted to the Executive by virtue of this Agreement other than those specifically set forth herein.</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9.9    </w:t>
      </w:r>
      <w:r>
        <w:rPr>
          <w:rFonts w:ascii="Times New Roman;sans-serif" w:hAnsi="Times New Roman;sans-serif"/>
          <w:b w:val="false"/>
          <w:color w:val="000000"/>
          <w:sz w:val="20"/>
          <w:u w:val="single"/>
        </w:rPr>
        <w:t>Interpretation</w:t>
      </w:r>
      <w:r>
        <w:rPr>
          <w:rFonts w:ascii="Times New Roman;sans-serif" w:hAnsi="Times New Roman;sans-serif"/>
          <w:b w:val="false"/>
          <w:color w:val="000000"/>
          <w:sz w:val="20"/>
        </w:rPr>
        <w:t>. Wherever the fulfillment of the intent and purpose of this Agreement requires and the context will permit, the use of the masculine gender includes the feminine and use of the singular includes the plural.</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9.10    </w:t>
      </w:r>
      <w:r>
        <w:rPr>
          <w:rFonts w:ascii="Times New Roman;sans-serif" w:hAnsi="Times New Roman;sans-serif"/>
          <w:b w:val="false"/>
          <w:color w:val="000000"/>
          <w:sz w:val="20"/>
          <w:u w:val="single"/>
        </w:rPr>
        <w:t>Alternative Action</w:t>
      </w:r>
      <w:r>
        <w:rPr>
          <w:rFonts w:ascii="Times New Roman;sans-serif" w:hAnsi="Times New Roman;sans-serif"/>
          <w:b w:val="false"/>
          <w:color w:val="000000"/>
          <w:sz w:val="20"/>
        </w:rPr>
        <w:t>. In the event it shall become impossible for the Bank or the Plan Administrator to perform any act required by this Agreement due to regulatory or other constraints, the Bank or Plan Administrator may perform such alternative act as most nearly carries out the intent and purpose of this Agreement and is in the best interests of the Bank, provided that such alternative act does not violate Code Section 409A.</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9.11    </w:t>
      </w:r>
      <w:r>
        <w:rPr>
          <w:rFonts w:ascii="Times New Roman;sans-serif" w:hAnsi="Times New Roman;sans-serif"/>
          <w:b w:val="false"/>
          <w:color w:val="000000"/>
          <w:sz w:val="20"/>
          <w:u w:val="single"/>
        </w:rPr>
        <w:t>Headings</w:t>
      </w:r>
      <w:r>
        <w:rPr>
          <w:rFonts w:ascii="Times New Roman;sans-serif" w:hAnsi="Times New Roman;sans-serif"/>
          <w:b w:val="false"/>
          <w:color w:val="000000"/>
          <w:sz w:val="20"/>
        </w:rPr>
        <w:t>. Article and section headings are for convenient reference only and shall not control or affect the meaning or construction of any provision herein.</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9.12    </w:t>
      </w:r>
      <w:r>
        <w:rPr>
          <w:rFonts w:ascii="Times New Roman;sans-serif" w:hAnsi="Times New Roman;sans-serif"/>
          <w:b w:val="false"/>
          <w:color w:val="000000"/>
          <w:sz w:val="20"/>
          <w:u w:val="single"/>
        </w:rPr>
        <w:t>Validity</w:t>
      </w:r>
      <w:r>
        <w:rPr>
          <w:rFonts w:ascii="Times New Roman;sans-serif" w:hAnsi="Times New Roman;sans-serif"/>
          <w:b w:val="false"/>
          <w:color w:val="000000"/>
          <w:sz w:val="20"/>
        </w:rPr>
        <w:t>. If any provision of this Agreement shall be illegal or invalid for any reason, said illegality or invalidity shall not affect the remaining parts hereof, but this Agreement shall be construed and enforced as if such illegal or invalid provision had never been included herein.</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9.13    </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Any notice or filing required or permitted to be given to the Bank or Plan Administrator under this Agreement shall be sufficient if in writing and hand-delivered or sent by registered or certified mail to the address below:</w:t>
      </w:r>
    </w:p>
    <w:tbl>
      <w:tblPr>
        <w:tblW w:w="2730" w:type="dxa"/>
        <w:jc w:val="left"/>
        <w:tblInd w:w="0" w:type="dxa"/>
        <w:tblCellMar>
          <w:top w:w="28" w:type="dxa"/>
          <w:left w:w="28" w:type="dxa"/>
          <w:bottom w:w="28" w:type="dxa"/>
          <w:right w:w="28" w:type="dxa"/>
        </w:tblCellMar>
      </w:tblPr>
      <w:tblGrid>
        <w:gridCol w:w="872"/>
        <w:gridCol w:w="768"/>
        <w:gridCol w:w="1090"/>
      </w:tblGrid>
      <w:tr>
        <w:trPr/>
        <w:tc>
          <w:tcPr>
            <w:tcW w:w="87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Star Bank</w:t>
            </w:r>
          </w:p>
        </w:tc>
      </w:tr>
      <w:tr>
        <w:trPr/>
        <w:tc>
          <w:tcPr>
            <w:tcW w:w="27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 Plan Administrator</w:t>
            </w:r>
          </w:p>
        </w:tc>
      </w:tr>
      <w:tr>
        <w:trPr/>
        <w:tc>
          <w:tcPr>
            <w:tcW w:w="27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6810 Five Star Bank Boulevard</w:t>
            </w:r>
          </w:p>
        </w:tc>
      </w:tr>
      <w:tr>
        <w:trPr/>
        <w:tc>
          <w:tcPr>
            <w:tcW w:w="27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Rocklin, CA 95677</w:t>
            </w:r>
          </w:p>
        </w:tc>
      </w:tr>
    </w:tbl>
    <w:p>
      <w:pPr>
        <w:pStyle w:val="TextBody"/>
        <w:spacing w:lineRule="auto" w:line="240" w:before="0" w:after="0"/>
        <w:rPr>
          <w:color w:val="000000"/>
        </w:rPr>
      </w:pPr>
      <w:r>
        <w:rPr>
          <w:color w:val="000000"/>
        </w:rPr>
        <w:t> </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Such notice shall be deemed given as of the date of delivery or, if delivery is made by mail, as of the date shown on the postmark on the receipt for registration or certification.</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notice or filing required or permitted to be given to the Executive under this Agreement shall be sufficient if in writing and hand-delivered or sent by mail to the last known address of the Executive.</w:t>
      </w:r>
    </w:p>
    <w:p>
      <w:pPr>
        <w:pStyle w:val="TextBody"/>
        <w:spacing w:lineRule="auto" w:line="240" w:before="0" w:after="240"/>
        <w:jc w:val="both"/>
        <w:rPr/>
      </w:pPr>
      <w:r>
        <w:rPr>
          <w:color w:val="000000"/>
        </w:rPr>
        <w:t>    </w:t>
      </w:r>
      <w:r>
        <w:rPr>
          <w:rFonts w:ascii="Times New Roman;sans-serif" w:hAnsi="Times New Roman;sans-serif"/>
          <w:b w:val="false"/>
          <w:color w:val="000000"/>
          <w:sz w:val="20"/>
        </w:rPr>
        <w:t>9.14    </w:t>
      </w:r>
      <w:r>
        <w:rPr>
          <w:rFonts w:ascii="Times New Roman;sans-serif" w:hAnsi="Times New Roman;sans-serif"/>
          <w:b w:val="false"/>
          <w:color w:val="000000"/>
          <w:sz w:val="20"/>
          <w:u w:val="single"/>
        </w:rPr>
        <w:t>Deduction Limitation on Benefit Payments</w:t>
      </w:r>
      <w:r>
        <w:rPr>
          <w:rFonts w:ascii="Times New Roman;sans-serif" w:hAnsi="Times New Roman;sans-serif"/>
          <w:b w:val="false"/>
          <w:color w:val="000000"/>
          <w:sz w:val="20"/>
        </w:rPr>
        <w:t>. If the Bank reasonably anticipates that the Bank’s deduction with respect to any distribution under this Agreement would be limited or eliminated by application of Code Section 162(m), then to the extent deemed necessary by the Bank to ensure that the entire amount of any distribution from this Agreement is deductible, the Bank may delay payment of any amount that would otherwise be distributed under this Agreement. The delayed amounts shall be distributed to the Executive (or the Beneficiary in the event of the Executive’s death) at the earliest date the Bank reasonably anticipates that the deduction of the payment of the amount will not be limited or eliminated by application of Code Section 162(m).</w:t>
      </w:r>
    </w:p>
    <w:p>
      <w:pPr>
        <w:pStyle w:val="TextBody"/>
        <w:spacing w:lineRule="auto" w:line="240" w:before="0" w:after="0"/>
        <w:jc w:val="both"/>
        <w:rPr/>
      </w:pPr>
      <w:r>
        <w:rPr>
          <w:color w:val="000000"/>
        </w:rPr>
        <w:t>    </w:t>
      </w:r>
      <w:r>
        <w:rPr>
          <w:rFonts w:ascii="Times New Roman;sans-serif" w:hAnsi="Times New Roman;sans-serif"/>
          <w:b w:val="false"/>
          <w:color w:val="000000"/>
          <w:sz w:val="20"/>
        </w:rPr>
        <w:t>9.15    </w:t>
      </w:r>
      <w:r>
        <w:rPr>
          <w:rFonts w:ascii="Times New Roman;sans-serif" w:hAnsi="Times New Roman;sans-serif"/>
          <w:b w:val="false"/>
          <w:color w:val="000000"/>
          <w:sz w:val="20"/>
          <w:u w:val="single"/>
        </w:rPr>
        <w:t>Compliance with Section 409A</w:t>
      </w:r>
      <w:r>
        <w:rPr>
          <w:rFonts w:ascii="Times New Roman;sans-serif" w:hAnsi="Times New Roman;sans-serif"/>
          <w:b w:val="false"/>
          <w:color w:val="000000"/>
          <w:sz w:val="20"/>
        </w:rPr>
        <w:t>. This Agreement shall be interpreted and administered consistent with Code Section 409A.</w:t>
      </w:r>
    </w:p>
    <w:p>
      <w:pPr>
        <w:pStyle w:val="TextBody"/>
        <w:spacing w:lineRule="auto" w:line="240" w:before="0" w:after="0"/>
        <w:rPr>
          <w:color w:val="000000"/>
        </w:rPr>
      </w:pPr>
      <w:r>
        <w:rPr>
          <w:color w:val="000000"/>
        </w:rPr>
        <w:t> </w:t>
      </w:r>
    </w:p>
    <w:p>
      <w:pPr>
        <w:pStyle w:val="TextBody"/>
        <w:rPr/>
      </w:pPr>
      <w:r>
        <w:rPr/>
      </w:r>
      <w:r>
        <w:br w:type="page"/>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Executive and a duly authorized representative of the Bank have signed this Agreement.</w:t>
      </w:r>
    </w:p>
    <w:tbl>
      <w:tblPr>
        <w:tblW w:w="4810" w:type="dxa"/>
        <w:jc w:val="left"/>
        <w:tblInd w:w="0" w:type="dxa"/>
        <w:tblCellMar>
          <w:top w:w="28" w:type="dxa"/>
          <w:left w:w="28" w:type="dxa"/>
          <w:bottom w:w="28" w:type="dxa"/>
          <w:right w:w="28" w:type="dxa"/>
        </w:tblCellMar>
      </w:tblPr>
      <w:tblGrid>
        <w:gridCol w:w="679"/>
        <w:gridCol w:w="596"/>
        <w:gridCol w:w="599"/>
        <w:gridCol w:w="109"/>
        <w:gridCol w:w="109"/>
        <w:gridCol w:w="109"/>
        <w:gridCol w:w="198"/>
        <w:gridCol w:w="198"/>
        <w:gridCol w:w="203"/>
        <w:gridCol w:w="589"/>
        <w:gridCol w:w="589"/>
        <w:gridCol w:w="832"/>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0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0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E. Beckwith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R. Stodden</w:t>
            </w:r>
          </w:p>
        </w:tc>
      </w:tr>
      <w:tr>
        <w:trPr/>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Beckwith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20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Board</w:t>
            </w:r>
          </w:p>
        </w:tc>
      </w:tr>
    </w:tbl>
    <w:p>
      <w:pPr>
        <w:pStyle w:val="TextBody"/>
        <w:spacing w:lineRule="auto" w:line="240"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br/>
        <w:t>Beneficiary Designation Form</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93" name="Frame9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40" w:before="0" w:after="0"/>
        <w:rPr>
          <w:color w:val="000000"/>
        </w:rPr>
      </w:pPr>
      <w:r>
        <w:rPr>
          <w:color w:val="000000"/>
        </w:rPr>
        <w:t> </w:t>
      </w:r>
    </w:p>
    <w:tbl>
      <w:tblPr>
        <w:tblW w:w="2370" w:type="dxa"/>
        <w:jc w:val="left"/>
        <w:tblInd w:w="0" w:type="dxa"/>
        <w:tblCellMar>
          <w:top w:w="28" w:type="dxa"/>
          <w:left w:w="28" w:type="dxa"/>
          <w:bottom w:w="28" w:type="dxa"/>
          <w:right w:w="28" w:type="dxa"/>
        </w:tblCellMar>
      </w:tblPr>
      <w:tblGrid>
        <w:gridCol w:w="125"/>
        <w:gridCol w:w="110"/>
        <w:gridCol w:w="110"/>
        <w:gridCol w:w="593"/>
        <w:gridCol w:w="593"/>
        <w:gridCol w:w="839"/>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Designation</w:t>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Designation</w:t>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720"/>
              <w:jc w:val="left"/>
              <w:rPr>
                <w:color w:val="000000"/>
              </w:rPr>
            </w:pPr>
            <w:r>
              <w:rPr>
                <w:color w:val="000000"/>
              </w:rPr>
              <w:t> </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720"/>
              <w:jc w:val="left"/>
              <w:rPr>
                <w:color w:val="000000"/>
              </w:rPr>
            </w:pPr>
            <w:r>
              <w:rPr>
                <w:color w:val="000000"/>
              </w:rPr>
              <w:t> </w:t>
            </w:r>
          </w:p>
        </w:tc>
      </w:tr>
    </w:tbl>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I, James Beckwith, designate the following as Beneficiary under this Agreement:</w:t>
      </w:r>
    </w:p>
    <w:tbl>
      <w:tblPr>
        <w:tblW w:w="6103" w:type="dxa"/>
        <w:jc w:val="left"/>
        <w:tblInd w:w="0" w:type="dxa"/>
        <w:tblCellMar>
          <w:top w:w="28" w:type="dxa"/>
          <w:left w:w="28" w:type="dxa"/>
          <w:bottom w:w="28" w:type="dxa"/>
          <w:right w:w="28" w:type="dxa"/>
        </w:tblCellMar>
      </w:tblPr>
      <w:tblGrid>
        <w:gridCol w:w="1983"/>
        <w:gridCol w:w="1742"/>
        <w:gridCol w:w="1749"/>
        <w:gridCol w:w="184"/>
        <w:gridCol w:w="184"/>
        <w:gridCol w:w="261"/>
      </w:tblGrid>
      <w:tr>
        <w:trPr/>
        <w:tc>
          <w:tcPr>
            <w:tcW w:w="198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Primary:</w:t>
            </w:r>
          </w:p>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w:t>
            </w:r>
          </w:p>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w:t>
            </w:r>
          </w:p>
        </w:tc>
        <w:tc>
          <w:tcPr>
            <w:tcW w:w="6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before="0" w:after="0"/>
              <w:jc w:val="left"/>
              <w:rPr/>
            </w:pPr>
            <w:r>
              <w:rPr/>
            </w:r>
          </w:p>
          <w:p>
            <w:pPr>
              <w:pStyle w:val="TableContents"/>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w:t>
            </w:r>
          </w:p>
          <w:p>
            <w:pPr>
              <w:pStyle w:val="TableContents"/>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w:t>
            </w:r>
          </w:p>
        </w:tc>
      </w:tr>
      <w:tr>
        <w:trPr/>
        <w:tc>
          <w:tcPr>
            <w:tcW w:w="54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Contingent:</w:t>
            </w:r>
          </w:p>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w:t>
            </w:r>
          </w:p>
          <w:p>
            <w:pPr>
              <w:pStyle w:val="TableContents"/>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w:t>
            </w:r>
          </w:p>
          <w:p>
            <w:pPr>
              <w:pStyle w:val="TableContents"/>
              <w:spacing w:lineRule="auto" w:line="240" w:before="0" w:after="120"/>
              <w:jc w:val="left"/>
              <w:rPr>
                <w:color w:val="000000"/>
              </w:rPr>
            </w:pPr>
            <w:r>
              <w:rPr>
                <w:color w:val="000000"/>
              </w:rPr>
              <w:t>   </w:t>
            </w:r>
          </w:p>
        </w:tc>
        <w:tc>
          <w:tcPr>
            <w:tcW w:w="62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before="0" w:after="0"/>
              <w:jc w:val="left"/>
              <w:rPr/>
            </w:pPr>
            <w:r>
              <w:rPr/>
            </w:r>
          </w:p>
          <w:p>
            <w:pPr>
              <w:pStyle w:val="TableContents"/>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w:t>
            </w:r>
          </w:p>
          <w:p>
            <w:pPr>
              <w:pStyle w:val="TableContents"/>
              <w:spacing w:lineRule="auto" w:line="240" w:before="0" w:after="120"/>
              <w:jc w:val="center"/>
              <w:rPr>
                <w:color w:val="000000"/>
              </w:rPr>
            </w:pPr>
            <w:r>
              <w:rPr>
                <w:color w:val="000000"/>
              </w:rPr>
              <w:t> </w:t>
            </w:r>
            <w:r>
              <w:rPr>
                <w:rFonts w:ascii="Times New Roman;sans-serif" w:hAnsi="Times New Roman;sans-serif"/>
                <w:b w:val="false"/>
                <w:color w:val="000000"/>
                <w:sz w:val="20"/>
              </w:rPr>
              <w:t>____</w:t>
            </w:r>
          </w:p>
        </w:tc>
      </w:tr>
    </w:tbl>
    <w:p>
      <w:pPr>
        <w:pStyle w:val="TextBody"/>
        <w:spacing w:lineRule="auto" w:line="240" w:before="240" w:after="240"/>
        <w:rPr>
          <w:rFonts w:ascii="Times New Roman;sans-serif" w:hAnsi="Times New Roman;sans-serif"/>
          <w:b/>
          <w:color w:val="000000"/>
          <w:sz w:val="20"/>
        </w:rPr>
      </w:pPr>
      <w:r>
        <w:rPr>
          <w:rFonts w:ascii="Times New Roman;sans-serif" w:hAnsi="Times New Roman;sans-serif"/>
          <w:b/>
          <w:color w:val="000000"/>
          <w:sz w:val="20"/>
        </w:rPr>
        <w:t>Notes:</w:t>
      </w:r>
    </w:p>
    <w:p>
      <w:pPr>
        <w:pStyle w:val="TextBody"/>
        <w:spacing w:lineRule="auto" w:line="240" w:before="0" w:after="0"/>
        <w:jc w:val="both"/>
        <w:rPr/>
      </w:pPr>
      <w:r>
        <w:rPr>
          <w:color w:val="000000"/>
        </w:rPr>
        <w:t>    </w:t>
      </w:r>
      <w:r>
        <w:rPr>
          <w:rFonts w:ascii="Times New Roman;sans-serif" w:hAnsi="Times New Roman;sans-serif"/>
          <w:b w:val="false"/>
          <w:color w:val="000000"/>
          <w:sz w:val="20"/>
        </w:rPr>
        <w:t>·    </w:t>
      </w:r>
      <w:r>
        <w:rPr>
          <w:rFonts w:ascii="Times New Roman;sans-serif" w:hAnsi="Times New Roman;sans-serif"/>
          <w:b/>
          <w:color w:val="000000"/>
          <w:sz w:val="20"/>
        </w:rPr>
        <w:t>Please PRINT CLEARLY or TYPE the names of the beneficiaries.</w:t>
      </w:r>
    </w:p>
    <w:p>
      <w:pPr>
        <w:pStyle w:val="TextBody"/>
        <w:spacing w:lineRule="auto" w:line="240" w:before="0" w:after="0"/>
        <w:jc w:val="both"/>
        <w:rPr/>
      </w:pPr>
      <w:r>
        <w:rPr>
          <w:color w:val="000000"/>
        </w:rPr>
        <w:t>    </w:t>
      </w:r>
      <w:r>
        <w:rPr>
          <w:rFonts w:ascii="Times New Roman;sans-serif" w:hAnsi="Times New Roman;sans-serif"/>
          <w:b w:val="false"/>
          <w:color w:val="000000"/>
          <w:sz w:val="20"/>
        </w:rPr>
        <w:t>·    </w:t>
      </w:r>
      <w:r>
        <w:rPr>
          <w:rFonts w:ascii="Times New Roman;sans-serif" w:hAnsi="Times New Roman;sans-serif"/>
          <w:b/>
          <w:color w:val="000000"/>
          <w:sz w:val="20"/>
        </w:rPr>
        <w:t xml:space="preserve">To name a trust as Beneficiary, please provide the name of the trustee(s) and the </w:t>
      </w:r>
      <w:r>
        <w:rPr>
          <w:rFonts w:ascii="Times New Roman;sans-serif" w:hAnsi="Times New Roman;sans-serif"/>
          <w:b/>
          <w:color w:val="000000"/>
          <w:sz w:val="20"/>
          <w:u w:val="single"/>
        </w:rPr>
        <w:t>exact</w:t>
      </w:r>
      <w:r>
        <w:rPr>
          <w:color w:val="000000"/>
        </w:rPr>
        <w:t xml:space="preserve"> </w:t>
      </w:r>
      <w:r>
        <w:rPr>
          <w:rFonts w:ascii="Times New Roman;sans-serif" w:hAnsi="Times New Roman;sans-serif"/>
          <w:b/>
          <w:color w:val="000000"/>
          <w:sz w:val="20"/>
        </w:rPr>
        <w:t>name and date of the trust agreement.</w:t>
      </w:r>
    </w:p>
    <w:p>
      <w:pPr>
        <w:pStyle w:val="TextBody"/>
        <w:spacing w:lineRule="auto" w:line="240" w:before="0" w:after="0"/>
        <w:jc w:val="both"/>
        <w:rPr/>
      </w:pPr>
      <w:r>
        <w:rPr>
          <w:color w:val="000000"/>
        </w:rPr>
        <w:t>    </w:t>
      </w:r>
      <w:r>
        <w:rPr>
          <w:rFonts w:ascii="Times New Roman;sans-serif" w:hAnsi="Times New Roman;sans-serif"/>
          <w:b w:val="false"/>
          <w:color w:val="000000"/>
          <w:sz w:val="20"/>
        </w:rPr>
        <w:t>·    </w:t>
      </w:r>
      <w:r>
        <w:rPr>
          <w:rFonts w:ascii="Times New Roman;sans-serif" w:hAnsi="Times New Roman;sans-serif"/>
          <w:b/>
          <w:color w:val="000000"/>
          <w:sz w:val="20"/>
        </w:rPr>
        <w:t>To name your estate as Beneficiary, please write “Estate of [</w:t>
      </w:r>
      <w:r>
        <w:rPr>
          <w:rFonts w:ascii="Times New Roman;sans-serif" w:hAnsi="Times New Roman;sans-serif"/>
          <w:b/>
          <w:color w:val="000000"/>
          <w:sz w:val="20"/>
          <w:u w:val="single"/>
        </w:rPr>
        <w:t>your name]</w:t>
      </w:r>
      <w:r>
        <w:rPr>
          <w:color w:val="000000"/>
        </w:rPr>
        <w:t>”</w:t>
      </w:r>
    </w:p>
    <w:p>
      <w:pPr>
        <w:pStyle w:val="TextBody"/>
        <w:spacing w:lineRule="auto" w:line="240" w:before="0" w:after="240"/>
        <w:jc w:val="both"/>
        <w:rPr/>
      </w:pPr>
      <w:r>
        <w:rPr>
          <w:color w:val="000000"/>
        </w:rPr>
        <w:t>    </w:t>
      </w:r>
      <w:r>
        <w:rPr>
          <w:rFonts w:ascii="Times New Roman;sans-serif" w:hAnsi="Times New Roman;sans-serif"/>
          <w:b w:val="false"/>
          <w:color w:val="000000"/>
          <w:sz w:val="20"/>
        </w:rPr>
        <w:t>·    </w:t>
      </w:r>
      <w:r>
        <w:rPr>
          <w:rFonts w:ascii="Times New Roman;sans-serif" w:hAnsi="Times New Roman;sans-serif"/>
          <w:b/>
          <w:color w:val="000000"/>
          <w:sz w:val="20"/>
        </w:rPr>
        <w:t>Be aware that none of the contingent beneficiaries will receive anything unless ALL of the primary beneficiaries predecease you.</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understand that I may change these beneficiary designations by delivering a new written designation to the Plan Administrator, which shall be effective only upon receipt and acknowledgment by the Plan Administrator prior to my death. I further understand that the designations will be automatically revoked if the Beneficiary predeceases me, or, if I have named my spouse as Beneficiary and our marriage is subsequently dissolved.</w:t>
      </w:r>
    </w:p>
    <w:tbl>
      <w:tblPr>
        <w:tblW w:w="2466" w:type="dxa"/>
        <w:jc w:val="left"/>
        <w:tblInd w:w="0" w:type="dxa"/>
        <w:tblCellMar>
          <w:top w:w="28" w:type="dxa"/>
          <w:left w:w="28" w:type="dxa"/>
          <w:bottom w:w="28" w:type="dxa"/>
          <w:right w:w="28" w:type="dxa"/>
        </w:tblCellMar>
      </w:tblPr>
      <w:tblGrid>
        <w:gridCol w:w="325"/>
        <w:gridCol w:w="286"/>
        <w:gridCol w:w="289"/>
        <w:gridCol w:w="109"/>
        <w:gridCol w:w="109"/>
        <w:gridCol w:w="109"/>
        <w:gridCol w:w="109"/>
        <w:gridCol w:w="109"/>
        <w:gridCol w:w="109"/>
        <w:gridCol w:w="180"/>
        <w:gridCol w:w="180"/>
        <w:gridCol w:w="180"/>
        <w:gridCol w:w="109"/>
        <w:gridCol w:w="109"/>
        <w:gridCol w:w="154"/>
      </w:tblGrid>
      <w:tr>
        <w:trPr/>
        <w:tc>
          <w:tcPr>
            <w:tcW w:w="32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22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ind w:left="0" w:right="0" w:hanging="72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720"/>
              <w:jc w:val="left"/>
              <w:rPr>
                <w:color w:val="000000"/>
              </w:rPr>
            </w:pPr>
            <w:r>
              <w:rPr>
                <w:color w:val="000000"/>
              </w:rPr>
              <w:t> </w:t>
            </w:r>
          </w:p>
        </w:tc>
        <w:tc>
          <w:tcPr>
            <w:tcW w:w="54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ind w:left="0" w:right="0" w:hanging="720"/>
              <w:jc w:val="left"/>
              <w:rPr>
                <w:color w:val="000000"/>
              </w:rPr>
            </w:pPr>
            <w:r>
              <w:rPr>
                <w:color w:val="000000"/>
              </w:rPr>
              <w:t> </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947"/>
        <w:gridCol w:w="638"/>
        <w:gridCol w:w="638"/>
        <w:gridCol w:w="638"/>
        <w:gridCol w:w="638"/>
        <w:gridCol w:w="638"/>
        <w:gridCol w:w="638"/>
        <w:gridCol w:w="638"/>
        <w:gridCol w:w="638"/>
        <w:gridCol w:w="699"/>
        <w:gridCol w:w="638"/>
        <w:gridCol w:w="638"/>
        <w:gridCol w:w="638"/>
        <w:gridCol w:w="638"/>
        <w:gridCol w:w="903"/>
      </w:tblGrid>
      <w:tr>
        <w:trPr/>
        <w:tc>
          <w:tcPr>
            <w:tcW w:w="947"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40"/>
              <w:jc w:val="left"/>
              <w:rPr>
                <w:rFonts w:ascii="Times New Roman;sans-serif" w:hAnsi="Times New Roman;sans-serif"/>
                <w:b/>
                <w:color w:val="000000"/>
                <w:sz w:val="20"/>
              </w:rPr>
            </w:pPr>
            <w:r>
              <w:rPr>
                <w:rFonts w:ascii="Times New Roman;sans-serif" w:hAnsi="Times New Roman;sans-serif"/>
                <w:b/>
                <w:color w:val="000000"/>
                <w:sz w:val="20"/>
              </w:rPr>
              <w:t>SPOUSAL CONSENT (Required if someone other than spouse is named Beneficiary and Plan Administrator requests):</w:t>
            </w:r>
          </w:p>
          <w:p>
            <w:pPr>
              <w:pStyle w:val="TableContents"/>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consent to the beneficiary designation above, and acknowledge that if I am named Beneficiary and our marriage is subsequently dissolved, the designation will be automatically revoked.</w:t>
            </w:r>
          </w:p>
        </w:tc>
      </w:tr>
      <w:tr>
        <w:trPr/>
        <w:tc>
          <w:tcPr>
            <w:tcW w:w="2223"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Spouse Name:</w:t>
            </w:r>
          </w:p>
        </w:tc>
        <w:tc>
          <w:tcPr>
            <w:tcW w:w="191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54" w:type="dxa"/>
            <w:gridSpan w:val="6"/>
            <w:tcBorders>
              <w:right w:val="single" w:sz="8"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4137" w:type="dxa"/>
            <w:gridSpan w:val="6"/>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54" w:type="dxa"/>
            <w:gridSpan w:val="6"/>
            <w:tcBorders>
              <w:right w:val="single" w:sz="8"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223"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191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179"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4"/>
                <w:szCs w:val="4"/>
              </w:rPr>
            </w:pPr>
            <w:r>
              <w:rPr>
                <w:sz w:val="4"/>
                <w:szCs w:val="4"/>
              </w:rPr>
            </w:r>
          </w:p>
        </w:tc>
      </w:tr>
      <w:tr>
        <w:trPr/>
        <w:tc>
          <w:tcPr>
            <w:tcW w:w="4137" w:type="dxa"/>
            <w:gridSpan w:val="6"/>
            <w:tcBorders>
              <w:left w:val="single" w:sz="8" w:space="0" w:color="000000"/>
              <w:bottom w:val="single" w:sz="8" w:space="0" w:color="000000"/>
            </w:tcBorders>
            <w:shd w:fill="auto" w:val="clear"/>
            <w:tcMar>
              <w:top w:w="0" w:type="dxa"/>
              <w:bottom w:w="30" w:type="dxa"/>
              <w:right w:w="0" w:type="dxa"/>
            </w:tcMar>
            <w:vAlign w:val="center"/>
          </w:tcPr>
          <w:p>
            <w:pPr>
              <w:pStyle w:val="TableContents"/>
              <w:spacing w:lineRule="auto" w:line="240" w:before="0" w:after="283"/>
              <w:jc w:val="left"/>
              <w:rPr>
                <w:color w:val="000000"/>
              </w:rPr>
            </w:pPr>
            <w:r>
              <w:rPr>
                <w:color w:val="000000"/>
              </w:rPr>
              <w:t> </w:t>
            </w:r>
          </w:p>
        </w:tc>
        <w:tc>
          <w:tcPr>
            <w:tcW w:w="19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c>
          <w:tcPr>
            <w:tcW w:w="4154" w:type="dxa"/>
            <w:gridSpan w:val="6"/>
            <w:tcBorders>
              <w:bottom w:val="single" w:sz="8" w:space="0" w:color="000000"/>
              <w:right w:val="single" w:sz="8" w:space="0" w:color="000000"/>
            </w:tcBorders>
            <w:shd w:fill="auto" w:val="clear"/>
            <w:tcMar>
              <w:top w:w="0" w:type="dxa"/>
              <w:left w:w="0" w:type="dxa"/>
              <w:bottom w:w="3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Received by the Plan Administrator this ___ day of _______, 200______</w:t>
      </w:r>
    </w:p>
    <w:tbl>
      <w:tblPr>
        <w:tblW w:w="1269" w:type="dxa"/>
        <w:jc w:val="left"/>
        <w:tblInd w:w="0" w:type="dxa"/>
        <w:tblCellMar>
          <w:top w:w="28" w:type="dxa"/>
          <w:left w:w="28" w:type="dxa"/>
          <w:bottom w:w="28" w:type="dxa"/>
          <w:right w:w="28" w:type="dxa"/>
        </w:tblCellMar>
      </w:tblPr>
      <w:tblGrid>
        <w:gridCol w:w="205"/>
        <w:gridCol w:w="181"/>
        <w:gridCol w:w="184"/>
        <w:gridCol w:w="109"/>
        <w:gridCol w:w="109"/>
        <w:gridCol w:w="109"/>
        <w:gridCol w:w="109"/>
        <w:gridCol w:w="109"/>
        <w:gridCol w:w="154"/>
      </w:tblGrid>
      <w:tr>
        <w:trPr/>
        <w:tc>
          <w:tcPr>
            <w:tcW w:w="20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rFonts w:ascii="Times New Roman;sans-serif" w:hAnsi="Times New Roman;sans-serif"/>
          <w:b w:val="false"/>
          <w:color w:val="000000"/>
          <w:sz w:val="20"/>
        </w:rPr>
      </w:pPr>
      <w:r>
        <w:br w:type="page"/>
      </w: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br/>
        <w:t>Beneficiary Designation Form</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94" name="Frame9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40" w:before="0" w:after="0"/>
        <w:rPr>
          <w:color w:val="000000"/>
        </w:rPr>
      </w:pPr>
      <w:r>
        <w:rPr>
          <w:color w:val="000000"/>
        </w:rPr>
        <w:t> </w:t>
      </w:r>
    </w:p>
    <w:p>
      <w:pPr>
        <w:pStyle w:val="TextBody"/>
        <w:spacing w:lineRule="auto" w:line="240" w:before="240" w:after="240"/>
        <w:jc w:val="center"/>
        <w:rPr>
          <w:rFonts w:ascii="Times New Roman;sans-serif" w:hAnsi="Times New Roman;sans-serif"/>
          <w:b/>
          <w:color w:val="000000"/>
          <w:sz w:val="20"/>
        </w:rPr>
      </w:pPr>
      <w:r>
        <w:rPr>
          <w:rFonts w:ascii="Times New Roman;sans-serif" w:hAnsi="Times New Roman;sans-serif"/>
          <w:b/>
          <w:color w:val="000000"/>
          <w:sz w:val="20"/>
        </w:rPr>
        <w:t>© 2007 Clark Consulting</w:t>
      </w:r>
    </w:p>
    <w:p>
      <w:pPr>
        <w:pStyle w:val="TextBody"/>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This document is provided to assist your legal counsel in documenting your specific arrangement. The laws of the various states may differ considerably, and this specimen is for general information only. It is not a form to be signed, nor is it to be construed as legal advice. Failure to accurately document your arrangement could result in significant losses, whether from claims of those participating in the arrangement, from the heirs and beneficiaries of participants, or from regulatory agencies such as the Internal Revenue Service, the Department of Labor, or bank examiners. License is hereby granted to your legal counsel to use these materials in documenting solely your arrangement.</w:t>
      </w:r>
    </w:p>
    <w:p>
      <w:pPr>
        <w:pStyle w:val="TextBody"/>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In general, if your bank is subject to SEC regulation, implementation of this or any other executive or director compensation program may trigger rules requiring certain disclosures on Form 8-K within four days of implementing the program. Consult with your SEC attorney, if applicable, to determine your responsibilities under the disclosure rules.</w:t>
      </w:r>
    </w:p>
    <w:p>
      <w:pPr>
        <w:pStyle w:val="TextBody"/>
        <w:spacing w:lineRule="auto" w:line="240" w:before="0" w:after="0"/>
        <w:rPr>
          <w:color w:val="000000"/>
        </w:rPr>
      </w:pPr>
      <w:r>
        <w:rPr>
          <w:color w:val="000000"/>
        </w:rPr>
        <w:t> </w:t>
      </w:r>
    </w:p>
    <w:p>
      <w:pPr>
        <w:pStyle w:val="TextBody"/>
        <w:rPr/>
      </w:pPr>
      <w:r>
        <w:rPr/>
      </w:r>
      <w:r>
        <w:br w:type="page"/>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br/>
        <w:t>Beneficiary Designation Form</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95" name="Frame9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40" w:before="0" w:after="0"/>
        <w:rPr>
          <w:color w:val="000000"/>
        </w:rPr>
      </w:pPr>
      <w:r>
        <w:rPr>
          <w:color w:val="000000"/>
        </w:rPr>
        <w:t> </w:t>
      </w:r>
    </w:p>
    <w:p>
      <w:pPr>
        <w:pStyle w:val="TextBody"/>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IMPORTANT NOTICE ON CODE SECTION 409A COMPLIANCE</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critical that you consult with your legal and tax advisors to determine the impact of Internal Revenue Code Section 409A to your particular situation. On April 10, 2007 the Treasury Department issued final regulations implementing the requirements of Section 409A which apply to nonqualified deferred compensation arrangements. The regulations will be effective on January 1, 2008.</w:t>
      </w:r>
    </w:p>
    <w:p>
      <w:pPr>
        <w:pStyle w:val="TextBody"/>
        <w:spacing w:lineRule="auto" w:line="240" w:before="0" w:after="0"/>
        <w:rPr>
          <w:color w:val="000000"/>
        </w:rPr>
      </w:pPr>
      <w:r>
        <w:rPr>
          <w:color w:val="000000"/>
        </w:rPr>
        <w:t> </w:t>
      </w:r>
    </w:p>
    <w:p>
      <w:pPr>
        <w:pStyle w:val="TextBody"/>
        <w:rPr/>
      </w:pPr>
      <w:r>
        <w:rPr/>
      </w:r>
      <w:r>
        <w:br w:type="page"/>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br/>
        <w:t>Beneficiary Designation Form</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96" name="Frame9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40" w:before="0" w:after="0"/>
        <w:rPr>
          <w:color w:val="000000"/>
        </w:rPr>
      </w:pPr>
      <w:r>
        <w:rPr>
          <w:color w:val="000000"/>
        </w:rPr>
        <w:t> </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FIRST AMENDMENT TO FIVE STAR BANK</w:t>
        <w:br/>
        <w:br/>
        <w:t>SALARY CONTINUATION AGREEMENT</w:t>
      </w:r>
    </w:p>
    <w:p>
      <w:pPr>
        <w:pStyle w:val="TextBody"/>
        <w:spacing w:lineRule="auto" w:line="240" w:before="0" w:after="240"/>
        <w:ind w:left="0" w:right="0" w:firstLine="720"/>
        <w:jc w:val="both"/>
        <w:rPr/>
      </w:pPr>
      <w:r>
        <w:rPr>
          <w:rFonts w:ascii="Times New Roman;sans-serif" w:hAnsi="Times New Roman;sans-serif"/>
          <w:b/>
          <w:color w:val="000000"/>
          <w:sz w:val="20"/>
        </w:rPr>
        <w:t>THIS FIRST AMENDMENT FIVE STAR BANK SALARY CONTINUATION AGREEMENT</w:t>
      </w:r>
      <w:r>
        <w:rPr>
          <w:color w:val="000000"/>
        </w:rPr>
        <w:t xml:space="preserve"> </w:t>
      </w:r>
      <w:r>
        <w:rPr>
          <w:rFonts w:ascii="Times New Roman;sans-serif" w:hAnsi="Times New Roman;sans-serif"/>
          <w:b w:val="false"/>
          <w:color w:val="000000"/>
          <w:sz w:val="20"/>
        </w:rPr>
        <w:t>(this “</w:t>
      </w:r>
      <w:r>
        <w:rPr>
          <w:rFonts w:ascii="Times New Roman;sans-serif" w:hAnsi="Times New Roman;sans-serif"/>
          <w:b/>
          <w:color w:val="000000"/>
          <w:sz w:val="20"/>
        </w:rPr>
        <w:t>First Amendment</w:t>
      </w:r>
      <w:r>
        <w:rPr>
          <w:color w:val="000000"/>
        </w:rPr>
        <w:t>”</w:t>
      </w:r>
      <w:r>
        <w:rPr>
          <w:rFonts w:ascii="Times New Roman;sans-serif" w:hAnsi="Times New Roman;sans-serif"/>
          <w:b w:val="false"/>
          <w:color w:val="000000"/>
          <w:sz w:val="20"/>
        </w:rPr>
        <w:t>) is made as of the 31</w:t>
      </w:r>
      <w:r>
        <w:rPr>
          <w:rFonts w:ascii="Times New Roman;sans-serif" w:hAnsi="Times New Roman;sans-serif"/>
          <w:b w:val="false"/>
          <w:color w:val="000000"/>
          <w:sz w:val="13"/>
        </w:rPr>
        <w:t xml:space="preserve">st </w:t>
      </w:r>
      <w:r>
        <w:rPr>
          <w:rFonts w:ascii="Times New Roman;sans-serif" w:hAnsi="Times New Roman;sans-serif"/>
          <w:b w:val="false"/>
          <w:color w:val="000000"/>
          <w:sz w:val="20"/>
        </w:rPr>
        <w:t>day of December 2008, by and between FIVE STAR BANK, located in Rocklin California (the “Bank”) and JAMES BECKWITH (the “Executive”), with reference to the following facts:</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Effective September 1, 2007, the Bank and Executive entered into the FIVE STAR BANK SALARY CONTINUATION AGREEMENT (the “Agreement”).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Parties desire to amend the Agreement to conform to the requirements of Internal Revenue Code section 409A.</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the Parties agree to amend and modify the Agreement set upon the terms and subject to the conditions of this First Amendment.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Section 9.14., Deduction Limitation on Benefit Payments is amended and restated in its entirety to read as follows:</w:t>
      </w:r>
    </w:p>
    <w:p>
      <w:pPr>
        <w:pStyle w:val="TextBody"/>
        <w:spacing w:lineRule="auto" w:line="240" w:before="0" w:after="240"/>
        <w:jc w:val="both"/>
        <w:rPr/>
      </w:pPr>
      <w:r>
        <w:rPr>
          <w:rFonts w:ascii="Times New Roman;sans-serif" w:hAnsi="Times New Roman;sans-serif"/>
          <w:b w:val="false"/>
          <w:color w:val="000000"/>
          <w:sz w:val="20"/>
        </w:rPr>
        <w:t xml:space="preserve">9.14. </w:t>
      </w:r>
      <w:r>
        <w:rPr>
          <w:rFonts w:ascii="Times New Roman;sans-serif" w:hAnsi="Times New Roman;sans-serif"/>
          <w:b w:val="false"/>
          <w:color w:val="000000"/>
          <w:sz w:val="20"/>
          <w:u w:val="single"/>
        </w:rPr>
        <w:t>Deduction Limitations on Benefit Payments</w:t>
      </w:r>
      <w:r>
        <w:rPr>
          <w:rFonts w:ascii="Times New Roman;sans-serif" w:hAnsi="Times New Roman;sans-serif"/>
          <w:b w:val="false"/>
          <w:color w:val="000000"/>
          <w:sz w:val="20"/>
        </w:rPr>
        <w:t>. Subject to the requirements of Section 2.7, above, if the Bank reasonably anticipates that the Bank’s deduction with respect to any distribution under this Agreement would be limited or eliminated by application of Code Section 162(m), then to the extent deemed necessary by the Bank to ensure that the entire amount of any distribution from this Agreement is deductible, the Bank may delay payment of any amount that would otherwise be distributed under this Agreement. The delayed amounts shall be distributed to the Executive (or the Beneficiary in the event of the Executive’s death) at the earliest date permitted under Section 2.7 that the bank reasonably anticipates that the deduction of the payment of the amount will not be limited or eliminated by application of Code Section 162(m).</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To the extend not amended hereby, the provisions of the FIVE STAR BANK SALARY CONTINUATION AGREEMENT shall remain in full force and effect.</w:t>
      </w:r>
    </w:p>
    <w:p>
      <w:pPr>
        <w:pStyle w:val="TextBody"/>
        <w:spacing w:lineRule="auto" w:line="240" w:before="0" w:after="0"/>
        <w:jc w:val="both"/>
        <w:rPr>
          <w:color w:val="000000"/>
        </w:rPr>
      </w:pPr>
      <w:r>
        <w:rPr>
          <w:color w:val="000000"/>
        </w:rPr>
        <w:t> </w:t>
      </w:r>
    </w:p>
    <w:p>
      <w:pPr>
        <w:pStyle w:val="TextBody"/>
        <w:rPr/>
      </w:pPr>
      <w:r>
        <w:rPr/>
      </w:r>
      <w:r>
        <w:br w:type="page"/>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br/>
        <w:t>Beneficiary Designation Form</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685"/>
                <wp:effectExtent l="0" t="0" r="0" b="0"/>
                <wp:wrapNone/>
                <wp:docPr id="97" name="Frame9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40" w:before="0" w:after="0"/>
        <w:rPr>
          <w:color w:val="000000"/>
        </w:rPr>
      </w:pPr>
      <w:r>
        <w:rPr>
          <w:color w:val="000000"/>
        </w:rPr>
        <w:t> </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Executive and the Bank have entered into this FIRST AMENDMENT effective as of the date first set forth above.</w:t>
      </w:r>
    </w:p>
    <w:tbl>
      <w:tblPr>
        <w:tblW w:w="3602" w:type="dxa"/>
        <w:jc w:val="left"/>
        <w:tblInd w:w="0" w:type="dxa"/>
        <w:tblCellMar>
          <w:top w:w="28" w:type="dxa"/>
          <w:left w:w="28" w:type="dxa"/>
          <w:bottom w:w="28" w:type="dxa"/>
          <w:right w:w="28" w:type="dxa"/>
        </w:tblCellMar>
      </w:tblPr>
      <w:tblGrid>
        <w:gridCol w:w="124"/>
        <w:gridCol w:w="109"/>
        <w:gridCol w:w="109"/>
        <w:gridCol w:w="136"/>
        <w:gridCol w:w="136"/>
        <w:gridCol w:w="136"/>
        <w:gridCol w:w="281"/>
        <w:gridCol w:w="281"/>
        <w:gridCol w:w="281"/>
        <w:gridCol w:w="572"/>
        <w:gridCol w:w="572"/>
        <w:gridCol w:w="86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6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2"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Beckwith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BECKWITH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6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BANK: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6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STAR BANK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R. Stodden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R. Stodden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12/31/09</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p>
      <w:pPr>
        <w:pStyle w:val="TextBody"/>
        <w:rPr/>
      </w:pPr>
      <w:r>
        <w:rPr/>
      </w:r>
      <w:r>
        <w:br w:type="page"/>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F</w:t>
      </w:r>
      <w:r>
        <w:rPr>
          <w:rFonts w:ascii="Times New Roman;sans-serif" w:hAnsi="Times New Roman;sans-serif"/>
          <w:b w:val="false"/>
          <w:color w:val="000000"/>
          <w:sz w:val="20"/>
        </w:rPr>
        <w:t>ive Star Bank</w:t>
        <w:br/>
        <w:t>Salary Continuation Agreement</w:t>
        <w:br/>
        <w:t>Beneficiary Designation Form</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98" name="Frame9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40" w:before="0" w:after="0"/>
        <w:rPr>
          <w:color w:val="000000"/>
        </w:rPr>
      </w:pPr>
      <w:r>
        <w:rPr>
          <w:color w:val="000000"/>
        </w:rPr>
        <w:t> </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SECOND AMENDMENT</w:t>
        <w:br/>
        <w:t>TO THE</w:t>
        <w:br/>
        <w:t>FIVE STAR BANK</w:t>
        <w:br/>
        <w:t>SALARY CONTINUATION AGREEMENT</w:t>
      </w:r>
    </w:p>
    <w:p>
      <w:pPr>
        <w:pStyle w:val="TextBody"/>
        <w:spacing w:lineRule="auto" w:line="240" w:before="0" w:after="240"/>
        <w:ind w:left="0" w:right="0" w:firstLine="720"/>
        <w:jc w:val="both"/>
        <w:rPr/>
      </w:pPr>
      <w:r>
        <w:rPr>
          <w:rFonts w:ascii="Times New Roman;sans-serif" w:hAnsi="Times New Roman;sans-serif"/>
          <w:b/>
          <w:color w:val="000000"/>
          <w:sz w:val="20"/>
        </w:rPr>
        <w:t xml:space="preserve">THIS SECOND AMENDMENT </w:t>
      </w:r>
      <w:r>
        <w:rPr>
          <w:rFonts w:ascii="Times New Roman;sans-serif" w:hAnsi="Times New Roman;sans-serif"/>
          <w:b w:val="false"/>
          <w:color w:val="000000"/>
          <w:sz w:val="20"/>
        </w:rPr>
        <w:t>is made by Five Star Bank (the “Bank”), a banking corporation organized and existing under the laws of the State of California, and James Beckwith (the “Executive”), this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day of July, 2014.</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spacing w:lineRule="auto" w:line="240" w:before="0" w:after="240"/>
        <w:ind w:left="0" w:right="0" w:firstLine="720"/>
        <w:jc w:val="both"/>
        <w:rPr/>
      </w:pPr>
      <w:r>
        <w:rPr>
          <w:rFonts w:ascii="Times New Roman;sans-serif" w:hAnsi="Times New Roman;sans-serif"/>
          <w:b/>
          <w:color w:val="000000"/>
          <w:sz w:val="20"/>
        </w:rPr>
        <w:t xml:space="preserve">WHEREAS, </w:t>
      </w:r>
      <w:r>
        <w:rPr>
          <w:rFonts w:ascii="Times New Roman;sans-serif" w:hAnsi="Times New Roman;sans-serif"/>
          <w:b w:val="false"/>
          <w:color w:val="000000"/>
          <w:sz w:val="20"/>
        </w:rPr>
        <w:t>the Five Star Bank Salary Continuation Agreement (the “Plan”) was adopted on September 1. 2007; and amended on December 31, 2008; and</w:t>
      </w:r>
    </w:p>
    <w:p>
      <w:pPr>
        <w:pStyle w:val="TextBody"/>
        <w:spacing w:lineRule="auto" w:line="240" w:before="0" w:after="240"/>
        <w:ind w:left="0" w:right="0" w:firstLine="720"/>
        <w:jc w:val="both"/>
        <w:rPr/>
      </w:pPr>
      <w:r>
        <w:rPr>
          <w:rFonts w:ascii="Times New Roman;sans-serif" w:hAnsi="Times New Roman;sans-serif"/>
          <w:b/>
          <w:color w:val="000000"/>
          <w:sz w:val="20"/>
        </w:rPr>
        <w:t xml:space="preserve">WHEREAS, </w:t>
      </w:r>
      <w:r>
        <w:rPr>
          <w:rFonts w:ascii="Times New Roman;sans-serif" w:hAnsi="Times New Roman;sans-serif"/>
          <w:b w:val="false"/>
          <w:color w:val="000000"/>
          <w:sz w:val="20"/>
        </w:rPr>
        <w:t>pursuant to Section 8.1 of the Plan, the Bank and the Executive may amend the Plan by written mutual agreement; and</w:t>
      </w:r>
    </w:p>
    <w:p>
      <w:pPr>
        <w:pStyle w:val="TextBody"/>
        <w:spacing w:lineRule="auto" w:line="240" w:before="0" w:after="240"/>
        <w:ind w:left="0" w:right="0" w:firstLine="720"/>
        <w:jc w:val="both"/>
        <w:rPr/>
      </w:pPr>
      <w:r>
        <w:rPr>
          <w:rFonts w:ascii="Times New Roman;sans-serif" w:hAnsi="Times New Roman;sans-serif"/>
          <w:b/>
          <w:color w:val="000000"/>
          <w:sz w:val="20"/>
        </w:rPr>
        <w:t xml:space="preserve">WHEREAS, </w:t>
      </w:r>
      <w:r>
        <w:rPr>
          <w:rFonts w:ascii="Times New Roman;sans-serif" w:hAnsi="Times New Roman;sans-serif"/>
          <w:b w:val="false"/>
          <w:color w:val="000000"/>
          <w:sz w:val="20"/>
        </w:rPr>
        <w:t>the parties desire to amend the Plan to clarify the Executive’s Normal Retirement Benefit under Section 2.1;</w:t>
      </w:r>
    </w:p>
    <w:p>
      <w:pPr>
        <w:pStyle w:val="TextBody"/>
        <w:spacing w:lineRule="auto" w:line="240" w:before="0" w:after="240"/>
        <w:ind w:left="0" w:right="0" w:firstLine="720"/>
        <w:jc w:val="both"/>
        <w:rPr/>
      </w:pPr>
      <w:r>
        <w:rPr>
          <w:rFonts w:ascii="Times New Roman;sans-serif" w:hAnsi="Times New Roman;sans-serif"/>
          <w:b/>
          <w:color w:val="000000"/>
          <w:sz w:val="20"/>
        </w:rPr>
        <w:t xml:space="preserve">NOW, THEREFORE, </w:t>
      </w:r>
      <w:r>
        <w:rPr>
          <w:rFonts w:ascii="Times New Roman;sans-serif" w:hAnsi="Times New Roman;sans-serif"/>
          <w:b w:val="false"/>
          <w:color w:val="000000"/>
          <w:sz w:val="20"/>
        </w:rPr>
        <w:t>the parties hereby amend the Plan as follows:</w:t>
      </w:r>
    </w:p>
    <w:p>
      <w:pPr>
        <w:pStyle w:val="TextBody"/>
        <w:spacing w:lineRule="auto" w:line="240"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Section 2.1.1 shall be deleted in its entirety and replaced with the following:</w:t>
      </w:r>
    </w:p>
    <w:p>
      <w:pPr>
        <w:pStyle w:val="TextBody"/>
        <w:spacing w:lineRule="auto" w:line="240" w:before="0" w:after="240"/>
        <w:jc w:val="both"/>
        <w:rPr/>
      </w:pPr>
      <w:r>
        <w:rPr>
          <w:color w:val="000000"/>
        </w:rPr>
        <w:t>    </w:t>
      </w:r>
      <w:r>
        <w:rPr>
          <w:rFonts w:ascii="Times New Roman;sans-serif" w:hAnsi="Times New Roman;sans-serif"/>
          <w:b w:val="false"/>
          <w:color w:val="000000"/>
          <w:sz w:val="20"/>
        </w:rPr>
        <w:t>2.1.1    </w:t>
      </w:r>
      <w:r>
        <w:rPr>
          <w:rFonts w:ascii="Times New Roman;sans-serif" w:hAnsi="Times New Roman;sans-serif"/>
          <w:b w:val="false"/>
          <w:color w:val="000000"/>
          <w:sz w:val="20"/>
          <w:u w:val="single"/>
        </w:rPr>
        <w:t>Amount of Benefit</w:t>
      </w:r>
      <w:r>
        <w:rPr>
          <w:rFonts w:ascii="Times New Roman;sans-serif" w:hAnsi="Times New Roman;sans-serif"/>
          <w:b w:val="false"/>
          <w:color w:val="000000"/>
          <w:sz w:val="20"/>
        </w:rPr>
        <w:t>. The annual benefit under this Section 2.1 is One Hundred Seventy-Five Thousand Dollars ($175,000.00).</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amended by the First Amendment and this Amendment, all provisions of the Plan shall remain in full force and effect and the Plan, First Amendment, and this Amendment shall be construed together and considered one and the same agreement.</w:t>
      </w:r>
    </w:p>
    <w:p>
      <w:pPr>
        <w:pStyle w:val="TextBody"/>
        <w:spacing w:lineRule="auto" w:line="240" w:before="0" w:after="240"/>
        <w:ind w:left="0" w:right="0" w:firstLine="720"/>
        <w:jc w:val="both"/>
        <w:rPr/>
      </w:pPr>
      <w:r>
        <w:rPr>
          <w:rFonts w:ascii="Times New Roman;sans-serif" w:hAnsi="Times New Roman;sans-serif"/>
          <w:b/>
          <w:color w:val="000000"/>
          <w:sz w:val="20"/>
        </w:rPr>
        <w:t xml:space="preserve">IN WITNESS WHEREOF, </w:t>
      </w:r>
      <w:r>
        <w:rPr>
          <w:rFonts w:ascii="Times New Roman;sans-serif" w:hAnsi="Times New Roman;sans-serif"/>
          <w:b w:val="false"/>
          <w:color w:val="000000"/>
          <w:sz w:val="20"/>
        </w:rPr>
        <w:t>the parties execute this Amendment as of the date first written above.</w:t>
      </w:r>
    </w:p>
    <w:tbl>
      <w:tblPr>
        <w:tblW w:w="5264" w:type="dxa"/>
        <w:jc w:val="left"/>
        <w:tblInd w:w="0" w:type="dxa"/>
        <w:tblCellMar>
          <w:top w:w="28" w:type="dxa"/>
          <w:left w:w="28" w:type="dxa"/>
          <w:bottom w:w="28" w:type="dxa"/>
          <w:right w:w="28" w:type="dxa"/>
        </w:tblCellMar>
      </w:tblPr>
      <w:tblGrid>
        <w:gridCol w:w="619"/>
        <w:gridCol w:w="544"/>
        <w:gridCol w:w="547"/>
        <w:gridCol w:w="109"/>
        <w:gridCol w:w="109"/>
        <w:gridCol w:w="109"/>
        <w:gridCol w:w="297"/>
        <w:gridCol w:w="297"/>
        <w:gridCol w:w="297"/>
        <w:gridCol w:w="653"/>
        <w:gridCol w:w="653"/>
        <w:gridCol w:w="658"/>
        <w:gridCol w:w="109"/>
        <w:gridCol w:w="109"/>
        <w:gridCol w:w="154"/>
      </w:tblGrid>
      <w:tr>
        <w:trPr/>
        <w:tc>
          <w:tcPr>
            <w:tcW w:w="61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FIVE STAR BANK:</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Beckwith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19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R. Stodden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Beckwith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w:t>
            </w:r>
          </w:p>
        </w:tc>
        <w:tc>
          <w:tcPr>
            <w:tcW w:w="19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0"/>
        <w:jc w:val="center"/>
        <w:rPr/>
      </w:pPr>
      <w:r>
        <w:rPr/>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99" name="Frame9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13a-14(a)/15d-14(a), AS ADOPTED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James Beckwith,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Five Star Bancorp (the “Registrant”);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46" w:type="dxa"/>
        <w:jc w:val="left"/>
        <w:tblInd w:w="0" w:type="dxa"/>
        <w:tblCellMar>
          <w:top w:w="28" w:type="dxa"/>
          <w:left w:w="28" w:type="dxa"/>
          <w:bottom w:w="28" w:type="dxa"/>
          <w:right w:w="28" w:type="dxa"/>
        </w:tblCellMar>
      </w:tblPr>
      <w:tblGrid>
        <w:gridCol w:w="455"/>
        <w:gridCol w:w="401"/>
        <w:gridCol w:w="404"/>
        <w:gridCol w:w="109"/>
        <w:gridCol w:w="109"/>
        <w:gridCol w:w="109"/>
        <w:gridCol w:w="896"/>
        <w:gridCol w:w="896"/>
        <w:gridCol w:w="1267"/>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Beckwith</w:t>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Beckwith</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13a-14(a)/15d-14(a), AS ADOPTED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Heather Luck,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Five Star Bancorp (the “Registrant”);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577" w:type="dxa"/>
        <w:jc w:val="left"/>
        <w:tblInd w:w="0" w:type="dxa"/>
        <w:tblCellMar>
          <w:top w:w="28" w:type="dxa"/>
          <w:left w:w="28" w:type="dxa"/>
          <w:bottom w:w="28" w:type="dxa"/>
          <w:right w:w="28" w:type="dxa"/>
        </w:tblCellMar>
      </w:tblPr>
      <w:tblGrid>
        <w:gridCol w:w="455"/>
        <w:gridCol w:w="401"/>
        <w:gridCol w:w="404"/>
        <w:gridCol w:w="109"/>
        <w:gridCol w:w="109"/>
        <w:gridCol w:w="109"/>
        <w:gridCol w:w="1164"/>
        <w:gridCol w:w="1164"/>
        <w:gridCol w:w="1662"/>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Heather Luck</w:t>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Heather Luck</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&amp;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Five Star Bancorp (the “Registrant”) for the period ended March 31, 2022, as filed with the Securities and Exchange Commission on the date hereof (the “Report”), I, James Beckwith, President &amp; Chief Executive Officer of the Registrant, hereby certify pursuant to 18 U.S.C. Section 1350, as adopted pursuant to Section 906 of the Sarbanes-Oxley Act of 2002,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4646" w:type="dxa"/>
        <w:jc w:val="left"/>
        <w:tblInd w:w="0" w:type="dxa"/>
        <w:tblCellMar>
          <w:top w:w="28" w:type="dxa"/>
          <w:left w:w="28" w:type="dxa"/>
          <w:bottom w:w="28" w:type="dxa"/>
          <w:right w:w="28" w:type="dxa"/>
        </w:tblCellMar>
      </w:tblPr>
      <w:tblGrid>
        <w:gridCol w:w="455"/>
        <w:gridCol w:w="401"/>
        <w:gridCol w:w="404"/>
        <w:gridCol w:w="109"/>
        <w:gridCol w:w="109"/>
        <w:gridCol w:w="109"/>
        <w:gridCol w:w="896"/>
        <w:gridCol w:w="896"/>
        <w:gridCol w:w="1267"/>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Beckwith</w:t>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Beckwith</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FIVE STAR BANCORP</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Five Star Bancorp (the “Registrant”) for the period ended March 31, 2022, as filed with the Securities and Exchange Commission on the date hereof (the “Report”), I, Heather Luck, Senior Vice President &amp; Chief Financial Officer of the Registrant, hereby certify pursuant to 18 U.S.C. Section 1350, as adopted pursuant to Section 906 of the Sarbanes-Oxley Act of 2002,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5577" w:type="dxa"/>
        <w:jc w:val="left"/>
        <w:tblInd w:w="0" w:type="dxa"/>
        <w:tblCellMar>
          <w:top w:w="28" w:type="dxa"/>
          <w:left w:w="28" w:type="dxa"/>
          <w:bottom w:w="28" w:type="dxa"/>
          <w:right w:w="28" w:type="dxa"/>
        </w:tblCellMar>
      </w:tblPr>
      <w:tblGrid>
        <w:gridCol w:w="455"/>
        <w:gridCol w:w="401"/>
        <w:gridCol w:w="404"/>
        <w:gridCol w:w="109"/>
        <w:gridCol w:w="109"/>
        <w:gridCol w:w="109"/>
        <w:gridCol w:w="1164"/>
        <w:gridCol w:w="1164"/>
        <w:gridCol w:w="1662"/>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Heather Luck</w:t>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Heather Luck</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&amp; Chief Financial Officer</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275168/000155278121000525/e21434_ex3-1.htm" TargetMode="External"/><Relationship Id="rId3" Type="http://schemas.openxmlformats.org/officeDocument/2006/relationships/hyperlink" Target="https://www.sec.gov/Archives/edgar/data/0001275168/000155278122000215/e22095_ex3-2.htm" TargetMode="External"/><Relationship Id="rId4" Type="http://schemas.openxmlformats.org/officeDocument/2006/relationships/hyperlink" Target="https://www.sec.gov/Archives/edgar/data/0001275168/000155278121000243/e21250_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36</Pages>
  <Words>45976</Words>
  <CharactersWithSpaces>293324</CharactersWithSpaces>
  <Paragraphs>6373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