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spacing w:lineRule="auto" w:line="240" w:before="8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pPr>
      <w:r>
        <w:rPr>
          <w:rFonts w:ascii="Times New Roman;serif" w:hAnsi="Times New Roman;serif"/>
          <w:b/>
          <w:color w:val="000000"/>
          <w:sz w:val="24"/>
        </w:rPr>
        <w:t>WASHINGTON, DC 20549</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p>
      <w:pPr>
        <w:pStyle w:val="TextBody"/>
        <w:bidi w:val="0"/>
        <w:spacing w:lineRule="auto" w:line="240" w:before="264"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p>
      <w:pPr>
        <w:pStyle w:val="TextBody"/>
        <w:bidi w:val="0"/>
        <w:spacing w:lineRule="auto" w:line="240" w:before="264"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40" w:before="264"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color w:val="000000"/>
          <w:sz w:val="24"/>
          <w:u w:val="single"/>
        </w:rPr>
        <w:t>July 9,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p>
      <w:pPr>
        <w:pStyle w:val="TextBody"/>
        <w:bidi w:val="0"/>
        <w:spacing w:before="0" w:after="0"/>
        <w:jc w:val="center"/>
        <w:rPr/>
      </w:pPr>
      <w:r>
        <w:rPr/>
        <w:drawing>
          <wp:inline distT="0" distB="0" distL="0" distR="0">
            <wp:extent cx="29146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4650" cy="762000"/>
                    </a:xfrm>
                    <a:prstGeom prst="rect">
                      <a:avLst/>
                    </a:prstGeom>
                  </pic:spPr>
                </pic:pic>
              </a:graphicData>
            </a:graphic>
          </wp:inline>
        </w:drawing>
      </w:r>
      <w:bookmarkStart w:id="0" w:name="i-1"/>
      <w:bookmarkEnd w:id="0"/>
    </w:p>
    <w:p>
      <w:pPr>
        <w:pStyle w:val="TextBody"/>
        <w:bidi w:val="0"/>
        <w:spacing w:lineRule="auto" w:line="240" w:before="240" w:after="283"/>
        <w:jc w:val="center"/>
        <w:rPr>
          <w:rFonts w:ascii="Times New Roman;serif" w:hAnsi="Times New Roman;serif"/>
          <w:b/>
          <w:color w:val="000000"/>
          <w:sz w:val="44"/>
        </w:rPr>
      </w:pPr>
      <w:r>
        <w:rPr>
          <w:rFonts w:ascii="Times New Roman;serif" w:hAnsi="Times New Roman;serif"/>
          <w:b/>
          <w:color w:val="000000"/>
          <w:sz w:val="44"/>
        </w:rPr>
        <w:t>FIVE STAR BANCORP</w:t>
      </w:r>
    </w:p>
    <w:p>
      <w:pPr>
        <w:pStyle w:val="TextBody"/>
        <w:bidi w:val="0"/>
        <w:spacing w:lineRule="auto" w:line="240" w:before="0" w:after="0"/>
        <w:jc w:val="center"/>
        <w:rPr/>
      </w:pPr>
      <w:r>
        <w:rPr>
          <w:rFonts w:ascii="Times New Roman;serif" w:hAnsi="Times New Roman;serif"/>
          <w:b/>
          <w:color w:val="000000"/>
          <w:sz w:val="20"/>
        </w:rPr>
        <w:t>(Exact Name of Registrant as Specified in Charter)</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r>
        <w:trPr/>
        <w:tc>
          <w:tcPr>
            <w:tcW w:w="214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001-40379</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75-3100966</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22"/>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535" w:type="dxa"/>
            <w:gridSpan w:val="9"/>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811" w:type="dxa"/>
            <w:gridSpan w:val="6"/>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3100 Zinfandel Drive, Suite 100, Rancho Cordova, California, 95670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(916) 626-5000</w:t>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40" w:before="0" w:after="0"/>
        <w:jc w:val="center"/>
        <w:rPr/>
      </w:pPr>
      <w:r>
        <w:rPr>
          <w:rFonts w:ascii="Times New Roman;serif" w:hAnsi="Times New Roman;serif"/>
          <w:b/>
          <w:color w:val="000000"/>
          <w:sz w:val="16"/>
        </w:rPr>
        <w:t>(Former Name or Former Address, if Changed Since Last Report)</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319" w:before="0" w:after="2"/>
              <w:jc w:val="center"/>
              <w:rPr>
                <w:color w:val="000000"/>
              </w:rPr>
            </w:pPr>
            <w:r>
              <w:rPr>
                <w:color w:val="000000"/>
              </w:rPr>
              <w:t> </w:t>
            </w:r>
          </w:p>
        </w:tc>
      </w:tr>
    </w:tbl>
    <w:p>
      <w:pPr>
        <w:pStyle w:val="TextBody"/>
        <w:bidi w:val="0"/>
        <w:spacing w:lineRule="auto" w:line="240" w:before="264"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lineRule="auto" w:line="240" w:before="0" w:after="0"/>
        <w:jc w:val="left"/>
        <w:rPr>
          <w:color w:val="000000"/>
        </w:rPr>
      </w:pPr>
      <w:r>
        <w:rPr>
          <w:color w:val="000000"/>
        </w:rPr>
        <w:t> </w:t>
      </w:r>
    </w:p>
    <w:tbl>
      <w:tblPr>
        <w:tblW w:w="80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45"/>
        <w:gridCol w:w="2145"/>
        <w:gridCol w:w="30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3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bl>
    <w:p>
      <w:pPr>
        <w:pStyle w:val="TextBody"/>
        <w:bidi w:val="0"/>
        <w:spacing w:lineRule="auto" w:line="240" w:before="0" w:after="0"/>
        <w:jc w:val="left"/>
        <w:rPr>
          <w:color w:val="000000"/>
        </w:rPr>
      </w:pPr>
      <w:r>
        <w:rPr>
          <w:color w:val="000000"/>
        </w:rPr>
        <w:t> </w:t>
      </w:r>
    </w:p>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p>
      <w:pPr>
        <w:pStyle w:val="TextBody"/>
        <w:bidi w:val="0"/>
        <w:spacing w:lineRule="auto" w:line="240" w:before="0" w:after="0"/>
        <w:jc w:val="left"/>
        <w:rPr>
          <w:color w:val="000000"/>
        </w:rPr>
      </w:pPr>
      <w:r>
        <w:rPr>
          <w:color w:val="000000"/>
        </w:rPr>
        <w:t> </w:t>
      </w:r>
    </w:p>
    <w:tbl>
      <w:tblPr>
        <w:tblW w:w="97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67"/>
        <w:gridCol w:w="2667"/>
        <w:gridCol w:w="37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14d-2(b) under the Exchange Act (17 CFR 240.14d-2(b))</w:t>
            </w:r>
          </w:p>
        </w:tc>
      </w:tr>
    </w:tbl>
    <w:tbl>
      <w:tblPr>
        <w:tblW w:w="97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49"/>
        <w:gridCol w:w="2649"/>
        <w:gridCol w:w="37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w:t>
            </w:r>
          </w:p>
        </w:tc>
        <w:tc>
          <w:tcPr>
            <w:tcW w:w="9044"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 pursuant to Rule 13e-4(c) under the Exchange Act (17 CFR 240.13e-4(c))</w:t>
            </w:r>
          </w:p>
        </w:tc>
      </w:tr>
    </w:tbl>
    <w:p>
      <w:pPr>
        <w:pStyle w:val="TextBody"/>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63" w:type="dxa"/>
        <w:jc w:val="left"/>
        <w:tblInd w:w="0" w:type="dxa"/>
        <w:tblLayout w:type="fixed"/>
        <w:tblCellMar>
          <w:top w:w="28" w:type="dxa"/>
          <w:left w:w="28" w:type="dxa"/>
          <w:bottom w:w="28" w:type="dxa"/>
          <w:right w:w="28" w:type="dxa"/>
        </w:tblCellMar>
      </w:tblPr>
      <w:tblGrid>
        <w:gridCol w:w="1173"/>
        <w:gridCol w:w="1027"/>
        <w:gridCol w:w="1039"/>
        <w:gridCol w:w="539"/>
        <w:gridCol w:w="539"/>
        <w:gridCol w:w="541"/>
        <w:gridCol w:w="1085"/>
        <w:gridCol w:w="1085"/>
        <w:gridCol w:w="1535"/>
      </w:tblGrid>
      <w:tr>
        <w:trPr/>
        <w:tc>
          <w:tcPr>
            <w:tcW w:w="1173"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2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no par value per share</w:t>
            </w:r>
          </w:p>
        </w:tc>
        <w:tc>
          <w:tcPr>
            <w:tcW w:w="161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FSBC</w:t>
            </w:r>
          </w:p>
        </w:tc>
        <w:tc>
          <w:tcPr>
            <w:tcW w:w="370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40" w:before="120" w:after="283"/>
        <w:jc w:val="left"/>
        <w:rPr/>
      </w:pPr>
      <w:r>
        <w:rPr>
          <w:rFonts w:ascii="Times New Roman;serif" w:hAnsi="Times New Roman;serif"/>
          <w:b w:val="false"/>
          <w:color w:val="000000"/>
          <w:sz w:val="20"/>
          <w:shd w:fill="FFFFFF" w:val="clear"/>
        </w:rPr>
        <w:t xml:space="preserve">Indicate by check mark whether the registrant is an emerging growth company as defined in Rule 405 of the Securities Act of 1933 (17 CFR §230.405) or Rule 12b-2 of the Securities Exchange Act of 1934 (17 CFR §240.12b-2). </w:t>
      </w: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40" w:before="0" w:after="200"/>
        <w:jc w:val="both"/>
        <w:rPr/>
      </w:pPr>
      <w:r>
        <w:rPr>
          <w:rFonts w:ascii="Times New Roman;serif" w:hAnsi="Times New Roman;serif"/>
          <w:b w:val="false"/>
          <w:color w:val="000000"/>
          <w:sz w:val="20"/>
          <w:shd w:fill="FFFFFF" w:val="clear"/>
        </w:rPr>
        <w:t>O</w:t>
      </w:r>
      <w:r>
        <w:rPr>
          <w:rFonts w:ascii="Times New Roman;serif" w:hAnsi="Times New Roman;serif"/>
          <w:b w:val="false"/>
          <w:color w:val="000000"/>
          <w:sz w:val="20"/>
        </w:rPr>
        <w:t>n July 9, 2026, Five Star Bancorp (the “Company”) issued a press release announcing the anticipated dates of its earnings release and webcast reporting its financial results for the second quarter ended June 30, 2026.</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A copy of the July 9, 2026 press release is furnished as Exhibit 99.1 to this Current Report on Form 8-K.</w:t>
      </w:r>
    </w:p>
    <w:p>
      <w:pPr>
        <w:pStyle w:val="TextBody"/>
        <w:bidi w:val="0"/>
        <w:spacing w:lineRule="auto" w:line="240" w:before="0" w:after="200"/>
        <w:jc w:val="both"/>
        <w:rPr>
          <w:rFonts w:ascii="Times New Roman;serif" w:hAnsi="Times New Roman;serif"/>
          <w:b w:val="false"/>
          <w:color w:val="000000"/>
          <w:sz w:val="20"/>
        </w:rPr>
      </w:pPr>
      <w:r>
        <w:rPr>
          <w:rFonts w:ascii="Times New Roman;serif" w:hAnsi="Times New Roman;serif"/>
          <w:b w:val="false"/>
          <w:color w:val="000000"/>
          <w:sz w:val="20"/>
        </w:rPr>
        <w:t>This information (including Exhibit 99.1) is being furnished under Item 7.01 hereof and shall not be deemed “filed” for purposes of Section 18 of the Securities Exchange Act of 1934, as amended (the “Exchange Act”), or otherwise subject to the liabilities of that section, and such information shall not be deemed incorporated by reference into any filing under the Securities Act of 1933, as amended, or the Exchange Act,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40" w:before="0" w:after="200"/>
        <w:jc w:val="both"/>
        <w:rPr>
          <w:rFonts w:ascii="Times New Roman;serif" w:hAnsi="Times New Roman;serif"/>
          <w:b/>
          <w:color w:val="000000"/>
          <w:sz w:val="20"/>
        </w:rPr>
      </w:pPr>
      <w:r>
        <w:rPr>
          <w:rFonts w:ascii="Times New Roman;serif" w:hAnsi="Times New Roman;serif"/>
          <w:b/>
          <w:color w:val="000000"/>
          <w:sz w:val="20"/>
        </w:rPr>
        <w:t>(d) Exhibits</w:t>
      </w:r>
    </w:p>
    <w:tbl>
      <w:tblPr>
        <w:tblW w:w="7210"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09"/>
        <w:gridCol w:w="109"/>
        <w:gridCol w:w="109"/>
        <w:gridCol w:w="1679"/>
        <w:gridCol w:w="1679"/>
        <w:gridCol w:w="238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u w:val="single"/>
              </w:rPr>
            </w:pPr>
            <w:r>
              <w:rPr>
                <w:rFonts w:ascii="Times New Roman;serif" w:hAnsi="Times New Roman;serif"/>
                <w:b/>
                <w:color w:val="000000"/>
                <w:sz w:val="20"/>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99.1</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240" w:before="0" w:after="2"/>
              <w:jc w:val="both"/>
              <w:rPr/>
            </w:pPr>
            <w:hyperlink w:anchor="exhibit991-q22026earningsr.htm">
              <w:r>
                <w:rPr>
                  <w:rStyle w:val="InternetLink"/>
                  <w:rFonts w:ascii="Times New Roman;serif" w:hAnsi="Times New Roman;serif"/>
                  <w:b w:val="false"/>
                  <w:color w:val="000080"/>
                  <w:sz w:val="20"/>
                  <w:u w:val="single"/>
                </w:rPr>
                <w:t xml:space="preserve">Press Release dated </w:t>
              </w:r>
            </w:hyperlink>
            <w:hyperlink w:anchor="exhibit991-q22026earningsr.htm">
              <w:r>
                <w:rPr>
                  <w:rStyle w:val="InternetLink"/>
                  <w:rFonts w:ascii="Times New Roman;serif" w:hAnsi="Times New Roman;serif"/>
                  <w:b w:val="false"/>
                  <w:color w:val="000080"/>
                  <w:sz w:val="20"/>
                  <w:u w:val="single"/>
                </w:rPr>
                <w:t>July 9</w:t>
              </w:r>
            </w:hyperlink>
            <w:hyperlink w:anchor="exhibit991-q22026earningsr.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319" w:before="0" w:after="2"/>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5" w:type="dxa"/>
            <w:gridSpan w:val="3"/>
            <w:tcBorders/>
            <w:tcMar>
              <w:top w:w="0" w:type="dxa"/>
              <w:left w:w="0" w:type="dxa"/>
              <w:bottom w:w="0" w:type="dxa"/>
              <w:right w:w="0" w:type="dxa"/>
            </w:tcMar>
            <w:vAlign w:val="center"/>
          </w:tcPr>
          <w:p>
            <w:pPr>
              <w:pStyle w:val="TableContents"/>
              <w:bidi w:val="0"/>
              <w:spacing w:lineRule="auto" w:line="319" w:before="0" w:after="2"/>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0" w:after="20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710" w:type="dxa"/>
        <w:jc w:val="left"/>
        <w:tblInd w:w="0" w:type="dxa"/>
        <w:tblLayout w:type="fixed"/>
        <w:tblCellMar>
          <w:top w:w="28" w:type="dxa"/>
          <w:left w:w="28" w:type="dxa"/>
          <w:bottom w:w="28" w:type="dxa"/>
          <w:right w:w="28" w:type="dxa"/>
        </w:tblCellMar>
      </w:tblPr>
      <w:tblGrid>
        <w:gridCol w:w="641"/>
        <w:gridCol w:w="563"/>
        <w:gridCol w:w="566"/>
        <w:gridCol w:w="335"/>
        <w:gridCol w:w="335"/>
        <w:gridCol w:w="335"/>
        <w:gridCol w:w="1432"/>
        <w:gridCol w:w="1432"/>
        <w:gridCol w:w="207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771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color w:val="000000"/>
                <w:sz w:val="20"/>
              </w:rPr>
            </w:pPr>
            <w:r>
              <w:rPr>
                <w:rFonts w:ascii="Times New Roman;serif" w:hAnsi="Times New Roman;serif"/>
                <w:b/>
                <w:color w:val="000000"/>
                <w:sz w:val="20"/>
              </w:rPr>
              <w:t>FIVE STAR BANCORP</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/s/ Heather C. Luck</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493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Name: Heather C. Luck</w:t>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1005"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319" w:before="0" w:after="2"/>
              <w:jc w:val="left"/>
              <w:rPr>
                <w:rFonts w:ascii="Times New Roman;serif" w:hAnsi="Times New Roman;serif"/>
                <w:b w:val="false"/>
                <w:color w:val="000000"/>
                <w:sz w:val="20"/>
              </w:rPr>
            </w:pPr>
            <w:r>
              <w:rPr>
                <w:rFonts w:ascii="Times New Roman;serif" w:hAnsi="Times New Roman;serif"/>
                <w:b w:val="false"/>
                <w:color w:val="000000"/>
                <w:sz w:val="20"/>
              </w:rPr>
              <w:t>Title: Executive Vice President and Chief Financial Officer</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r>
              <w:rPr>
                <w:rFonts w:ascii="Times New Roman;serif" w:hAnsi="Times New Roman;serif"/>
                <w:b w:val="false"/>
                <w:color w:val="000000"/>
                <w:sz w:val="20"/>
              </w:rPr>
              <w:t>Date: July 10, 2026</w:t>
            </w:r>
          </w:p>
        </w:tc>
        <w:tc>
          <w:tcPr>
            <w:tcW w:w="5940" w:type="dxa"/>
            <w:gridSpan w:val="6"/>
            <w:tcBorders/>
            <w:tcMar>
              <w:top w:w="0" w:type="dxa"/>
              <w:left w:w="0" w:type="dxa"/>
              <w:bottom w:w="0" w:type="dxa"/>
              <w:right w:w="0" w:type="dxa"/>
            </w:tcMar>
            <w:vAlign w:val="center"/>
          </w:tcPr>
          <w:p>
            <w:pPr>
              <w:pStyle w:val="TableContents"/>
              <w:bidi w:val="0"/>
              <w:spacing w:lineRule="auto" w:line="319" w:before="0" w:after="2"/>
              <w:jc w:val="left"/>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971675" cy="5048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971675" cy="504825"/>
                    </a:xfrm>
                    <a:prstGeom prst="rect">
                      <a:avLst/>
                    </a:prstGeom>
                  </pic:spPr>
                </pic:pic>
              </a:graphicData>
            </a:graphic>
          </wp:inline>
        </w:drawing>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826"/>
        <w:gridCol w:w="726"/>
        <w:gridCol w:w="728"/>
        <w:gridCol w:w="1053"/>
        <w:gridCol w:w="1053"/>
        <w:gridCol w:w="1493"/>
      </w:tblGrid>
      <w:tr>
        <w:trPr/>
        <w:tc>
          <w:tcPr>
            <w:tcW w:w="8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PRESS RELEASE</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FOR IMMEDIATE RELEASE</w:t>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July 9, 2026</w:t>
            </w:r>
          </w:p>
        </w:tc>
      </w:tr>
    </w:tbl>
    <w:p>
      <w:pPr>
        <w:pStyle w:val="TextBody"/>
        <w:bidi w:val="0"/>
        <w:spacing w:before="0" w:after="0"/>
        <w:jc w:val="both"/>
        <w:rPr/>
      </w:pPr>
      <w:r>
        <w:rPr/>
      </w:r>
    </w:p>
    <w:p>
      <w:pPr>
        <w:pStyle w:val="TextBody"/>
        <w:bidi w:val="0"/>
        <w:spacing w:before="0" w:after="0"/>
        <w:jc w:val="left"/>
        <w:rPr/>
      </w:pPr>
      <w:r>
        <w:rPr/>
      </w:r>
    </w:p>
    <w:p>
      <w:pPr>
        <w:pStyle w:val="TextBody"/>
        <w:bidi w:val="0"/>
        <w:spacing w:lineRule="auto" w:line="240" w:before="0" w:after="0"/>
        <w:jc w:val="center"/>
        <w:rPr>
          <w:rFonts w:ascii="sans-serif" w:hAnsi="sans-serif"/>
          <w:b/>
          <w:color w:val="000000"/>
          <w:sz w:val="24"/>
        </w:rPr>
      </w:pPr>
      <w:r>
        <w:rPr>
          <w:rFonts w:ascii="sans-serif" w:hAnsi="sans-serif"/>
          <w:b/>
          <w:color w:val="000000"/>
          <w:sz w:val="24"/>
        </w:rPr>
        <w:t xml:space="preserve">Five Star Bancorp Announces Second Quarter 2026 </w:t>
      </w:r>
    </w:p>
    <w:p>
      <w:pPr>
        <w:pStyle w:val="TextBody"/>
        <w:bidi w:val="0"/>
        <w:spacing w:lineRule="auto" w:line="240" w:before="0" w:after="0"/>
        <w:jc w:val="center"/>
        <w:rPr>
          <w:rFonts w:ascii="sans-serif" w:hAnsi="sans-serif"/>
          <w:b/>
          <w:color w:val="000000"/>
          <w:sz w:val="24"/>
        </w:rPr>
      </w:pPr>
      <w:r>
        <w:rPr>
          <w:rFonts w:ascii="sans-serif" w:hAnsi="sans-serif"/>
          <w:b/>
          <w:color w:val="000000"/>
          <w:sz w:val="24"/>
        </w:rPr>
        <w:t>Earnings Release Date and Webcast</w:t>
      </w:r>
    </w:p>
    <w:p>
      <w:pPr>
        <w:pStyle w:val="TextBody"/>
        <w:bidi w:val="0"/>
        <w:spacing w:before="0" w:after="0"/>
        <w:jc w:val="center"/>
        <w:rPr/>
      </w:pPr>
      <w:r>
        <w:rPr/>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RANCHO CORDOVA, CA July 9, 2026 (GLOBE NEWSWIRE) — Five Star Bancorp (Nasdaq: FSBC) (“Five Star” or the “Company”), a holding company that operates through its wholly owned banking subsidiary, Five Star Bank (the “Bank”), expects to report its financial results for the quarter ended June 30, 2026, after the stock market closes on Wednesday, July 22, 2026.</w:t>
      </w:r>
    </w:p>
    <w:p>
      <w:pPr>
        <w:pStyle w:val="TextBody"/>
        <w:bidi w:val="0"/>
        <w:spacing w:before="0" w:after="0"/>
        <w:jc w:val="left"/>
        <w:rPr/>
      </w:pPr>
      <w:r>
        <w:rPr/>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Management will host a live webcast for analysts and investors to review this information at 1:00 PM ET (10:00 AM PT) on July 23, 2026.</w:t>
      </w:r>
    </w:p>
    <w:p>
      <w:pPr>
        <w:pStyle w:val="TextBody"/>
        <w:bidi w:val="0"/>
        <w:spacing w:before="0" w:after="0"/>
        <w:jc w:val="left"/>
        <w:rPr/>
      </w:pPr>
      <w:r>
        <w:rPr/>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The live webcast will be accessible from the “News &amp; Events” section of the Company’s website under “Events” at https://investors.fivestarbank.com/news-events/events. Please pre-register for the event using this link. The webcast will be archived on the Company’s website for a period of 90 days.</w:t>
      </w:r>
    </w:p>
    <w:p>
      <w:pPr>
        <w:pStyle w:val="TextBody"/>
        <w:bidi w:val="0"/>
        <w:spacing w:before="0" w:after="0"/>
        <w:jc w:val="left"/>
        <w:rPr/>
      </w:pPr>
      <w:r>
        <w:rPr/>
      </w:r>
    </w:p>
    <w:p>
      <w:pPr>
        <w:pStyle w:val="TextBody"/>
        <w:bidi w:val="0"/>
        <w:spacing w:lineRule="auto" w:line="240" w:before="0" w:after="0"/>
        <w:jc w:val="left"/>
        <w:rPr>
          <w:rFonts w:ascii="sans-serif" w:hAnsi="sans-serif"/>
          <w:b/>
          <w:color w:val="000000"/>
          <w:sz w:val="24"/>
        </w:rPr>
      </w:pPr>
      <w:r>
        <w:rPr>
          <w:rFonts w:ascii="sans-serif" w:hAnsi="sans-serif"/>
          <w:b/>
          <w:color w:val="000000"/>
          <w:sz w:val="24"/>
        </w:rPr>
        <w:t>About Five Star Bancorp</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is a bank holding company headquartered in Rancho Cordova, California. Five Star operates through its wholly owned banking subsidiary, Five Star Bank. The Bank has nine branches in Northern California. For more information, visit https://www.fivestarbank.com.</w:t>
      </w:r>
    </w:p>
    <w:p>
      <w:pPr>
        <w:pStyle w:val="TextBody"/>
        <w:bidi w:val="0"/>
        <w:spacing w:before="0" w:after="0"/>
        <w:jc w:val="left"/>
        <w:rPr/>
      </w:pPr>
      <w:r>
        <w:rPr/>
      </w:r>
    </w:p>
    <w:p>
      <w:pPr>
        <w:pStyle w:val="TextBody"/>
        <w:bidi w:val="0"/>
        <w:spacing w:lineRule="auto" w:line="240" w:before="0" w:after="0"/>
        <w:jc w:val="both"/>
        <w:rPr>
          <w:rFonts w:ascii="sans-serif" w:hAnsi="sans-serif"/>
          <w:b/>
          <w:color w:val="000000"/>
          <w:sz w:val="24"/>
        </w:rPr>
      </w:pPr>
      <w:r>
        <w:rPr>
          <w:rFonts w:ascii="sans-serif" w:hAnsi="sans-serif"/>
          <w:b/>
          <w:color w:val="000000"/>
          <w:sz w:val="24"/>
        </w:rPr>
        <w:t>Investor Contact:</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Heather C. Luck, Chief Financial Officer</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Bancorp</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(916) 626-5008</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hluck@fivestarbank.com</w:t>
      </w:r>
    </w:p>
    <w:p>
      <w:pPr>
        <w:pStyle w:val="TextBody"/>
        <w:bidi w:val="0"/>
        <w:spacing w:before="0" w:after="0"/>
        <w:jc w:val="both"/>
        <w:rPr/>
      </w:pPr>
      <w:r>
        <w:rPr/>
      </w:r>
    </w:p>
    <w:p>
      <w:pPr>
        <w:pStyle w:val="TextBody"/>
        <w:bidi w:val="0"/>
        <w:spacing w:lineRule="auto" w:line="240" w:before="0" w:after="0"/>
        <w:jc w:val="both"/>
        <w:rPr>
          <w:rFonts w:ascii="sans-serif" w:hAnsi="sans-serif"/>
          <w:b/>
          <w:color w:val="000000"/>
          <w:sz w:val="24"/>
        </w:rPr>
      </w:pPr>
      <w:r>
        <w:rPr>
          <w:rFonts w:ascii="sans-serif" w:hAnsi="sans-serif"/>
          <w:b/>
          <w:color w:val="000000"/>
          <w:sz w:val="24"/>
        </w:rPr>
        <w:t>Media Contact:</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Shelley R. Wetton, Chief Marketing Officer</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Five Star Bancorp</w:t>
      </w:r>
    </w:p>
    <w:p>
      <w:pPr>
        <w:pStyle w:val="TextBody"/>
        <w:bidi w:val="0"/>
        <w:spacing w:lineRule="auto" w:line="240" w:before="0" w:after="0"/>
        <w:jc w:val="both"/>
        <w:rPr>
          <w:rFonts w:ascii="sans-serif" w:hAnsi="sans-serif"/>
          <w:b w:val="false"/>
          <w:color w:val="000000"/>
          <w:sz w:val="24"/>
        </w:rPr>
      </w:pPr>
      <w:r>
        <w:rPr>
          <w:rFonts w:ascii="sans-serif" w:hAnsi="sans-serif"/>
          <w:b w:val="false"/>
          <w:color w:val="000000"/>
          <w:sz w:val="24"/>
        </w:rPr>
        <w:t>(916) 284-7827</w:t>
      </w:r>
    </w:p>
    <w:p>
      <w:pPr>
        <w:pStyle w:val="TextBody"/>
        <w:bidi w:val="0"/>
        <w:spacing w:lineRule="auto" w:line="240"/>
        <w:jc w:val="both"/>
        <w:rPr>
          <w:rFonts w:ascii="sans-serif" w:hAnsi="sans-serif"/>
          <w:b w:val="false"/>
          <w:color w:val="000000"/>
          <w:sz w:val="24"/>
        </w:rPr>
      </w:pPr>
      <w:r>
        <w:rPr>
          <w:rFonts w:ascii="sans-serif" w:hAnsi="sans-serif"/>
          <w:b w:val="false"/>
          <w:color w:val="000000"/>
          <w:sz w:val="24"/>
        </w:rPr>
        <w:t>swetton@fivestarbank.com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748</Words>
  <Characters>4087</Characters>
  <CharactersWithSpaces>4799</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