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377190</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6"/>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8"/>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9"/>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1"/>
                <w:szCs w:val="21"/>
                <w:color w:val="auto"/>
              </w:rPr>
            </w:pPr>
          </w:p>
        </w:tc>
      </w:tr>
      <w:tr>
        <w:trPr>
          <w:trHeight w:val="257"/>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2"/>
                <w:szCs w:val="22"/>
                <w:color w:val="auto"/>
              </w:rPr>
            </w:pP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there were 21,376,153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4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color w:val="auto"/>
                <w:w w:val="99"/>
              </w:rPr>
              <w:t>March 31, 2026</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the section entitled “Management’s Discussion and Analysis of Financial Condition and Results of Operations” in Item 2 and the unaudited Consolidated Financial Statements and Notes to the Financial Statements in Item 1 of this Form 10-Q.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Annual</w:t>
            </w:r>
          </w:p>
        </w:tc>
        <w:tc>
          <w:tcPr>
            <w:tcW w:w="4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16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30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2025</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FHLMC</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FNMA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GNMA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GSE</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43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1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4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6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LM</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NII</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Financial Protection Bureau</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OCI</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Performance-based Restricted Stock Unit</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RSA</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ROAA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ROAE</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SBA</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w:t>
            </w:r>
          </w:p>
        </w:tc>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SOFR</w:t>
            </w:r>
          </w:p>
        </w:tc>
        <w:tc>
          <w:tcPr>
            <w:tcW w:w="4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11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19"/>
        </w:trPr>
        <w:tc>
          <w:tcPr>
            <w:tcW w:w="13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46,123</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33,978</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472,873</w:t>
            </w:r>
          </w:p>
        </w:tc>
        <w:tc>
          <w:tcPr>
            <w:tcW w:w="0" w:type="dxa"/>
            <w:vAlign w:val="bottom"/>
          </w:tcPr>
          <w:p>
            <w:pPr>
              <w:spacing w:after="0"/>
              <w:rPr>
                <w:sz w:val="1"/>
                <w:szCs w:val="1"/>
                <w:color w:val="auto"/>
              </w:rPr>
            </w:pPr>
          </w:p>
        </w:tc>
      </w:tr>
      <w:tr>
        <w:trPr>
          <w:trHeight w:val="20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506,851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in banks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62"/>
        </w:trPr>
        <w:tc>
          <w:tcPr>
            <w:tcW w:w="73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March 31, 2026 and</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December 31, 2025 (amortized cost of $105,385 and $107,197 at March 31, 2026 and December 31, 2025,</w:t>
            </w:r>
          </w:p>
        </w:tc>
        <w:tc>
          <w:tcPr>
            <w:tcW w:w="2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91,715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94,699</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March 31, 2026 and</w:t>
            </w: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December 31, 2025 (fair value of $1,939 and $1,995 at March 31, 2026 and December 31, 2025,</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4,213,393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4,074,929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(44,409)</w:t>
            </w:r>
          </w:p>
        </w:tc>
        <w:tc>
          <w:tcPr>
            <w:tcW w:w="0" w:type="dxa"/>
            <w:vAlign w:val="bottom"/>
          </w:tcPr>
          <w:p>
            <w:pPr>
              <w:spacing w:after="0"/>
              <w:rPr>
                <w:sz w:val="1"/>
                <w:szCs w:val="1"/>
                <w:color w:val="auto"/>
              </w:rPr>
            </w:pPr>
          </w:p>
        </w:tc>
      </w:tr>
      <w:tr>
        <w:trPr>
          <w:trHeight w:val="207"/>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4,166,954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4,030,520</w:t>
            </w: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Home Loan Bank of San Francisco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FHLB</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stock</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Bank-owned life insurance,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68,680</w:t>
            </w:r>
          </w:p>
        </w:tc>
        <w:tc>
          <w:tcPr>
            <w:tcW w:w="0" w:type="dxa"/>
            <w:vAlign w:val="bottom"/>
          </w:tcPr>
          <w:p>
            <w:pPr>
              <w:spacing w:after="0"/>
              <w:rPr>
                <w:sz w:val="1"/>
                <w:szCs w:val="1"/>
                <w:color w:val="auto"/>
              </w:rPr>
            </w:pPr>
          </w:p>
        </w:tc>
      </w:tr>
      <w:tr>
        <w:trPr>
          <w:trHeight w:val="212"/>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5,031,751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4,754,861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1,232,696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1,084,537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3,236,657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3,116,547</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4,469,353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4,201,084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Subordinated notes,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74,041</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11,872</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22,032</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4,573,232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4,309,029</w:t>
            </w: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March 31, 2026</w:t>
            </w:r>
          </w:p>
        </w:tc>
        <w:tc>
          <w:tcPr>
            <w:tcW w:w="260" w:type="dxa"/>
            <w:vAlign w:val="bottom"/>
          </w:tcPr>
          <w:p>
            <w:pPr>
              <w:spacing w:after="0"/>
              <w:rPr>
                <w:sz w:val="14"/>
                <w:szCs w:val="14"/>
                <w:color w:val="auto"/>
              </w:rPr>
            </w:pPr>
          </w:p>
        </w:tc>
        <w:tc>
          <w:tcPr>
            <w:tcW w:w="1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December 31, 2025</w:t>
            </w:r>
          </w:p>
        </w:tc>
        <w:tc>
          <w:tcPr>
            <w:tcW w:w="2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21,376,153 shares issued and outstanding at</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March 31, 2026; 21,367,387 shares issued and outstanding at December 31, 2025</w:t>
            </w:r>
          </w:p>
        </w:tc>
        <w:tc>
          <w:tcPr>
            <w:tcW w:w="2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150,985</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458,519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445,832</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5,031,751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4,754,861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center"/>
              <w:ind w:right="25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6"/>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62,116</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52,931</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57,087</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21,948</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interest expense</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23,890</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23,110</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w:t>
            </w:r>
          </w:p>
        </w:tc>
      </w:tr>
      <w:tr>
        <w:trPr>
          <w:trHeight w:val="21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40,782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32,077</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47"/>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bank-owned life insurance (“BOLI”)</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6"/>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r>
      <w:tr>
        <w:trPr>
          <w:trHeight w:val="200"/>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9,134</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w:t>
            </w:r>
          </w:p>
        </w:tc>
      </w:tr>
      <w:tr>
        <w:trPr>
          <w:trHeight w:val="247"/>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Federal Deposit Insurance Corporation (“FDIC”) insurance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26"/>
        </w:trPr>
        <w:tc>
          <w:tcPr>
            <w:tcW w:w="8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33"/>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w:t>
            </w:r>
          </w:p>
        </w:tc>
      </w:tr>
      <w:tr>
        <w:trPr>
          <w:trHeight w:val="21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15,045</w:t>
            </w:r>
          </w:p>
        </w:tc>
      </w:tr>
      <w:tr>
        <w:trPr>
          <w:trHeight w:val="200"/>
        </w:trPr>
        <w:tc>
          <w:tcPr>
            <w:tcW w:w="8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18,391</w:t>
            </w:r>
          </w:p>
        </w:tc>
      </w:tr>
      <w:tr>
        <w:trPr>
          <w:trHeight w:val="220"/>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5,280</w:t>
            </w:r>
          </w:p>
        </w:tc>
      </w:tr>
      <w:tr>
        <w:trPr>
          <w:trHeight w:val="220"/>
        </w:trPr>
        <w:tc>
          <w:tcPr>
            <w:tcW w:w="8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18,621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13,111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r>
      <w:tr>
        <w:trPr>
          <w:trHeight w:val="270"/>
        </w:trPr>
        <w:tc>
          <w:tcPr>
            <w:tcW w:w="8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holding (loss) gain on securities available-for-sale during the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Income tax (benefit) expense related to items of other comprehensive (loss)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70"/>
        </w:trPr>
        <w:tc>
          <w:tcPr>
            <w:tcW w:w="8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13,836</w:t>
            </w:r>
          </w:p>
        </w:tc>
      </w:tr>
      <w:tr>
        <w:trPr>
          <w:trHeight w:val="21"/>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21,319,083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396,624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21,329,235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302,788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115,309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406,451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21,367,387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150,985</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($0.25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21,376,153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304,372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164,262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458,519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18,621</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13,111</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low income housing tax credits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 of transferable tax credits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(4,390)</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Losses (earnings) on equity investments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w:t>
            </w: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w:t>
            </w:r>
          </w:p>
        </w:tc>
      </w:tr>
      <w:tr>
        <w:trPr>
          <w:trHeight w:val="226"/>
        </w:trPr>
        <w:tc>
          <w:tcPr>
            <w:tcW w:w="7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15,472</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call for low income housing tax credits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3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(86,404)</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 net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(3,710)</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(144,346)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(89,338)</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268,269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178,360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(4,266)</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262,925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174,094</w:t>
            </w: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100,228</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352,343</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644,359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452,571</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25,260</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23,044</w:t>
            </w:r>
          </w:p>
        </w:tc>
      </w:tr>
      <w:tr>
        <w:trPr>
          <w:trHeight w:val="233"/>
        </w:trPr>
        <w:tc>
          <w:tcPr>
            <w:tcW w:w="7720" w:type="dxa"/>
            <w:vAlign w:val="bottom"/>
            <w:shd w:val="clear" w:color="auto" w:fill="CCEEFF"/>
          </w:tcPr>
          <w:p>
            <w:pPr>
              <w:ind w:left="180"/>
              <w:spacing w:after="0" w:line="233" w:lineRule="exact"/>
              <w:rPr>
                <w:sz w:val="20"/>
                <w:szCs w:val="20"/>
                <w:color w:val="auto"/>
              </w:rPr>
            </w:pPr>
            <w:r>
              <w:rPr>
                <w:rFonts w:ascii="Times New Roman" w:cs="Times New Roman" w:eastAsia="Times New Roman" w:hAnsi="Times New Roman"/>
                <w:sz w:val="17"/>
                <w:szCs w:val="17"/>
                <w:color w:val="auto"/>
              </w:rPr>
              <w:t>Income taxes paid:</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5"/>
        </w:trPr>
        <w:tc>
          <w:tcPr>
            <w:tcW w:w="7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US Federal</w:t>
            </w:r>
          </w:p>
        </w:tc>
        <w:tc>
          <w:tcPr>
            <w:tcW w:w="3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7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US State and Local</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5"/>
        </w:trPr>
        <w:tc>
          <w:tcPr>
            <w:tcW w:w="77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California</w:t>
            </w:r>
          </w:p>
        </w:tc>
        <w:tc>
          <w:tcPr>
            <w:tcW w:w="3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7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states</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23"/>
        </w:trPr>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3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gain on securities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Income taxes are presented by significant jurisdictions beginning in 2026 as required by ASU No. 2023-09, </w:t>
      </w:r>
      <w:r>
        <w:rPr>
          <w:rFonts w:ascii="Times New Roman" w:cs="Times New Roman" w:eastAsia="Times New Roman" w:hAnsi="Times New Roman"/>
          <w:sz w:val="18"/>
          <w:szCs w:val="18"/>
          <w:i w:val="1"/>
          <w:iCs w:val="1"/>
          <w:color w:val="auto"/>
        </w:rPr>
        <w:t>Income Taxes (Topic 740)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(“ASU 2023-09”). This standard has been applied on a prospective basis.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a broad range of banking products and services to customers who are predominately small and medium-sized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nine branch offices in Roseville, Natomas, Rancho Cordova, Redding, Elk Grove, Chico, Yuba City, San Francisco, and Walnut Creek.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Federal Accounting Standards Board’s (“FASB”) Accounting Standards Codification (“ASC”), including Accounting Standards Updates (“ASU”), and the rules and regulations of the Securities and Exchange Commission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2025, and the notes thereto, included in the Company’s Annual Report on Form 10-K (the “2025 Annual Report on Form 10-K”), which was filed with the SEC on February 27, 2026.</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of operations that may be expected for any other interim period or for the year ending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operating segment: banking. The banking segment derives its revenues through the Bank, which provides a broad range of banking products and services to customers who are predominantly small and middle-market businesses, professionals, and individuals primarily in the Northern California region. The Company manages the business activities on a consolidated basis.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Discrete financial information is not available other than on a Company-wide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(the “JOBS Act”),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until the last day of the fiscal year following the fifth anniversary of its initial public offering (“IPO”) date of May 5, 2021,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2025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 Our early adoption of ASU 2023-09 was voluntary and does not represent an irrevocable election to opt out of the extended transition period for all standards. The accounting standards discussed below indicate effective dates for the Company as an emerging growth company using the extended transition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which enhances the transparency and decision usefulness of income tax disclosures. ASU 2023-09 requires disaggregated information about a reporting entity’s effective tax rate reconciliation as well as information on income taxes paid. Entities are also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for fiscal years beginning after December 15, 2025, including interim periods within those fiscal years, for emerging growth companies that have elected not to opt out of the extended transition period. The Company elected to early adopt ASU 2023-09 for the fiscal year ended December 31, 2025, which did not have a significant impact on the Company’s consolidated financial statements. The Company’s early adoption of ASU 2023-09 was voluntary and does not represent an irrevocable election to opt out of the extended transition period for all standards. The Company has updated its income tax disclosures in accordance with ASU 2023-09, which primarily enhances transparency regarding income tax expense and related items.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w:t>
      </w:r>
      <w:r>
        <w:rPr>
          <w:rFonts w:ascii="Times New Roman" w:cs="Times New Roman" w:eastAsia="Times New Roman" w:hAnsi="Times New Roman"/>
          <w:sz w:val="18"/>
          <w:szCs w:val="18"/>
          <w:i w:val="1"/>
          <w:iCs w:val="1"/>
          <w:color w:val="auto"/>
        </w:rPr>
        <w:t>: Disaggregation of Income Statement Expenses</w:t>
      </w:r>
      <w:r>
        <w:rPr>
          <w:rFonts w:ascii="Times New Roman" w:cs="Times New Roman" w:eastAsia="Times New Roman" w:hAnsi="Times New Roman"/>
          <w:sz w:val="18"/>
          <w:szCs w:val="18"/>
          <w:color w:val="auto"/>
        </w:rPr>
        <w:t xml:space="preserve"> (“ASU 2024-03”) and in January 2025 the FASB issued ASU 2025-01,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This standard responds to investor input by requiring public companies to disclose, in interim and annual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Reclassifications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2.1 summarizes the Company’s assets and liabilities required to be recorded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2.1: Fair Value on a Recurring Basis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88"/>
              </w:rPr>
              <w:t>In</w:t>
            </w:r>
            <w:r>
              <w:rPr>
                <w:rFonts w:ascii="Times New Roman" w:cs="Times New Roman" w:eastAsia="Times New Roman" w:hAnsi="Times New Roman"/>
                <w:sz w:val="23"/>
                <w:szCs w:val="23"/>
                <w:color w:val="auto"/>
                <w:w w:val="88"/>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Other comprehensive income (“OCI”) or net income (“NI”).</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March 31, 2026 and December 31, 2025, there were no Level 1 available-for-sale securities and no transfers between Level 1 and Level 2 classifications for assets or liabilities measured at fair value on a recurring basis.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March 31, 2026 and December 31, 2025, the carrying amount of assets measured at fair value on a non-recurring basis was immaterial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2.2 is a summary of fair value estimates for financial instruments as of March 31, 2026 and December 31, 2025.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Fair Value Estimates for Financial Instruments</w:t>
            </w:r>
          </w:p>
        </w:tc>
        <w:tc>
          <w:tcPr>
            <w:tcW w:w="960" w:type="dxa"/>
            <w:vAlign w:val="bottom"/>
          </w:tcPr>
          <w:p>
            <w:pPr>
              <w:spacing w:after="0"/>
              <w:rPr>
                <w:sz w:val="17"/>
                <w:szCs w:val="17"/>
                <w:color w:val="auto"/>
              </w:rPr>
            </w:pPr>
          </w:p>
        </w:tc>
        <w:tc>
          <w:tcPr>
            <w:tcW w:w="13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March 31, 2026</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vMerge w:val="continue"/>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644,359</w:t>
            </w:r>
          </w:p>
        </w:tc>
        <w:tc>
          <w:tcPr>
            <w:tcW w:w="8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 in banks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8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4,092,498</w:t>
            </w:r>
          </w:p>
        </w:tc>
        <w:tc>
          <w:tcPr>
            <w:tcW w:w="80" w:type="dxa"/>
            <w:vAlign w:val="bottom"/>
          </w:tcPr>
          <w:p>
            <w:pPr>
              <w:spacing w:after="0"/>
              <w:rPr>
                <w:sz w:val="21"/>
                <w:szCs w:val="21"/>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453,576</w:t>
            </w:r>
          </w:p>
        </w:tc>
        <w:tc>
          <w:tcPr>
            <w:tcW w:w="8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following methods and assumptions to estimate the fair value of its financial instruments at March 31, 2026 and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Chicago Mercantile Exchange (“CME”) Term Secured Overnight Financing Rate (“SOFR”). The Company’s subordinated notes are not registered securities and were issued through private placements, resulting in a Level 3 classification.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carrying amount is estimated to be fair value.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U.S. Small Business Administration (the “SBA”), and securities issued by U.S. Government Sponsored Entities (“GSEs”), such as the Federal National Mortgage Association (the “FNMA”), the Federal Home Loan Mortgage Corporation (the “FHLMC”), and the FHLB. The Company also invests in residential and commercial mortgage-backed securities, collateralized mortgage obligations issued or guaranteed by GSEs, and corporate bonds, as reflected in Tables 3.1 and 3.2.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March 31, 2026 and December 31, 2025 is presented in Table 3.1. Securities held-to-maturity, at amortized cost, had a $20.0 thousand allowance for credit losses as of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3.1: Securities Held-to-Maturity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allowance for credit losses on held-to-maturity securities, at amortized cost, was $20.0 thousand. The Company did not record an allowance for credit losses on available-for-sale securities, at fair value, as of March 31, 2026 or December 31,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March 31, 2026 and December 31, 2025 is presented in Table 3.2. Securities available-for-sale did not have an allowance for credit losses as of March 31, 2026 or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3.2: Securities Available-for-Sale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March 31, 2026 and December 31, 2025 are shown in Table 3.3. Expected maturities may differ from contractual maturities if the issuers of the securities have the right to call or prepay obligations with or without call or prepayment penalties.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3.3: Contractual Maturities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There were no purchases or sales of investment securities during the three months ended March 31, 2026 or March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3.4: Pledged Investment Securities</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to:</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47,091</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42,578</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89,669</w:t>
            </w: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3.5 details the gross unrealized losses and fair values aggregated by investment category and length of time that individual available-for-sale securities have been in a continuous unrealized loss position at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3.5: Securities Available-for-Sale in Continuous Unrealized Loss Positions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Less than 12 months</w:t>
            </w:r>
          </w:p>
        </w:tc>
        <w:tc>
          <w:tcPr>
            <w:tcW w:w="4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12 months or more</w:t>
            </w: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145 and 147 available-for-sale securities in unrealized loss positions at March 31, 2026 and December 31, 2025, respectively. As of March 31, 2026, the investment portfolio included 141 investment securities that had been in a continuous loss position for twelve months or more and four investment securities that had been in a loss position for less than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both March 31, 2026 and December 31, 2025, which at December 31, 2025 had been in a continuous loss position for more than twelve months.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Government National Mortgage Association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March 31, 2026 and December 31, 2025.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March 31, 2026 or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and has committed to and is invested in a limited number of venture-backed capital funds and accounts for these investments under the equity method of accounting, as its ownership is greater than 3% of each fund. The Company held $13.1 million and $12.1 million of equity investments at March 31, 2026 and December 31, 2025, respectively, included in “Interest receivable and other assets” in the unaudited consolidated balance sheets. The Company’s share of loss from these investments was $0.8 million for the three months ended March 31, 2026. The Company recorded no share of earnings or losses from these investments for the three months ended March 31, 2025. The Company’s share of earnings and losses from these investments is included in “</w:t>
      </w:r>
      <w:r>
        <w:rPr>
          <w:rFonts w:ascii="Times New Roman" w:cs="Times New Roman" w:eastAsia="Times New Roman" w:hAnsi="Times New Roman"/>
          <w:sz w:val="17"/>
          <w:szCs w:val="17"/>
          <w:color w:val="auto"/>
        </w:rPr>
        <w:t>Other</w:t>
      </w:r>
      <w:r>
        <w:rPr>
          <w:rFonts w:ascii="Times New Roman" w:cs="Times New Roman" w:eastAsia="Times New Roman" w:hAnsi="Times New Roman"/>
          <w:sz w:val="18"/>
          <w:szCs w:val="18"/>
          <w:color w:val="auto"/>
        </w:rPr>
        <w:t xml:space="preserve"> non-interest income” in the consolidated statements of income. No individual investment is material to the Company’s consolidated financial statements. Based on management’s analysis of each fund’s financial condition and certain qualitative factors, management determined that the equity investments were not impaired at March 31, 2026 and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4.1: Loans Outstanding</w:t>
            </w:r>
          </w:p>
        </w:tc>
        <w:tc>
          <w:tcPr>
            <w:tcW w:w="49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220" w:type="dxa"/>
            <w:vAlign w:val="bottom"/>
          </w:tcPr>
          <w:p>
            <w:pPr>
              <w:spacing w:after="0"/>
              <w:rPr>
                <w:sz w:val="21"/>
                <w:szCs w:val="21"/>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3,305,713</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30"/>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37,566</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251,736</w:t>
            </w:r>
          </w:p>
        </w:tc>
      </w:tr>
      <w:tr>
        <w:trPr>
          <w:trHeight w:val="229"/>
        </w:trPr>
        <w:tc>
          <w:tcPr>
            <w:tcW w:w="20" w:type="dxa"/>
            <w:vAlign w:val="bottom"/>
          </w:tcPr>
          <w:p>
            <w:pPr>
              <w:spacing w:after="0"/>
              <w:rPr>
                <w:sz w:val="19"/>
                <w:szCs w:val="19"/>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40,422</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275,475</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4,215,695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4,077,019</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loan fees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4,074,929</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r>
      <w:tr>
        <w:trPr>
          <w:trHeight w:val="223"/>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4,166,954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4,030,520</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Table 4.2 presents the amortized cost basis of the Company’s loans by origination year, where origination is defined as the later of origination or renewal date, and credit quality indicator as of the periods indicated.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March 31, 2026</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399,307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3,268,058</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129,114</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21,604</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181,346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663,706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402,882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859,383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1,011,326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3,418,776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107,858</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27,488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107,858</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17,759</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43,223</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5,827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60,484</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29,696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61,065</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231,265</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53,326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23,443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21,862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23,429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97,008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244,176</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39,503</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7,783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276,005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159,168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276,010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870,959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624,530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1,009,977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4,046,678</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143,389</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4,213,393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2025</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670,067</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3,205,310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76,130</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671,311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414,556</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287,752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600,570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443,720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3,302,761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81,532</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58,999</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241,571</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252,805</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275,602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172,130</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275,608</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870,248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3,950,762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101,883</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22,284</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which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Table 4.3 presents the Company’s gross charge-offs by origination year and class, where origination is defined as the later of origination or renewal date, for the periods indicated.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4.3: Gross Charge-Offs by Vintage</w:t>
      </w:r>
    </w:p>
    <w:p>
      <w:pPr>
        <w:spacing w:after="0" w:line="2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color w:val="auto"/>
        </w:rPr>
        <w:t>Gross Charge-Offs by Origination Year</w:t>
      </w:r>
    </w:p>
    <w:p>
      <w:pPr>
        <w:jc w:val="center"/>
        <w:ind w:right="580"/>
        <w:spacing w:after="0"/>
        <w:rPr>
          <w:sz w:val="20"/>
          <w:szCs w:val="20"/>
          <w:color w:val="auto"/>
        </w:rPr>
      </w:pPr>
      <w:r>
        <w:rPr>
          <w:rFonts w:ascii="Times New Roman" w:cs="Times New Roman" w:eastAsia="Times New Roman" w:hAnsi="Times New Roman"/>
          <w:sz w:val="14"/>
          <w:szCs w:val="14"/>
          <w:color w:val="auto"/>
        </w:rPr>
        <w:t>for the three months ended March 31,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ind w:left="540"/>
              <w:spacing w:after="0"/>
              <w:rPr>
                <w:sz w:val="20"/>
                <w:szCs w:val="20"/>
                <w:color w:val="auto"/>
              </w:rPr>
            </w:pPr>
            <w:r>
              <w:rPr>
                <w:rFonts w:ascii="Times New Roman" w:cs="Times New Roman" w:eastAsia="Times New Roman" w:hAnsi="Times New Roman"/>
                <w:sz w:val="14"/>
                <w:szCs w:val="14"/>
                <w:color w:val="auto"/>
              </w:rPr>
              <w:t>Gross Charge-Offs by Origination Year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2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4.4 shows the age analysis of past due loans by class as of the dates shown.</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4.4: Age Analysis of Past Due Loans by Class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Greater Than</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3,418,776</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107,858</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276,010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4,213,393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3,302,761</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w:t>
            </w: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0" w:type="dxa"/>
            <w:vAlign w:val="bottom"/>
          </w:tcPr>
          <w:p>
            <w:pPr>
              <w:spacing w:after="0"/>
              <w:rPr>
                <w:sz w:val="1"/>
                <w:szCs w:val="1"/>
                <w:color w:val="auto"/>
              </w:rPr>
            </w:pPr>
          </w:p>
        </w:tc>
      </w:tr>
      <w:tr>
        <w:trPr>
          <w:trHeight w:val="229"/>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275,608</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4,074,929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March 31, 2026 or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20"/>
        <w:spacing w:after="0" w:line="282" w:lineRule="auto"/>
        <w:rPr>
          <w:sz w:val="20"/>
          <w:szCs w:val="20"/>
          <w:color w:val="auto"/>
        </w:rPr>
      </w:pPr>
      <w:r>
        <w:rPr>
          <w:rFonts w:ascii="Times New Roman" w:cs="Times New Roman" w:eastAsia="Times New Roman" w:hAnsi="Times New Roman"/>
          <w:sz w:val="18"/>
          <w:szCs w:val="18"/>
          <w:color w:val="auto"/>
        </w:rPr>
        <w:t>Table 4.5 presents the amortized cost basis of the Company’s collateral dependent loans by class as of the periods indicated. These loans were individually evaluated for credit loss in accordance with the Company’s allowance for credit losses methodology.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4.5: Collateral Dependent Loans by Class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0"/>
        </w:trPr>
        <w:tc>
          <w:tcPr>
            <w:tcW w:w="20" w:type="dxa"/>
            <w:vAlign w:val="bottom"/>
            <w:tcBorders>
              <w:bottom w:val="single" w:sz="8" w:color="auto"/>
            </w:tcBorders>
          </w:tcPr>
          <w:p>
            <w:pPr>
              <w:spacing w:after="0"/>
              <w:rPr>
                <w:sz w:val="24"/>
                <w:szCs w:val="24"/>
                <w:color w:val="auto"/>
              </w:rPr>
            </w:pPr>
          </w:p>
        </w:tc>
        <w:tc>
          <w:tcPr>
            <w:tcW w:w="3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50"/>
        </w:trPr>
        <w:tc>
          <w:tcPr>
            <w:tcW w:w="20" w:type="dxa"/>
            <w:vAlign w:val="bottom"/>
            <w:shd w:val="clear" w:color="auto" w:fill="CCEEFF"/>
          </w:tcPr>
          <w:p>
            <w:pPr>
              <w:spacing w:after="0"/>
              <w:rPr>
                <w:sz w:val="21"/>
                <w:szCs w:val="21"/>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57"/>
        </w:trPr>
        <w:tc>
          <w:tcPr>
            <w:tcW w:w="20" w:type="dxa"/>
            <w:vAlign w:val="bottom"/>
            <w:shd w:val="clear" w:color="auto" w:fill="CCEEFF"/>
          </w:tcPr>
          <w:p>
            <w:pPr>
              <w:spacing w:after="0"/>
              <w:rPr>
                <w:sz w:val="22"/>
                <w:szCs w:val="22"/>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816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residential real estate loans in process of foreclosure at March 31, 2026 or December 31,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Modifications to loans for borrowers experiencing financial difficulty may include interest rate reductions, principal or interest forgiveness, forbearances, term extensions, and other actions intended to minimize economic loss and to avoid foreclosure or repossession of collateral.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4.6 presents the amortized cost basis of loans by class that were modified due to financial difficulty during the periods indicated.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4.6: Amortized Cost Basis of Loans Modified due to Financial Difficulty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36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r>
      <w:tr>
        <w:trPr>
          <w:trHeight w:val="205"/>
        </w:trPr>
        <w:tc>
          <w:tcPr>
            <w:tcW w:w="2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ind w:left="330"/>
              <w:spacing w:after="0" w:line="205" w:lineRule="exact"/>
              <w:rPr>
                <w:sz w:val="20"/>
                <w:szCs w:val="20"/>
                <w:color w:val="auto"/>
              </w:rPr>
            </w:pPr>
            <w:r>
              <w:rPr>
                <w:rFonts w:ascii="Times New Roman" w:cs="Times New Roman" w:eastAsia="Times New Roman" w:hAnsi="Times New Roman"/>
                <w:sz w:val="18"/>
                <w:szCs w:val="18"/>
                <w:color w:val="auto"/>
                <w:w w:val="98"/>
              </w:rPr>
              <w:t>Total % of Loans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right"/>
              <w:ind w:right="330"/>
              <w:spacing w:after="0" w:line="205" w:lineRule="exact"/>
              <w:rPr>
                <w:sz w:val="20"/>
                <w:szCs w:val="20"/>
                <w:color w:val="auto"/>
              </w:rPr>
            </w:pPr>
            <w:r>
              <w:rPr>
                <w:rFonts w:ascii="Times New Roman" w:cs="Times New Roman" w:eastAsia="Times New Roman" w:hAnsi="Times New Roman"/>
                <w:sz w:val="18"/>
                <w:szCs w:val="18"/>
                <w:color w:val="auto"/>
              </w:rPr>
              <w:t>Total % of Loans</w:t>
            </w:r>
          </w:p>
        </w:tc>
      </w:tr>
      <w:tr>
        <w:trPr>
          <w:trHeight w:val="24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Payment Change</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Receivable</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Change</w:t>
            </w:r>
          </w:p>
        </w:tc>
        <w:tc>
          <w:tcPr>
            <w:tcW w:w="2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Receivable</w:t>
            </w:r>
          </w:p>
        </w:tc>
      </w:tr>
      <w:tr>
        <w:trPr>
          <w:trHeight w:val="23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p>
        </w:tc>
      </w:tr>
      <w:tr>
        <w:trPr>
          <w:trHeight w:val="257"/>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20" w:type="dxa"/>
            <w:vAlign w:val="bottom"/>
          </w:tcPr>
          <w:p>
            <w:pPr>
              <w:spacing w:after="0"/>
              <w:rPr>
                <w:sz w:val="22"/>
                <w:szCs w:val="22"/>
                <w:color w:val="auto"/>
              </w:rPr>
            </w:pP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4.7 presents the financial effect of loans by class that were modified due to financial difficulty during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Table 4.7: Financial Effect of Loans Modified due to Financial Difficulty</w:t>
            </w: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top w:val="single" w:sz="8" w:color="auto"/>
            </w:tcBorders>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For the three months</w:t>
            </w:r>
          </w:p>
        </w:tc>
        <w:tc>
          <w:tcPr>
            <w:tcW w:w="202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Modification Type</w:t>
            </w:r>
          </w:p>
        </w:tc>
        <w:tc>
          <w:tcPr>
            <w:tcW w:w="100" w:type="dxa"/>
            <w:vAlign w:val="bottom"/>
            <w:tcBorders>
              <w:top w:val="single" w:sz="8" w:color="auto"/>
            </w:tcBorders>
            <w:vMerge w:val="restart"/>
          </w:tcPr>
          <w:p>
            <w:pPr>
              <w:spacing w:after="0"/>
              <w:rPr>
                <w:sz w:val="17"/>
                <w:szCs w:val="17"/>
                <w:color w:val="auto"/>
              </w:rPr>
            </w:pPr>
          </w:p>
        </w:tc>
        <w:tc>
          <w:tcPr>
            <w:tcW w:w="124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Loan Type</w:t>
            </w:r>
          </w:p>
        </w:tc>
        <w:tc>
          <w:tcPr>
            <w:tcW w:w="1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572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Financial Effect</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rPr>
              <w:t>ended March 31,</w:t>
            </w:r>
          </w:p>
        </w:tc>
        <w:tc>
          <w:tcPr>
            <w:tcW w:w="2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5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Change</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Reduced the loan payment owed by the borrower for three months</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4.8 presents the Company’s non-accrual loans by class as of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4.8: Non-accrual Loans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2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non-accrual loans</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months ended March 31, 2026 or March 31, 2025. Non-accrual real estate loans did not have an allowance for credit losses as of March 31, 2026 or March 31, 2025. Non-accrual commercial loans had a $0.5 million allowance for credit losses as of March 31, 2026 and an immaterial allowance for credit losses as of March 31, 2025. Interest income can be recognized on non-accrual loans in cases where resolution occurs through a sale or full payment is received on the non-accrual loan.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$54.5 thousand for the three months ended March 31, 2026, as compared to $35.2 thousand for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4.9 discloses activity in the allowance for credit losses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4.9: Allowance for Credit Losses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Beginning</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6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4.10: Unfunded Loan Commitment Reserves</w:t>
            </w:r>
          </w:p>
        </w:tc>
        <w:tc>
          <w:tcPr>
            <w:tcW w:w="280" w:type="dxa"/>
            <w:vAlign w:val="bottom"/>
          </w:tcPr>
          <w:p>
            <w:pPr>
              <w:spacing w:after="0"/>
              <w:rPr>
                <w:sz w:val="17"/>
                <w:szCs w:val="17"/>
                <w:color w:val="auto"/>
              </w:rPr>
            </w:pPr>
          </w:p>
        </w:tc>
        <w:tc>
          <w:tcPr>
            <w:tcW w:w="3820" w:type="dxa"/>
            <w:vAlign w:val="bottom"/>
            <w:gridSpan w:val="4"/>
            <w:vMerge w:val="restart"/>
          </w:tcPr>
          <w:p>
            <w:pPr>
              <w:ind w:left="10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3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19"/>
                <w:szCs w:val="19"/>
                <w:color w:val="auto"/>
              </w:rPr>
            </w:pPr>
          </w:p>
        </w:tc>
        <w:tc>
          <w:tcPr>
            <w:tcW w:w="1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6"/>
              </w:rPr>
              <w:t>747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(benefit)</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6"/>
              </w:rPr>
              <w:t>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$2.3 billion and $2.2 billion at March 31, 2026 and December 31, 2025, respectively. In addition, the Company pledges eligible tenants in common loans, which totaled $1.4 billion and $1.3 billion at March 31, 2026 and December 31, 2025, respectively, to secure its borrowing capacity with the Federal Reserve Discount Window. See Note 6, Subordinated Notes and Other Borrowings, for further discussion of these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5.1 shows the composition of interest-bearing deposits as of March 31, 2026 and December 31,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5.1: Interest-Bearing Deposits</w:t>
            </w:r>
          </w:p>
        </w:tc>
        <w:tc>
          <w:tcPr>
            <w:tcW w:w="44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1"/>
                <w:szCs w:val="21"/>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344,200</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139,169</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2,078,567</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350,032</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204,579</w:t>
            </w:r>
          </w:p>
        </w:tc>
      </w:tr>
      <w:tr>
        <w:trPr>
          <w:trHeight w:val="223"/>
        </w:trPr>
        <w:tc>
          <w:tcPr>
            <w:tcW w:w="20" w:type="dxa"/>
            <w:vAlign w:val="bottom"/>
          </w:tcPr>
          <w:p>
            <w:pPr>
              <w:spacing w:after="0"/>
              <w:rPr>
                <w:sz w:val="19"/>
                <w:szCs w:val="19"/>
                <w:color w:val="auto"/>
              </w:rPr>
            </w:pP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3,236,657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3,116,547</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$454.3 million and $554.6 million as of March 31, 2026 and December 31, 2025, respectively. Scheduled maturities of time deposits as of March 31, 2026 for the next five years are shown in Table 5.2.</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5.2: Scheduled Maturities of Time Deposits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2026</w:t>
            </w:r>
          </w:p>
        </w:tc>
        <w:tc>
          <w:tcPr>
            <w:tcW w:w="6420" w:type="dxa"/>
            <w:vAlign w:val="bottom"/>
            <w:tcBorders>
              <w:top w:val="single" w:sz="8" w:color="auto"/>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443,244</w:t>
            </w:r>
          </w:p>
        </w:tc>
        <w:tc>
          <w:tcPr>
            <w:tcW w:w="0" w:type="dxa"/>
            <w:vAlign w:val="bottom"/>
          </w:tcPr>
          <w:p>
            <w:pPr>
              <w:spacing w:after="0"/>
              <w:rPr>
                <w:sz w:val="1"/>
                <w:szCs w:val="1"/>
                <w:color w:val="auto"/>
              </w:rPr>
            </w:pPr>
          </w:p>
        </w:tc>
      </w:tr>
      <w:tr>
        <w:trPr>
          <w:trHeight w:val="229"/>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2027</w:t>
            </w:r>
          </w:p>
        </w:tc>
        <w:tc>
          <w:tcPr>
            <w:tcW w:w="5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2029</w:t>
            </w:r>
          </w:p>
        </w:tc>
        <w:tc>
          <w:tcPr>
            <w:tcW w:w="5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w w:val="99"/>
              </w:rPr>
              <w:t>2030</w:t>
            </w:r>
          </w:p>
        </w:tc>
        <w:tc>
          <w:tcPr>
            <w:tcW w:w="56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Total time deposits</w:t>
            </w:r>
          </w:p>
        </w:tc>
        <w:tc>
          <w:tcPr>
            <w:tcW w:w="568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68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4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56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March 31, 2026 or December 31, 2025. The composition of network deposits as of March 31, 2026 and December 31, 2025 is shown in Table 5.3.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5.3: Network Deposits</w:t>
            </w:r>
          </w:p>
        </w:tc>
        <w:tc>
          <w:tcPr>
            <w:tcW w:w="50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1"/>
                <w:szCs w:val="21"/>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21,488</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ICS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network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5.4 presents interest expense recognized on interest-bearing deposits for the periods ended March 31, 2026 and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5.4: Interest Expense Recognized on Interest-Bearing Deposits</w:t>
            </w:r>
          </w:p>
        </w:tc>
        <w:tc>
          <w:tcPr>
            <w:tcW w:w="140" w:type="dxa"/>
            <w:vAlign w:val="bottom"/>
          </w:tcPr>
          <w:p>
            <w:pPr>
              <w:spacing w:after="0"/>
              <w:rPr>
                <w:sz w:val="17"/>
                <w:szCs w:val="17"/>
                <w:color w:val="auto"/>
              </w:rPr>
            </w:pPr>
          </w:p>
        </w:tc>
        <w:tc>
          <w:tcPr>
            <w:tcW w:w="292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top w:val="single" w:sz="8" w:color="auto"/>
            </w:tcBorders>
          </w:tcPr>
          <w:p>
            <w:pPr>
              <w:spacing w:after="0"/>
              <w:rPr>
                <w:sz w:val="21"/>
                <w:szCs w:val="21"/>
                <w:color w:val="auto"/>
              </w:rPr>
            </w:pPr>
          </w:p>
        </w:tc>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8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Subordinated Notes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(6.97% as of March 31, 2026)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$0.5 million has been amortized as of March 31, 2026. The Company reflects debt issuance costs as a direct deduction from the face of the note. The debt issuance costs are amortized into interest expense through the maturity period. At March 31, 2026 and December 31, 2025, the carrying value of the Company’s subordinated notes outstanding was $74.1 million and $74.0 million, respectively.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6.1.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6.1: Financing Availability with the FHLB</w:t>
            </w:r>
          </w:p>
        </w:tc>
        <w:tc>
          <w:tcPr>
            <w:tcW w:w="35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1"/>
                <w:szCs w:val="21"/>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1,518,680</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2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LCs issued</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r>
      <w:tr>
        <w:trPr>
          <w:trHeight w:val="223"/>
        </w:trPr>
        <w:tc>
          <w:tcPr>
            <w:tcW w:w="20" w:type="dxa"/>
            <w:vAlign w:val="bottom"/>
          </w:tcPr>
          <w:p>
            <w:pPr>
              <w:spacing w:after="0"/>
              <w:rPr>
                <w:sz w:val="19"/>
                <w:szCs w:val="19"/>
                <w:color w:val="auto"/>
              </w:rPr>
            </w:pPr>
          </w:p>
        </w:tc>
        <w:tc>
          <w:tcPr>
            <w:tcW w:w="7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631,180</w:t>
            </w: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the ability to borrow from the Federal Reserve Discount Window. The borrowings were available at an interest rate of 3.75% as of March 31, 2026. At March 31, 2026 and December 31, 2025, the borrowing capacity under this arrangement was $1.0 billion and $957.4 million, respectively. There were no amounts outstanding at March 31, 2026 or December 31, 2025. The borrowing line is secured by certain liens on the Company’s loans and certain available-for-sale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Company had five unsecured federal funds lines of credit totaling $185.0 million with five of its correspondent banks. The borrowings were available at interest rates ranging from 3.75% to 4.95% as of March 31, 2026. There were no amounts outstanding at March 31, 2026 or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ectPr>
          <w:pgSz w:w="11900" w:h="16838" w:orient="portrait"/>
          <w:cols w:equalWidth="0" w:num="1">
            <w:col w:w="11240"/>
          </w:cols>
          <w:pgMar w:left="320" w:top="1147" w:right="3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 Earnings per Share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7.1: EPS</w:t>
            </w:r>
          </w:p>
        </w:tc>
        <w:tc>
          <w:tcPr>
            <w:tcW w:w="140" w:type="dxa"/>
            <w:vAlign w:val="bottom"/>
          </w:tcPr>
          <w:p>
            <w:pPr>
              <w:spacing w:after="0"/>
              <w:rPr>
                <w:sz w:val="17"/>
                <w:szCs w:val="17"/>
                <w:color w:val="auto"/>
              </w:rPr>
            </w:pPr>
          </w:p>
        </w:tc>
        <w:tc>
          <w:tcPr>
            <w:tcW w:w="292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21,209,881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21,253,588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1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March 31, 2026 or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declared on January 15, 2026, and the Company subsequently paid, a cash dividend of $0.25 per share, totaling $5.3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and performance-based restricted stock awards (“PSUs”) issued under the Five Star Bancorp 2021 Equity Incentive Plan (the “Equity Incentive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2025, the Company has granted PSUs under the Equity Incentive Plan to certain executives. Performance is measured over a three-year period and such PSUs cliff vest. Based on the achievement of certain pre-established goals, actual payouts can range from 0% to 150% of the target award. All PSUs were granted at the fair value of common stock at the time of the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$0.4 million and $0.3 million of non-cash stock compensation expense for the three months ended March 31, 2026 and March 31, 2025,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there was approximately $2.3 million of unrecognized compensation expense related to the 116,103 unvested RSAs.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RSAs of 1.47 years as of March 31, 2026. The impact of tax benefits for dividends paid on unvested RSAs on the Company’s unaudited consolidated statements of income for the three months ended March 31, 2026 and March 31, 2025 was immaterial.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7.2 summarizes activity related to restricted shares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7.2: Unvested RSA Activity</w:t>
            </w:r>
          </w:p>
        </w:tc>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7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 balance</w:t>
            </w:r>
          </w:p>
        </w:tc>
        <w:tc>
          <w:tcPr>
            <w:tcW w:w="4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vested</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forfeited</w:t>
            </w:r>
          </w:p>
        </w:tc>
        <w:tc>
          <w:tcPr>
            <w:tcW w:w="4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 balance</w:t>
            </w:r>
          </w:p>
        </w:tc>
        <w:tc>
          <w:tcPr>
            <w:tcW w:w="4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Table 7.3 summarizes information about unvested PSUs. The weighted average grant date fair value is based on the fair value at the time of grant. The vesting of PSUs is subject to achievement of specified performance targets and continued employment.</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7.3: Unvested PSU Activity</w:t>
      </w:r>
    </w:p>
    <w:p>
      <w:pPr>
        <w:spacing w:after="0" w:line="25"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8"/>
          <w:szCs w:val="18"/>
          <w:color w:val="auto"/>
        </w:rPr>
        <w:t>For the three months ended</w:t>
      </w:r>
    </w:p>
    <w:p>
      <w:pPr>
        <w:jc w:val="center"/>
        <w:ind w:left="896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4445</wp:posOffset>
            </wp:positionV>
            <wp:extent cx="1440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30"/>
              <w:spacing w:after="0" w:line="205"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0"/>
        </w:trPr>
        <w:tc>
          <w:tcPr>
            <w:tcW w:w="8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76"/>
        </w:trPr>
        <w:tc>
          <w:tcPr>
            <w:tcW w:w="8980" w:type="dxa"/>
            <w:vAlign w:val="bottom"/>
          </w:tcPr>
          <w:p>
            <w:pPr>
              <w:spacing w:after="0"/>
              <w:rPr>
                <w:sz w:val="15"/>
                <w:szCs w:val="15"/>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balance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1"/>
        </w:trPr>
        <w:tc>
          <w:tcPr>
            <w:tcW w:w="8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Table 7.3 shows the target number of PSUs awarded. Vesting of the PSUs is based on achievement of the Company’s three-year average return on average assets for the performance period ended December 31, 2027 relative to a peer group of publicly traded banks and bank holding companies utilizing the S&amp;P Global Broad Market Index - Western Region. If the Company’s performance is at the 60th percentile, 70th percentile, and 80th percentile or higher, the recipients are entitled to receive 50%, 100%, and 150% of their target award grant,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8.1: Unfunded Loan Commitments and Standby Letters of Credit</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287,988</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94,559</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30"/>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23"/>
        </w:trPr>
        <w:tc>
          <w:tcPr>
            <w:tcW w:w="20" w:type="dxa"/>
            <w:vAlign w:val="bottom"/>
          </w:tcPr>
          <w:p>
            <w:pPr>
              <w:spacing w:after="0"/>
              <w:rPr>
                <w:sz w:val="19"/>
                <w:szCs w:val="19"/>
                <w:color w:val="auto"/>
              </w:rPr>
            </w:pP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503,265</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$0.8 million as of March 31, 2026 and $0.7 million as of December 31, 2025, which is recorded in “Interest payable and other liabilities” in the unaudited consolidated balance sheets.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86.69% of the Company’s loan portfolio at March 31, 2026 and 86.07% of the Company’s loan portfolio at December 31, 2025.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March 31, 2026, the Company had 137 deposit relationships that exceeded $5.0 million each, totaling $2.7 billion, or approximately 60.67% of total deposits. The Company’s largest single deposit relationship at March 31, 2026 totaled $290.0 million, or approximately 6.49%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$41.6 million and $27.4 million at March 31, 2026 and December 31,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and has committed to and is invested in a limited number of venture-backed capital funds. As of March 31, 2026 and December 31, 2025, the balance of these investments totaled approximately $13.1 million and $12.1 million, respectively. As of March 31, 2026 and December 31, 2025, the estimated remaining commitment for these funds totaled $11.8 million and $13.7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16, 2026, the board of directors of the Company declared a cash dividend of $0.25 per common share, which the Company expects to pay on May 11, 2026 to shareholders of record as of May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discussion and analysis relate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2025 Annual Report on Form 10-K, which was filed with the SEC on February 27, 2026.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recession, inflation, deflation, tariffs,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U.S. federal government shutdown and uncertainty regarding the U.S. federal government’s debt limit and credit rating;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California, and specifically Northern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2025 Annual Report on Form 10-K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2026, we had total assets of $5.0 billion, total loans held for investment of $4.2 billion, and total deposits of $4.5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2025 Annual Report on Form 10-K and the notes thereto.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2025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allowance for credit losses described below, there have been no significant changes concerning our critical accounting estimates as described in our 2025 Annual Report on Form 10-K.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the estimated expected credit losses in our loan and investment portfolios and is estimated as of March 31, 2026 using Current Expected Credit Loss (“CECL”). The allowance for credit losses is established through a provision for credit losses charged to operations. Loans and investments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amount of the allowance for credit losses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Federal Financial Institutions Examination Council (“FFIEC”) to provide statistically meaningful support in the models developed. Reserves for credit losses identified on a pooled basis are then adjusted for qualitative factors to reflect current conditions. The most significant components of the qualitative factors used to estimate the allowance for credit losses are adjustments relating to prevailing economic conditions, concentrations within the loan portfolio, and external factors. These qualitative factors are subject to significant judgment and carry a higher degree of uncertainty. The prevailing economic conditions factor is estimated based on a range of potential economic conditions and is applied at both the portfolio and individual concentration level based on various factors. The factor concerning concentrations within the loan portfolio is estimated based on concentrations at the loan pool level. The external factor is estimated based on current external factors, such as environmental factors, which could impact the loan portfolio.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2026 totaled $18.6 million, as compared to net income of $13.1 million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$268.3 million, or 6.39%, from $4.2 billion at December 31, 2025 to $4.5 billion at March 31, 2026. Non-wholesale deposits increased by $350.2 million in the first three months of 2026 to $4.1 billion at March 31, 2026. Wholesale deposits, which the Company defines as brokered deposits and California Time Deposit Program deposits, decreased by $81.9 million in the first three months of 2026 to $383.1 million. Non-interest-bearing deposits increased by $148.2 million in the first three months of 2026 to $1.2 billion, and represented 27.58% of total deposits at March 31, 2026, as compared to 25.82% of total deposits at December 31, 2025. Our loan to deposit ratio was 94.27% at March 31, 2026, as compared to 97.00% at December 31, 2025.</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$5.0 billion at March 31, 2026, representing a $276.9 million, or 5.82%, increase compared to $4.8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$4.2 billion at March 31, 2026, as compared to $4.1 billion at December 31, 2025,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$138.5 million, or 3.40%. The increase was a result of $389.0 million in loan originations and advances, partially offset by $67.9 million and $182.6 million in loan payoffs and paydowns, respectively.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$2.8 million, or 0.07%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as compared to $3.1 million, or 0.08% of total loans held for investment at December 31, 2025. The ratio of the allowance for credit losses to total loans held for investment was 1.10% at March 31, 2026 and 1.09% at December 31, 2025.</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3.70% for the three months ended March 31, 2026, and 3.45%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increase in net interest margin for the three months ended March 31, 2026 compared to the three months ended March 31, 2025 is primarily due to an increase in interest income related to loan growth and an improvement in the average yield on loans, partially offset by an increase in interest expense driven by deposit growth.</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38.57% for the three months ended March 31, 2026, down from 42.58%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mainly due to a $9.5 million, or 27.90%, increase in net interest income during the same period.</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capital ratios were above well-capitalized regulatory thresholds as of March 31, 2026. The total risk-based capital ratio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was 13.17% at March 31, 2026, as compared to 13.33% at December 31, 2025. The Tier 1 leverage ratio was 9.56% at March 31, 2026, as compared to 9.70% at December 31, 2025.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$0.25 per share on January 15,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 Highlights of Financial Results</w:t>
            </w:r>
          </w:p>
        </w:tc>
        <w:tc>
          <w:tcPr>
            <w:tcW w:w="244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gridSpan w:val="4"/>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5,031,751</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4,754,861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4,213,393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4,074,929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4,469,353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4,201,084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445,832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 Highlights of Financial Results (continued)</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26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43,457</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expense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760" w:type="dxa"/>
            <w:vAlign w:val="bottom"/>
            <w:gridSpan w:val="2"/>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26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21.45</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2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21.45</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Return on Average Assets, annualized (“ROAA”)</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Average Equity, annualized (“ROAE”)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Total cost of funds</w:t>
            </w:r>
            <w:r>
              <w:rPr>
                <w:rFonts w:ascii="Times New Roman" w:cs="Times New Roman" w:eastAsia="Times New Roman" w:hAnsi="Times New Roman"/>
                <w:sz w:val="23"/>
                <w:szCs w:val="23"/>
                <w:color w:val="auto"/>
                <w:vertAlign w:val="superscript"/>
              </w:rPr>
              <w:t>3</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38.57 %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4</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32.26 %</w:t>
            </w: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jc w:val="both"/>
        <w:ind w:left="340" w:hanging="332"/>
        <w:spacing w:after="0" w:line="243" w:lineRule="auto"/>
        <w:tabs>
          <w:tab w:leader="none" w:pos="331"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96" w:lineRule="exact"/>
        <w:rPr>
          <w:sz w:val="20"/>
          <w:szCs w:val="20"/>
          <w:color w:val="auto"/>
        </w:rPr>
      </w:pPr>
    </w:p>
    <w:p>
      <w:pPr>
        <w:jc w:val="both"/>
        <w:ind w:left="340" w:hanging="332"/>
        <w:spacing w:after="0" w:line="241" w:lineRule="auto"/>
        <w:tabs>
          <w:tab w:leader="none" w:pos="33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ectPr>
          <w:pgSz w:w="11900" w:h="16838" w:orient="portrait"/>
          <w:cols w:equalWidth="0" w:num="1">
            <w:col w:w="11240"/>
          </w:cols>
          <w:pgMar w:left="320" w:top="1147"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cost of funds reflects the average cost of all funding sources, including both interest-bearing and non-interest-bearing deposits and borrowings.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0" w:space="260"/>
            <w:col w:w="10920"/>
          </w:cols>
          <w:pgMar w:left="320" w:top="114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months ended March 31, 2026 to the three months ended March 31, 2025. The results of operations for the three months ended March 31, 2026 are not necessarily indicative of the results of operations that may be expected for the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by $9.5 million, or 27.90%, for the three months ended March 31, 2026 compared to the three months ended March 31, 2025, and our net interest margin increased by 25 basis points during the same period. The increase in net interest income is primarily attributable to an increase in interest income driven by loan growth and an improvement in the average yield on loans, partially offset by an increase in interest expense driven by deposit growth. Additional detail relating to net interest margin in each period is provided below.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3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3: Average Balances, Interest, and Yield/Rate</w:t>
            </w:r>
          </w:p>
        </w:tc>
        <w:tc>
          <w:tcPr>
            <w:tcW w:w="3560" w:type="dxa"/>
            <w:vAlign w:val="bottom"/>
            <w:gridSpan w:val="6"/>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6"/>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80" w:type="dxa"/>
            <w:vAlign w:val="bottom"/>
          </w:tcPr>
          <w:p>
            <w:pPr>
              <w:spacing w:after="0"/>
              <w:rPr>
                <w:sz w:val="14"/>
                <w:szCs w:val="14"/>
                <w:color w:val="auto"/>
              </w:rPr>
            </w:pPr>
          </w:p>
        </w:tc>
        <w:tc>
          <w:tcPr>
            <w:tcW w:w="10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4"/>
                <w:szCs w:val="14"/>
                <w:color w:val="auto"/>
              </w:rPr>
            </w:pPr>
          </w:p>
        </w:tc>
        <w:tc>
          <w:tcPr>
            <w:tcW w:w="118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4"/>
                <w:szCs w:val="14"/>
                <w:color w:val="auto"/>
              </w:rPr>
            </w:pPr>
          </w:p>
        </w:tc>
        <w:tc>
          <w:tcPr>
            <w:tcW w:w="11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512,308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4,150,446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3,567,992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4,759,541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2.78 %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43,457</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33,977</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monthly on a 30/360 day basis.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6"/>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6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6"/>
          </w:tcPr>
          <w:p>
            <w:pPr>
              <w:jc w:val="center"/>
              <w:ind w:left="9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March 31, 2026 compared to</w:t>
            </w:r>
          </w:p>
        </w:tc>
        <w:tc>
          <w:tcPr>
            <w:tcW w:w="1360" w:type="dxa"/>
            <w:vAlign w:val="bottom"/>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three months ended March 31, 2025</w:t>
            </w: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 Increase</w:t>
            </w:r>
          </w:p>
        </w:tc>
      </w:tr>
      <w:tr>
        <w:trPr>
          <w:trHeight w:val="245"/>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50"/>
        </w:trPr>
        <w:tc>
          <w:tcPr>
            <w:tcW w:w="20" w:type="dxa"/>
            <w:vAlign w:val="bottom"/>
          </w:tcPr>
          <w:p>
            <w:pPr>
              <w:spacing w:after="0"/>
              <w:rPr>
                <w:sz w:val="21"/>
                <w:szCs w:val="21"/>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57"/>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compared to the three months ended March 31, 2025, net interest income during the three months ended March 31, 2026 increased by $9.5 million, or 27.90%, to $43.5 million from $34.0 million. Net interest margin totaled 3.70% for the three months ended March 31, 2026, an increase of 25 basis points compared to the same quarter of the prior year. The increase in net interest income is primarily attributable to an additional $10.3 million in interest income, mainly due to a $582.5 million, or 16.32%, increase in the average balance of loans and a five basis point improvement in the average yield on loans during the three months ended March 31, 2026, as compared to the same quarter of the prior year. The increase in interest income was partially offset by a $0.8 million increase in interest expense due to a $734.4 million, or 20.48%, increase in the average balance of deposits during the three months ended March 31, 2026. The average cost of deposits during the three months ended March 31, 2026 was 2.13%, a decrease of 35 basis points compared to the same quarter of the prior year, which helped to moderate the increase in interest expense related to deposits. In addition, the average balance of non-interest-bearing deposits increased by $211.1 million, or 23.17%, compared to the same period of the prior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expected life of loan losses in our loan portfolio at the balance sheet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$2.7 million provision for credit losses in the first quarter of 2026, compared to a $1.9 million provision for credit losses for the same period of 2025. The increase in the provision for credit losses in the first quarter of 2026 is mainly due to increases in loan growth and an overall increase in loss rates in the three months ended March 31, 2026 compared to the three months ended March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details the components of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5: Non-interest Income</w:t>
            </w:r>
          </w:p>
        </w:tc>
        <w:tc>
          <w:tcPr>
            <w:tcW w:w="140" w:type="dxa"/>
            <w:vAlign w:val="bottom"/>
          </w:tcPr>
          <w:p>
            <w:pPr>
              <w:spacing w:after="0"/>
              <w:rPr>
                <w:sz w:val="17"/>
                <w:szCs w:val="17"/>
                <w:color w:val="auto"/>
              </w:rPr>
            </w:pPr>
          </w:p>
        </w:tc>
        <w:tc>
          <w:tcPr>
            <w:tcW w:w="31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to an overall decline in the volume of SBA loans sold due to a strategic, intentional reduction in originations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held for sale. During the three months ended March 31, 2026, no SBA loans were sold, as compared to approximately $1.7 million of SBA loans sold with an effective yield of 7.24% during the three months ended March 31, 2025.</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increase resulted primarily from an increase of $0.8 million in fees from swap referrals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the three months ended March 31, 2025.</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FHLB stock dividends</w:t>
      </w:r>
      <w:r>
        <w:rPr>
          <w:rFonts w:ascii="Times New Roman" w:cs="Times New Roman" w:eastAsia="Times New Roman" w:hAnsi="Times New Roman"/>
          <w:sz w:val="18"/>
          <w:szCs w:val="18"/>
          <w:color w:val="auto"/>
        </w:rPr>
        <w:t>. The increase related primarily to a $0.4 million special cash dividend from the FHLB during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that did not occur during the three months ended March 31, 2025.</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related primarily to an overall loss in earnings related to investments in venture-backed funds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the three months ended March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continue to improve going forward due, in part, to our past investment in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6 details the components of non-interest expense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6: Non-interest Expense</w:t>
            </w:r>
          </w:p>
        </w:tc>
        <w:tc>
          <w:tcPr>
            <w:tcW w:w="140" w:type="dxa"/>
            <w:vAlign w:val="bottom"/>
          </w:tcPr>
          <w:p>
            <w:pPr>
              <w:spacing w:after="0"/>
              <w:rPr>
                <w:sz w:val="17"/>
                <w:szCs w:val="17"/>
                <w:color w:val="auto"/>
              </w:rPr>
            </w:pPr>
          </w:p>
        </w:tc>
        <w:tc>
          <w:tcPr>
            <w:tcW w:w="31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related primarily to: (i) a $2.3 million increase in salaries, benefits, and bonus expense, mainly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17.48% increase in headcount between March 31, 2025 and March 31, 2026; and (ii) a $0.5 million increase in commissions paid. This increase was partially offset by a $0.6 million increase in deferred loan origination costs due to higher loan production period-over-period.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was primarily due to expenses for the Walnut Creek branch office and Newport Beach non-depository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2026, which did not exist for the three months ended March 31, 2025.</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related primarily to additional expenses incurred to support the expansion of the Bank’s 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including $0.1 million related to business development expenses and $0.1 million related to donation, sponsorship, and advertising expenses.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decrease related primarily to the release of a $1.0 million loss contingency on an SBA loan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No such release occurred during the three months ended March 31, 2025. This was partially offset by individually immaterial increases in expenses related to operations, including administration, courier service, and travel.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$6.4 million for the three months ended March 31, 2026, a $1.1 million increase from the three months ended March 31, 2025. This increase was primarily driven by an increase in taxable income, partially offset by a $0.2 million benefit recorded during the three months ended March 31, 2026 related to the purchase of transferable tax credits that did not occur during the three months ended March 31, 2025. The effective tax rates were 25.61% and 28.71% for the three months ended March 31, 2026 and March 31, 2025,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March 31, 2026 to our financial condition as of December 31, 2025. Table 7 summarizes selected components of our unaudited consolidated balance sheets as of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7: Selected Components of Consolidated Balance Sheets (Unaudited)</w:t>
            </w:r>
          </w:p>
        </w:tc>
        <w:tc>
          <w:tcPr>
            <w:tcW w:w="16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4,754,861</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96,889</w:t>
            </w:r>
          </w:p>
        </w:tc>
      </w:tr>
      <w:tr>
        <w:trPr>
          <w:trHeight w:val="230"/>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4,074,929</w:t>
            </w: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4,201,084</w:t>
            </w:r>
          </w:p>
        </w:tc>
      </w:tr>
      <w:tr>
        <w:trPr>
          <w:trHeight w:val="22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74,041</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total assets were $5.0 billion, an increase of $276.9 million from $4.8 billion at December 31, 2025. The increase was primarily comprised of a $138.5 million increase in total loans held for investment and a $137.5 million increase in cash and cash equivalents. The $138.5 million increase in total loans held for investment between December 31, 2025 and March 31, 2026 was a result of $389.0 million in loan originations and advances, partially offset by $67.9 million and $182.6 million in loan payoffs and paydowns,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and cash equivalents were $644.4 million at March 31, 2026, an increase of $137.5 million from $506.9 million at December 31, 2025. The increase in cash and cash equivalents was primarily due to the net increase in cash inflows from growth in total deposits of $268.3 million and cash outflows from growth in total loans held for investment of $138.5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$93.9 million at March 31, 2026 and $96.9 million at December 31, 2025, representing a decrease of $3.0 million during the same period. The decrease to available-for-sale securities was primarily due to maturities, prepayments, and calls of $1.7 million, and an unrealized loss on securities of $1.2 million, with the remainder of the change due to amortization of premiums. For the three months ended March 31, 2026, other comprehensive loss was $1.0 million, primarily due to market conditions on securities during that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8 presents the carrying value of our investment portfolio as of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 Carrying Value of Investment Securities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top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vMerge w:val="continue"/>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Table 9 presents the carrying value of our securities by their stated maturities, as well as the weighted average yields for each maturity range, as of the dates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8"/>
              </w:rPr>
              <w:t>Table 9: Stated Maturities and Weighted Average Yields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8"/>
                <w:szCs w:val="18"/>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8"/>
                <w:szCs w:val="18"/>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40" w:type="dxa"/>
            <w:vAlign w:val="bottom"/>
          </w:tcPr>
          <w:p>
            <w:pPr>
              <w:spacing w:after="0"/>
              <w:rPr>
                <w:sz w:val="18"/>
                <w:szCs w:val="18"/>
                <w:color w:val="auto"/>
              </w:rPr>
            </w:pPr>
          </w:p>
        </w:tc>
        <w:tc>
          <w:tcPr>
            <w:tcW w:w="166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460"/>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gridSpan w:val="2"/>
          </w:tcPr>
          <w:p>
            <w:pPr>
              <w:ind w:left="340"/>
              <w:spacing w:after="0" w:line="156"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 Yields on tax-exempt securities are not presented on a tax-equivalent basis.</w:t>
      </w:r>
    </w:p>
    <w:p>
      <w:pPr>
        <w:sectPr>
          <w:pgSz w:w="11900" w:h="16838" w:orient="portrait"/>
          <w:cols w:equalWidth="0" w:num="1">
            <w:col w:w="11240"/>
          </w:cols>
          <w:pgMar w:left="320" w:top="1147"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March 31, 2026 and December 31, 2025, our total loans amounted to $4.2 billion and $4.1 billion, respectively. Table 10 presents the balance and associated percentage of each major product type within our portfolio as of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10: Loans Outstanding</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3,421,902</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81.17 %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275,891</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275,475</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4,215,695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4,215,695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CCEEFF"/>
            </w:tcBorders>
            <w:vMerge w:val="continue"/>
          </w:tcPr>
          <w:p>
            <w:pPr>
              <w:spacing w:after="0"/>
              <w:rPr>
                <w:sz w:val="17"/>
                <w:szCs w:val="17"/>
                <w:color w:val="auto"/>
              </w:rPr>
            </w:pPr>
          </w:p>
        </w:tc>
        <w:tc>
          <w:tcPr>
            <w:tcW w:w="4840" w:type="dxa"/>
            <w:vAlign w:val="bottom"/>
            <w:tcBorders>
              <w:bottom w:val="single" w:sz="8" w:color="CCEEFF"/>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4,213,393</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4,074,929</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Farmland loans consist of loans used to purchase, refinance, or improve farmland secured by farming properties themselves. The farmland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Consumer and other loans consist primarily of loans purchased in a loan purchase program with a non-bank lender, generally made to professionals for the purpose of large personal or household purchases. The loans are unsecured, fixed rate loans. Consumer and other loans also include loans purchased or originated through financing partnerships which are no longer active.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Table 11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11, may be obtained for loans that are downgraded to watch or substandard. Loans over $2.0 million are reviewed annually, at which time an internal assessment of collateral values is completed.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11: Commercial Real Estate Loans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20" w:type="dxa"/>
            <w:vAlign w:val="bottom"/>
            <w:vMerge w:val="restart"/>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1,038,707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1,841,287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436,123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789,487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341,234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720,518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550,118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528,521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991,595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113.23 %</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3,421,902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6,966,549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412,955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742,097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286,064</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618,588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247,368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193,362</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513,107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190,252</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404,727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74.95 %</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457,023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966,325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134.52 %</w:t>
            </w: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6,679,098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83.80% of loans held for investment at March 31, 2026. Commercial secured lending represents 5.77% of loans held for investment at March 31, 2026.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599.40% and 594.17% as of March 31, 2026 and December 31, 2025, respectively. We have established internal concentration limits in the loan portfolio for commercial real estate loans by sector (e.g., manufactured home communities, self-storage, hospitality, etc.). All loan sectors were within our established limits as of March 31, 2026. Additionally, our loans are geographically concentrated with borrowers and collateralized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sets forth the contractual maturities and sensitivity to interest rate changes of our loan portfolio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12: Contractual Maturities and Sensitivity to Interest Rate Changes - Gross Loans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Due in 1 year or</w:t>
            </w:r>
          </w:p>
        </w:tc>
        <w:tc>
          <w:tcPr>
            <w:tcW w:w="138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Due after 1 year</w:t>
            </w: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Due after 15</w:t>
            </w: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through 15 years</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Loans with fixed interest rates: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71,812</w:t>
            </w:r>
          </w:p>
        </w:tc>
        <w:tc>
          <w:tcPr>
            <w:tcW w:w="10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256,898</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679,277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loans with fixed interest rates</w:t>
            </w: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77,348</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326,569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648,270</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1,056,158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Loans with floating or adjustable interest rates: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2,329,873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2,742,625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8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Total loans with floating or adjustable interest</w:t>
            </w: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4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rates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454,754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2,500,406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3,159,537</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2,676,877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781,323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3,148,676</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type w:val="continuous"/>
        </w:sectPr>
      </w:pPr>
    </w:p>
    <w:bookmarkStart w:id="51" w:name="page52"/>
    <w:bookmarkEnd w:id="51"/>
    <w:tbl>
      <w:tblPr>
        <w:tblLayout w:type="fixed"/>
        <w:tblInd w:w="20" w:type="dxa"/>
        <w:tblCellMar>
          <w:top w:w="0" w:type="dxa"/>
          <w:left w:w="0" w:type="dxa"/>
          <w:bottom w:w="0" w:type="dxa"/>
          <w:right w:w="0" w:type="dxa"/>
        </w:tblCellMar>
      </w:tblPr>
      <w:tr>
        <w:trPr>
          <w:trHeight w:val="207"/>
        </w:trPr>
        <w:tc>
          <w:tcPr>
            <w:tcW w:w="7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12: Contractual Maturities and Sensitivity to Interest Rate Changes - Gross Loans (continued)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Due in 1 year or</w:t>
            </w:r>
          </w:p>
        </w:tc>
        <w:tc>
          <w:tcPr>
            <w:tcW w:w="138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Due after 1 year</w:t>
            </w: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1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Due after 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through 15 years</w:t>
            </w:r>
          </w:p>
        </w:tc>
        <w:tc>
          <w:tcPr>
            <w:tcW w:w="1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Loans with fixed interest rates: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31,238</w:t>
            </w: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275,099</w:t>
            </w:r>
          </w:p>
        </w:tc>
        <w:tc>
          <w:tcPr>
            <w:tcW w:w="10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257,472</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loans with fixed interest rates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341,037</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669,450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13232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676,426</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7,490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4,612</w:t>
      </w:r>
    </w:p>
    <w:p>
      <w:pPr>
        <w:spacing w:after="0" w:line="30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55,766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29,256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275,323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17145</wp:posOffset>
            </wp:positionV>
            <wp:extent cx="865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3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1,049,049</w:t>
      </w:r>
    </w:p>
    <w:p>
      <w:pPr>
        <w:spacing w:after="0" w:line="254" w:lineRule="exact"/>
        <w:rPr>
          <w:sz w:val="20"/>
          <w:szCs w:val="20"/>
          <w:color w:val="auto"/>
        </w:rPr>
      </w:pPr>
    </w:p>
    <w:p>
      <w:pPr>
        <w:sectPr>
          <w:pgSz w:w="11900" w:h="16838" w:orient="portrait"/>
          <w:cols w:equalWidth="0" w:num="2">
            <w:col w:w="9980" w:space="380"/>
            <w:col w:w="880"/>
          </w:cols>
          <w:pgMar w:left="320" w:top="117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Loans with floating or adjustable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Real estate: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2,257,847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2,629,287</w:t>
            </w:r>
          </w:p>
        </w:tc>
      </w:tr>
      <w:tr>
        <w:trPr>
          <w:trHeight w:val="257"/>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56"/>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 construction</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57"/>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56"/>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Residential</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w:t>
            </w:r>
          </w:p>
        </w:tc>
      </w:tr>
      <w:tr>
        <w:trPr>
          <w:trHeight w:val="257"/>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Farmland</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54,994</w:t>
            </w:r>
          </w:p>
        </w:tc>
      </w:tr>
      <w:tr>
        <w:trPr>
          <w:trHeight w:val="25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Secured</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59,623</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195,970</w:t>
            </w:r>
          </w:p>
        </w:tc>
      </w:tr>
      <w:tr>
        <w:trPr>
          <w:trHeight w:val="256"/>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Unsecured</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57"/>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and other</w:t>
            </w:r>
          </w:p>
        </w:tc>
        <w:tc>
          <w:tcPr>
            <w:tcW w:w="4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191"/>
        </w:trPr>
        <w:tc>
          <w:tcPr>
            <w:tcW w:w="420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Total loans with floating or adjustable interest</w:t>
            </w:r>
          </w:p>
        </w:tc>
        <w:tc>
          <w:tcPr>
            <w:tcW w:w="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41"/>
        </w:trPr>
        <w:tc>
          <w:tcPr>
            <w:tcW w:w="4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rates</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419,759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2,411,500</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3,027,970</w:t>
            </w:r>
          </w:p>
        </w:tc>
      </w:tr>
      <w:tr>
        <w:trPr>
          <w:trHeight w:val="257"/>
        </w:trPr>
        <w:tc>
          <w:tcPr>
            <w:tcW w:w="4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6"/>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2,624,365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3,305,713</w:t>
            </w:r>
          </w:p>
        </w:tc>
      </w:tr>
      <w:tr>
        <w:trPr>
          <w:trHeight w:val="257"/>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56"/>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 construction</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57"/>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57"/>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Residential</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37,566</w:t>
            </w:r>
          </w:p>
        </w:tc>
      </w:tr>
      <w:tr>
        <w:trPr>
          <w:trHeight w:val="256"/>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Farmland</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r>
      <w:tr>
        <w:trPr>
          <w:trHeight w:val="25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4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Secured</w:t>
            </w: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251,736</w:t>
            </w:r>
          </w:p>
        </w:tc>
      </w:tr>
      <w:tr>
        <w:trPr>
          <w:trHeight w:val="257"/>
        </w:trPr>
        <w:tc>
          <w:tcPr>
            <w:tcW w:w="4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Unsecured</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40,422</w:t>
            </w:r>
          </w:p>
        </w:tc>
      </w:tr>
      <w:tr>
        <w:trPr>
          <w:trHeight w:val="256"/>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and other</w:t>
            </w: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257,472</w:t>
            </w: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275,475</w:t>
            </w:r>
          </w:p>
        </w:tc>
      </w:tr>
      <w:tr>
        <w:trPr>
          <w:trHeight w:val="250"/>
        </w:trPr>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loans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139,868</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760,796</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3,080,950</w:t>
            </w: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4,077,019</w:t>
            </w: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5"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did not sell any SBA 7(a) loans.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provides details of our nonperforming and restructured assets and certain other related information as of the dates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13: Nonperforming and Restructured Assets</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w:t>
            </w:r>
          </w:p>
        </w:tc>
      </w:tr>
      <w:tr>
        <w:trPr>
          <w:trHeight w:val="250"/>
        </w:trPr>
        <w:tc>
          <w:tcPr>
            <w:tcW w:w="20" w:type="dxa"/>
            <w:vAlign w:val="bottom"/>
          </w:tcPr>
          <w:p>
            <w:pPr>
              <w:spacing w:after="0"/>
              <w:rPr>
                <w:sz w:val="21"/>
                <w:szCs w:val="21"/>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2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50"/>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2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8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w:t>
            </w:r>
          </w:p>
        </w:tc>
        <w:tc>
          <w:tcPr>
            <w:tcW w:w="280" w:type="dxa"/>
            <w:vAlign w:val="bottom"/>
          </w:tcPr>
          <w:p>
            <w:pPr>
              <w:spacing w:after="0"/>
              <w:rPr>
                <w:sz w:val="21"/>
                <w:szCs w:val="21"/>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loan modifications (“LMs”) (not included above)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57"/>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2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1,649.11 %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1,434.40 %</w:t>
            </w:r>
          </w:p>
        </w:tc>
      </w:tr>
      <w:tr>
        <w:trPr>
          <w:trHeight w:val="257"/>
        </w:trPr>
        <w:tc>
          <w:tcPr>
            <w:tcW w:w="20" w:type="dxa"/>
            <w:vAlign w:val="bottom"/>
          </w:tcPr>
          <w:p>
            <w:pPr>
              <w:spacing w:after="0"/>
              <w:rPr>
                <w:sz w:val="22"/>
                <w:szCs w:val="2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56"/>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8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43"/>
        </w:trPr>
        <w:tc>
          <w:tcPr>
            <w:tcW w:w="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0.07% at March 31, 2026, as compared to 0.08% at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ratio of the allowance for credit losses to period end nonperforming loans increased from 1,434.40% as of December 31, 2025 to 1,649.11% as of March 31, 2026. This increase was due to a $2.0 million, or 4.57%, increase in the allowance for credit losses, while nonperforming loans decreased by $0.3 million, or 9.04%, due to the payoff of one nonperforming loan and the sale of another.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are internal bank designations and are not considered adversely classified. However, loans designated as “substandard” or “doubtful” are considered adversely classified. Table 14 shows loans by credit quality risk rating as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14: Gross Loans Held for Investment by Credit Quality Risk Rating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3,421,902</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108,179</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43,195</w:t>
            </w: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61,090</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243,140</w:t>
            </w: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41,971</w:t>
            </w:r>
          </w:p>
        </w:tc>
      </w:tr>
      <w:tr>
        <w:trPr>
          <w:trHeight w:val="256"/>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275,886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275,891</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4,048,868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3,208,223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r>
      <w:tr>
        <w:trPr>
          <w:trHeight w:val="250"/>
        </w:trPr>
        <w:tc>
          <w:tcPr>
            <w:tcW w:w="20" w:type="dxa"/>
            <w:vAlign w:val="bottom"/>
          </w:tcPr>
          <w:p>
            <w:pPr>
              <w:spacing w:after="0"/>
              <w:rPr>
                <w:sz w:val="21"/>
                <w:szCs w:val="21"/>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w:t>
            </w:r>
          </w:p>
        </w:tc>
      </w:tr>
      <w:tr>
        <w:trPr>
          <w:trHeight w:val="263"/>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251,736</w:t>
            </w:r>
          </w:p>
        </w:tc>
      </w:tr>
      <w:tr>
        <w:trPr>
          <w:trHeight w:val="256"/>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r>
      <w:tr>
        <w:trPr>
          <w:trHeight w:val="257"/>
        </w:trPr>
        <w:tc>
          <w:tcPr>
            <w:tcW w:w="2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275,469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275,475</w:t>
            </w: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3,952,793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and substandard increased to $166.8 million at March 31, 2026 from $124.2 million at December 31, 2025. There were no loans with doubtful risk grades at March 31, 2026 or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Historical loss rates within the commercial secured pool are also evaluated by management on a regular basis to estimate the allowance for credit losses. This evaluation is inherently subjective, as it requires estimates that are susceptible to significant revision as more information becomes available.</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March 31, 2026, the Company’s allowance for credit losses was $46.4 million, as compared to $44.4 million at December 31, 2025. The $2.0 million increase in the allowance is due to a $2.6 million provision for credit losses recorded during the three months ended March 31, 2026, partially offset by net charge-offs of $0.6 million, primarily attributable to commercial and industrial loans, during the same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Table 15 represents management’s allocation of our allowance for credit losses by loan category, the allocation of our allowance for credit losses as a percent of the total allowance for credit losses, and the balance of loans in each category as a percentage of total loans,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15: Allocation of the Allowance for Credit Losses</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11"/>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 of Allowance for</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Loans to Total</w:t>
            </w:r>
          </w:p>
        </w:tc>
      </w:tr>
      <w:tr>
        <w:trPr>
          <w:trHeight w:val="252"/>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21"/>
                <w:szCs w:val="21"/>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9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50"/>
        </w:trPr>
        <w:tc>
          <w:tcPr>
            <w:tcW w:w="20" w:type="dxa"/>
            <w:vAlign w:val="bottom"/>
            <w:tcBorders>
              <w:top w:val="single" w:sz="8" w:color="auto"/>
            </w:tcBorders>
            <w:shd w:val="clear" w:color="auto" w:fill="CCEEFF"/>
          </w:tcPr>
          <w:p>
            <w:pPr>
              <w:spacing w:after="0"/>
              <w:rPr>
                <w:sz w:val="21"/>
                <w:szCs w:val="21"/>
                <w:color w:val="auto"/>
              </w:rPr>
            </w:pPr>
          </w:p>
        </w:tc>
        <w:tc>
          <w:tcPr>
            <w:tcW w:w="5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top w:val="single" w:sz="8" w:color="auto"/>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81.17 %</w:t>
            </w:r>
          </w:p>
        </w:tc>
      </w:tr>
      <w:tr>
        <w:trPr>
          <w:trHeight w:val="256"/>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57"/>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57"/>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56"/>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20" w:type="dxa"/>
            <w:vAlign w:val="bottom"/>
            <w:tcBorders>
              <w:bottom w:val="single" w:sz="8" w:color="CCEEFF"/>
            </w:tcBorders>
          </w:tcPr>
          <w:p>
            <w:pPr>
              <w:spacing w:after="0"/>
              <w:rPr>
                <w:sz w:val="22"/>
                <w:szCs w:val="22"/>
                <w:color w:val="auto"/>
              </w:rPr>
            </w:pPr>
          </w:p>
        </w:tc>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81.08 %</w:t>
            </w:r>
          </w:p>
        </w:tc>
      </w:tr>
      <w:tr>
        <w:trPr>
          <w:trHeight w:val="256"/>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56"/>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56"/>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57"/>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25.23 %</w:t>
            </w:r>
          </w:p>
        </w:tc>
        <w:tc>
          <w:tcPr>
            <w:tcW w:w="10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56"/>
        </w:trPr>
        <w:tc>
          <w:tcPr>
            <w:tcW w:w="20" w:type="dxa"/>
            <w:vAlign w:val="bottom"/>
            <w:shd w:val="clear" w:color="auto" w:fill="CCEEFF"/>
          </w:tcPr>
          <w:p>
            <w:pPr>
              <w:spacing w:after="0"/>
              <w:rPr>
                <w:sz w:val="22"/>
                <w:szCs w:val="22"/>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57"/>
        </w:trPr>
        <w:tc>
          <w:tcPr>
            <w:tcW w:w="20" w:type="dxa"/>
            <w:vAlign w:val="bottom"/>
            <w:tcBorders>
              <w:bottom w:val="single" w:sz="8" w:color="CCEEFF"/>
            </w:tcBorders>
          </w:tcPr>
          <w:p>
            <w:pPr>
              <w:spacing w:after="0"/>
              <w:rPr>
                <w:sz w:val="22"/>
                <w:szCs w:val="22"/>
                <w:color w:val="auto"/>
              </w:rPr>
            </w:pPr>
          </w:p>
        </w:tc>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1.10% at March 31, 2026, an increase from 1.09% at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16: Activity Within the Allowance for Credit Losses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1"/>
                <w:szCs w:val="21"/>
                <w:color w:val="auto"/>
              </w:rPr>
            </w:pPr>
          </w:p>
        </w:tc>
        <w:tc>
          <w:tcPr>
            <w:tcW w:w="27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of 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4,150,446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3,565,830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44,409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(570)</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(717)</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46,439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39,224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4,213,393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3,621,819</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5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loans held for investment</w:t>
            </w: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ratio of the allowance for credit losses to loans held for investment increased from 1.08% as of March 31, 2025 to 1.10% as of March 31, 2026. Net charge-offs as a percent of average loans held for investment decreased from 0.02% for the three months ended March 31, 2025 to 0.01%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2026, total liabilities increased by $264.2 million from $4.3 billion as of December 31, 2025 to $4.6 billion as of March 31, 2026. This increase was primarily due to an increase in deposits of $268.3 million. The increase in deposits was largely due to increases in money market and non-interest-bearing deposits of $212.6 million and $148.2 million, respectively, partially offset by a $100.3 million decrease in time deposits, mainly attributed to an $81.9 million decline in wholesale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97.73% of our total liabilities as of March 31, 2026, deposits are our primary source of funding for our business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deposits increased by $268.3 million, or 6.39%, to $4.5 billion at March 31, 2026 from $4.2 billion at December 31, 2025. The increase in deposits was largely due to increases in money market and non-interest-bearing deposits of $212.6 million and $148.2 million, respectively, partially offset by a $100.3 million decrease in time deposits, mainly attributed to an $81.9 million decline in wholesale deposits. The Company defines wholesale deposits as brokered deposits and California Time Deposit Program deposits. Non-interest-bearing deposits increased by $148.2 million from December 31, 2025 to $1.2 billion at March 31, 2026, representing 27.58% of total deposits at that date, as compared to 25.82% of total deposits at December 31, 2025. Our loan to deposit ratio was 94.27% at March 31, 2026, as compared to 97.00% at December 31, 2025. We closely monitor the loan to deposit ratio for purposes of both operational objectives and regulatory capital compliance. We intend to continue to operate our business with close monitoring of the loan to deposit ratio.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17 summarizes our deposit composition by average deposit balances and average rates paid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17: Deposit Composition by Average Balances and Rates Paid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2,323,472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531,031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1,122,062</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910,954</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25.40 %</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4,320,228</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uninsured and uncollateralized deposits totaled approximately $1.5 billion and $1.4 billion at March 31, 2026 and December 31, 2025,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62 largest deposit relationships, each accounting for more than $10.0 million, totaled $2.2 billion, or 48.62% of our total deposits. The average age on deposit relationships of more than $5.0 million was approximately 7.98 years as of March 31, 2026. As of December 31, 2025, our 53 largest deposit relationships, each accounting for more than $10.0 million, totaled $2.0 billion, or 47.82% of our total deposits. Overall, our large deposit relationships have been relatively consistent over time and have helped to continue to grow our deposit base.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18 shows the entity types making up our large deposit relationships at the dates indicated.</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18: Composition of Large Deposit Relationships</w:t>
            </w:r>
          </w:p>
        </w:tc>
        <w:tc>
          <w:tcPr>
            <w:tcW w:w="31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Non-profits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w:t>
            </w: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760,516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93,069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0" w:type="dxa"/>
            <w:vAlign w:val="bottom"/>
          </w:tcPr>
          <w:p>
            <w:pPr>
              <w:spacing w:after="0"/>
              <w:rPr>
                <w:sz w:val="1"/>
                <w:szCs w:val="1"/>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7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2,172,776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single deposit relationship at March 31, 2026 related to a government agency. The balance for this customer was $290.0 million, or approximately 6.49% of total deposits as of that date. At December 31, 2025, our largest single deposit relationship related to a government agency and had a balance of $290.0 million, or 6.90% of total deposits as of that date. As our demand deposits fluctuate, we have purchased brokered deposits as needed to supplement liquidity. We do not consider brokered deposits as core deposits, but as another deposit funding source for our loan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19 sets forth the maturity of time deposits as of March 31,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19: Scheduled Maturities of Time Deposits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50"/>
        </w:trPr>
        <w:tc>
          <w:tcPr>
            <w:tcW w:w="20" w:type="dxa"/>
            <w:vAlign w:val="bottom"/>
            <w:shd w:val="clear" w:color="auto" w:fill="CCEEFF"/>
          </w:tcPr>
          <w:p>
            <w:pPr>
              <w:spacing w:after="0"/>
              <w:rPr>
                <w:sz w:val="21"/>
                <w:szCs w:val="21"/>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259,369</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108,642</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368,011</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253,119</w:t>
            </w:r>
          </w:p>
        </w:tc>
      </w:tr>
      <w:tr>
        <w:trPr>
          <w:trHeight w:val="257"/>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w:t>
            </w:r>
          </w:p>
        </w:tc>
      </w:tr>
      <w:tr>
        <w:trPr>
          <w:trHeight w:val="256"/>
        </w:trPr>
        <w:tc>
          <w:tcPr>
            <w:tcW w:w="2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56"/>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20" w:type="dxa"/>
            <w:vAlign w:val="bottom"/>
          </w:tcPr>
          <w:p>
            <w:pPr>
              <w:spacing w:after="0"/>
              <w:rPr>
                <w:sz w:val="21"/>
                <w:szCs w:val="21"/>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328,101</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126,242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454,343</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314,601</w:t>
            </w: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1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no borrowings outstanding as of March 31, 2026 and December 31, 2025,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20 is a summary of our outstanding subordinated notes as of March 31,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Table 20: Subordinated Notes Outstanding</w:t>
            </w:r>
          </w:p>
        </w:tc>
        <w:tc>
          <w:tcPr>
            <w:tcW w:w="16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(6.97% as of March 31, 2026) through maturity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$458.5 million at March 31, 2026 and $445.8 million at December 31, 2025. The increase in shareholders' equity was primarily a result of $18.6 million recognized as net income, partially offset by $5.3 million in cash dividends paid during the period and a $1.0 million increase in accumulated other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2026, we had a shelf registration statement on file with the SEC registering the offer and sale by us of up to $300.0 million of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March 31, 2026, management believes the above-mentioned sources will provide adequate liquidity during the next twelve months for the Bank to meet its operating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had cash outflows of $139.2 million in loan originations and advances, net of principal collected, and no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March 31, 2026, off-balance sheet commitments totaled $578.3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interest-bearing transaction, time, and non-interest-bearing demand deposits. Aside from commercial and business clients, a significant portion of our deposits are from municipalities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non-profit organizations. Cash flows from deposits are impacted by the timing and amount of customer deposits, changes in market rates, and collateral availability.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had cash inflows of $268.3 million related to an increase in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following March 31, 2026, approximately $453.6 million of time deposits are expected to mature, which includes $93.1 million of brokered deposits. After the twelve months following March 31, 2026, we expect $0.7 million of time deposits to mature through 2030.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cash and cash equivalents represented 14.42% of total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$93.9 million at March 31, 2026. Mortgage-backed securities and obligations of states and political subdivisions comprised 49.76% and 40.59%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$9.9 million from our securities over the twelve months following March 31, 2026.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had cash proceeds from sales, maturities, calls, and prepayments of securities of $1.7 million. Additionally, at March 31, 2026, securities available-for-sale totaled $91.7 million, of which $86.8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March 31, 2026, the Bank had no outstanding FHLB financing borrowings and a total financing availability of $313.2 million, net of letters of credit issued of $1.1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March 31, 2026, the Bank had no outstanding Federal Reserve Discount Window borrowings and a total financing availability of $1.0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unused and available amount for borrowing from correspondent bank lines of credit was $185.0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in Table 21) was approximately $2.2 billion as of March 31, 2026.</w:t>
      </w:r>
    </w:p>
    <w:p>
      <w:pPr>
        <w:sectPr>
          <w:pgSz w:w="11900" w:h="16838" w:orient="portrait"/>
          <w:cols w:equalWidth="0" w:num="1">
            <w:col w:w="11240"/>
          </w:cols>
          <w:pgMar w:left="320" w:top="1147"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21: Total Liquidity</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FHLB advances</w:t>
      </w:r>
    </w:p>
    <w:p>
      <w:pPr>
        <w:spacing w:after="0" w:line="36" w:lineRule="exact"/>
        <w:rPr>
          <w:sz w:val="20"/>
          <w:szCs w:val="20"/>
          <w:color w:val="auto"/>
        </w:rPr>
      </w:pPr>
    </w:p>
    <w:p>
      <w:pPr>
        <w:jc w:val="both"/>
        <w:ind w:left="20" w:right="1300"/>
        <w:spacing w:after="0" w:line="305" w:lineRule="auto"/>
        <w:rPr>
          <w:sz w:val="20"/>
          <w:szCs w:val="20"/>
          <w:color w:val="auto"/>
        </w:rPr>
      </w:pPr>
      <w:r>
        <w:rPr>
          <w:rFonts w:ascii="Times New Roman" w:cs="Times New Roman" w:eastAsia="Times New Roman" w:hAnsi="Times New Roman"/>
          <w:sz w:val="17"/>
          <w:szCs w:val="17"/>
          <w:color w:val="auto"/>
        </w:rPr>
        <w:t>Federal Reserve Discount Window Correspondent bank lines of credit Cash and cash equivalents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80" w:type="dxa"/>
            <w:vAlign w:val="bottom"/>
            <w:tcBorders>
              <w:top w:val="single" w:sz="8" w:color="auto"/>
            </w:tcBorders>
            <w:vMerge w:val="restart"/>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Letters of Credit</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top w:val="single" w:sz="8" w:color="auto"/>
            </w:tcBorders>
            <w:vMerge w:val="restart"/>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1,425,706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1,016,633</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644,359</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2,627,339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2,159,198</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3840" w:space="720"/>
            <w:col w:w="6680"/>
          </w:cols>
          <w:pgMar w:left="320" w:top="1147"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March 31, 2026 include both current and long-term obligations. Under our operating leases, we have an operating lease liability of $11.5 million. We have a current obligation of $453.6 million and a long-term obligation of $0.7 million related to time deposits, as discussed in Note 5, Interest-Bearing Deposits. We have net subordinated notes of $74.1 million, all of which are long-term obligations. We also have contractual obligations on unfunded loan commitments and standby letters of credit totaling $578.3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use of liquidity for the Company is shareholder dividends. The Company paid dividends to its shareholders totaling $5.3 million during the three months ended March 31,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2026 at a rate of $0.25 per share, our average total dividend paid each quarter would be approximately $5.3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6"/>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summarizes our consolidated cash flow activities.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22: Consolidated Cash Flow Activities</w:t>
            </w:r>
          </w:p>
        </w:tc>
        <w:tc>
          <w:tcPr>
            <w:tcW w:w="380" w:type="dxa"/>
            <w:vAlign w:val="bottom"/>
          </w:tcPr>
          <w:p>
            <w:pPr>
              <w:spacing w:after="0"/>
              <w:rPr>
                <w:sz w:val="24"/>
                <w:szCs w:val="24"/>
                <w:color w:val="auto"/>
              </w:rPr>
            </w:pPr>
          </w:p>
        </w:tc>
        <w:tc>
          <w:tcPr>
            <w:tcW w:w="34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5"/>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$3.5 million for the three months ended March 31, 2026 compared to the three months ended March 31, 2025, primarily due to higher net income and no loans originated for sale in the quarter. These sources of cash were partially offset by lower changes in interest payable and other liabilities, purchases of transferable tax credits, and no gross proceeds from sale of loans. Cash provided by operating activities is subject to variability period-over-period as a result of timing differences, including with respect to the collection of receivables and payments of interest expense, accounts payable, and bonuses.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operating results, see “Results of Operations”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$55.0 million for the three months ended March 31, 2026 compared to the three months ended March 31, 2025, primarily due to higher originations of loans held for investment, net of repayments.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$88.8 million for the three months ended March 31, 2026 compared to the three months ended March 31, 2025, primarily due to an increase in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Tables 23 and 24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March 31, 2026,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definition of “well-capitalized” under the regulatory framework for prompt corrective action, and Bancorp’s ratios exceed the minimum ratios required for it to be considered a well-capitalized bank holding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March 31, 2026 and December 31, 2025 for Bancorp and the Bank are presented in Tables 23 and 24. As of March 31, 2026 and December 31, 2025,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23: Capital Ratios for Bancorp</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9"/>
          </w:tcPr>
          <w:p>
            <w:pPr>
              <w:jc w:val="right"/>
              <w:ind w:right="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3"/>
                <w:szCs w:val="23"/>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21"/>
                <w:szCs w:val="21"/>
                <w:color w:val="auto"/>
              </w:rPr>
            </w:pPr>
          </w:p>
        </w:tc>
        <w:tc>
          <w:tcPr>
            <w:tcW w:w="13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tcBorders>
              <w:top w:val="single" w:sz="8" w:color="auto"/>
            </w:tcBorders>
            <w:shd w:val="clear" w:color="auto" w:fill="CCEEFF"/>
          </w:tcPr>
          <w:p>
            <w:pPr>
              <w:spacing w:after="0"/>
              <w:rPr>
                <w:sz w:val="21"/>
                <w:szCs w:val="21"/>
                <w:color w:val="auto"/>
              </w:rPr>
            </w:pPr>
          </w:p>
        </w:tc>
        <w:tc>
          <w:tcPr>
            <w:tcW w:w="35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588,786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13.17 %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357,730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467,478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268,297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1"/>
        </w:trPr>
        <w:tc>
          <w:tcPr>
            <w:tcW w:w="20" w:type="dxa"/>
            <w:vAlign w:val="bottom"/>
          </w:tcPr>
          <w:p>
            <w:pPr>
              <w:spacing w:after="0"/>
              <w:rPr>
                <w:sz w:val="18"/>
                <w:szCs w:val="18"/>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467,478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10.45 %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201,223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467,478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195,573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572,874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13.33 %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343,779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454,830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257,834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8"/>
        </w:trPr>
        <w:tc>
          <w:tcPr>
            <w:tcW w:w="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5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454,830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193,376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454,830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187,499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553"/>
        </w:trPr>
        <w:tc>
          <w:tcPr>
            <w:tcW w:w="2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24: Capital Ratios for the Bank</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1"/>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7"/>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w w:val="97"/>
              </w:rPr>
              <w:t>Purposes</w:t>
            </w:r>
            <w:r>
              <w:rPr>
                <w:rFonts w:ascii="Times New Roman" w:cs="Times New Roman" w:eastAsia="Times New Roman" w:hAnsi="Times New Roman"/>
                <w:sz w:val="23"/>
                <w:szCs w:val="23"/>
                <w:b w:val="1"/>
                <w:bCs w:val="1"/>
                <w:color w:val="auto"/>
                <w:w w:val="97"/>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2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gridSpan w:val="3"/>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20" w:type="dxa"/>
            <w:vAlign w:val="bottom"/>
            <w:shd w:val="clear" w:color="auto" w:fill="CCEEFF"/>
          </w:tcPr>
          <w:p>
            <w:pPr>
              <w:spacing w:after="0"/>
              <w:rPr>
                <w:sz w:val="21"/>
                <w:szCs w:val="21"/>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356,839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20" w:type="dxa"/>
            <w:vAlign w:val="bottom"/>
          </w:tcPr>
          <w:p>
            <w:pPr>
              <w:spacing w:after="0"/>
              <w:rPr>
                <w:sz w:val="18"/>
                <w:szCs w:val="18"/>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11.67 %</w:t>
            </w:r>
          </w:p>
        </w:tc>
        <w:tc>
          <w:tcPr>
            <w:tcW w:w="10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20" w:type="dxa"/>
            <w:vAlign w:val="bottom"/>
            <w:shd w:val="clear" w:color="auto" w:fill="CCEEFF"/>
          </w:tcPr>
          <w:p>
            <w:pPr>
              <w:spacing w:after="0"/>
              <w:rPr>
                <w:sz w:val="18"/>
                <w:szCs w:val="18"/>
                <w:color w:val="auto"/>
              </w:rPr>
            </w:pPr>
          </w:p>
        </w:tc>
        <w:tc>
          <w:tcPr>
            <w:tcW w:w="3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35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11.89 %</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2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6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2026, the federal banking agencies issued several proposals to revise the U.S. regulatory capital framework. The proposals would, among other things, modify aspects of the standardized approach to risk-based capital that applies to the Company, including to make the risk weights for certain residential mortgage exposures more risk-sensitive and decrease the risk weights of corporate exposures, which could affect certain aspects of the Company’s regulatory capital calculations. The Company is continuing to evaluate these proposals and their potential impact on its regulatory capital position.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interest income was $67.3 million for the three months ended March 31, 2026 and $248.9 million for the year ended December 31, 2025. Our total interest expense was $23.9 million for the three months ended March 31, 2026 and $97.0 million for the year ended December 31, 2025. Overall, our net interest income was $43.5 million for the three months ended March 31, 2026 and $151.9 million for the year ended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March 31, 2026, the Company carried a slightly higher balance of assets than liabilities that will reprice within the next twelve months in the event that interest rates fall.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overnight federal funds rate (the rate used in the interest rate shock scenarios listed below) was 3.64%, remaining constant from December 31, 2025.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25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25: Estimated Effect on Net Interest Income (“NII”) and EVE from Changing Interest Rates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40" w:type="dxa"/>
            <w:vAlign w:val="bottom"/>
            <w:tcBorders>
              <w:top w:val="single" w:sz="8" w:color="auto"/>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3"/>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80" w:type="dxa"/>
            <w:vAlign w:val="bottom"/>
          </w:tcPr>
          <w:p>
            <w:pPr>
              <w:spacing w:after="0"/>
              <w:rPr>
                <w:sz w:val="21"/>
                <w:szCs w:val="21"/>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80" w:type="dxa"/>
            <w:vAlign w:val="bottom"/>
          </w:tcPr>
          <w:p>
            <w:pPr>
              <w:spacing w:after="0"/>
              <w:rPr>
                <w:sz w:val="21"/>
                <w:szCs w:val="21"/>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as amended (the “Exchange Act”), as of March 31, 2026.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March 31, 2026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2025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3"/>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7, 2026</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7, 2026</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66</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7,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7,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2026,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7,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2026,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7,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2026-05-07T16:11:00Z</dcterms:created>
  <dcterms:modified xsi:type="dcterms:W3CDTF">2026-05-07T16:11:00Z</dcterms:modified>
</cp:coreProperties>
</file>