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 w:after="20"/>
        <w:jc w:val="left"/>
        <w:rPr>
          <w:bdr w:val="single" w:sz="6" w:space="1" w:color="000000"/>
        </w:rPr>
      </w:pPr>
      <w:bookmarkStart w:id="0" w:name="e26308_fsbc-8k.htm"/>
      <w:bookmarkStart w:id="1" w:name="kse26308_fsbc8k"/>
      <w:bookmarkEnd w:id="0"/>
      <w:bookmarkEnd w:id="1"/>
      <w:r>
        <w:rPr>
          <w:bdr w:val="single" w:sz="6" w:space="1" w:color="000000"/>
        </w:rPr>
        <w:t> </w:t>
      </w:r>
    </w:p>
    <w:p>
      <w:pPr>
        <w:pStyle w:val="TextBody"/>
        <w:bidi w:val="0"/>
        <w:spacing w:before="88" w:after="88"/>
        <w:ind w:left="88" w:right="88"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WASHINGTON, DC 20549</w:t>
      </w:r>
      <w:r>
        <w:rPr>
          <w:rFonts w:ascii="Times New Roman;Times;Serif" w:hAnsi="Times New Roman;Times;Serif"/>
          <w:b w:val="false"/>
          <w:i w:val="false"/>
          <w:caps w:val="false"/>
          <w:smallCaps w:val="false"/>
          <w:sz w:val="24"/>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260" w:after="260"/>
        <w:ind w:left="260" w:right="26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722__20"/>
      <w:bookmarkEnd w:id="2"/>
      <w:r>
        <w:rPr>
          <w:rFonts w:ascii="Times New Roman;Times;Serif" w:hAnsi="Times New Roman;Times;Serif"/>
          <w:b/>
          <w:i w:val="false"/>
          <w:caps w:val="false"/>
          <w:smallCaps w:val="false"/>
          <w:sz w:val="36"/>
        </w:rPr>
        <w:t>8-K</w:t>
      </w:r>
    </w:p>
    <w:p>
      <w:pPr>
        <w:pStyle w:val="TextBody"/>
        <w:bidi w:val="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264" w:after="264"/>
        <w:ind w:left="264" w:right="264"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Exchange Act of 1934</w:t>
      </w:r>
    </w:p>
    <w:p>
      <w:pPr>
        <w:pStyle w:val="TextBody"/>
        <w:bidi w:val="0"/>
        <w:spacing w:before="264" w:after="264"/>
        <w:ind w:left="264" w:right="264"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4"/>
        </w:rPr>
        <w:t>July 22, 2026</w:t>
      </w:r>
    </w:p>
    <w:p>
      <w:pPr>
        <w:pStyle w:val="TextBody"/>
        <w:bidi w:val="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240" w:after="240"/>
        <w:ind w:left="240" w:right="240" w:hanging="0"/>
        <w:jc w:val="center"/>
        <w:rPr>
          <w:rFonts w:ascii="Times New Roman;Times;Serif" w:hAnsi="Times New Roman;Times;Serif"/>
          <w:b/>
          <w:i w:val="false"/>
          <w:caps w:val="false"/>
          <w:smallCaps w:val="false"/>
          <w:sz w:val="44"/>
        </w:rPr>
      </w:pPr>
      <w:bookmarkStart w:id="4" w:name="xdx_903_edei--EntityRegistrantName_c2026"/>
      <w:bookmarkEnd w:id="4"/>
      <w:r>
        <w:rPr>
          <w:rFonts w:ascii="Times New Roman;Times;Serif" w:hAnsi="Times New Roman;Times;Serif"/>
          <w:b/>
          <w:i w:val="false"/>
          <w:caps w:val="false"/>
          <w:smallCaps w:val="false"/>
          <w:sz w:val="44"/>
        </w:rPr>
        <w:t>FIVE STAR BANCORP</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(Exact Name of Registrant as Specified in Charter)</w:t>
      </w:r>
      <w:r>
        <w:rPr>
          <w:rFonts w:ascii="Times New Roman;Times;Serif" w:hAnsi="Times New Roman;Times;Serif"/>
          <w:b w:val="false"/>
          <w:i w:val="false"/>
          <w:caps w:val="false"/>
          <w:smallCaps w:val="false"/>
          <w:sz w:val="20"/>
        </w:rPr>
        <w:t> </w:t>
      </w:r>
    </w:p>
    <w:p>
      <w:pPr>
        <w:pStyle w:val="TextBody"/>
        <w:bidi w:val="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center"/>
              <w:rPr/>
            </w:pPr>
            <w:bookmarkStart w:id="5" w:name="xdx_90D_edei--EntityIncorporationStateCo"/>
            <w:bookmarkEnd w:id="5"/>
            <w:r>
              <w:rPr/>
              <w:t>California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bookmarkStart w:id="6" w:name="xdx_909_edei--EntityFileNumber_c20260722"/>
            <w:bookmarkEnd w:id="6"/>
            <w:r>
              <w:rPr/>
              <w:t>001-40379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bookmarkStart w:id="7" w:name="xdx_90C_edei--EntityTaxIdentificationNum"/>
            <w:bookmarkEnd w:id="7"/>
            <w:r>
              <w:rPr/>
              <w:t>75-3100966</w:t>
            </w:r>
          </w:p>
        </w:tc>
      </w:tr>
      <w:tr>
        <w:trPr/>
        <w:tc>
          <w:tcPr>
            <w:tcW w:w="2060"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(State or Other Jurisdiction</w:t>
            </w:r>
          </w:p>
          <w:p>
            <w:pPr>
              <w:pStyle w:val="TableContents"/>
              <w:bidi w:val="0"/>
              <w:spacing w:before="0" w:after="22"/>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(Commission</w:t>
            </w:r>
          </w:p>
          <w:p>
            <w:pPr>
              <w:pStyle w:val="TableContents"/>
              <w:bidi w:val="0"/>
              <w:spacing w:before="0" w:after="22"/>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(I.R.S. Employer</w:t>
            </w:r>
          </w:p>
          <w:p>
            <w:pPr>
              <w:pStyle w:val="TableContents"/>
              <w:bidi w:val="0"/>
              <w:spacing w:before="0" w:after="22"/>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val="false"/>
          <w:i w:val="false"/>
          <w:caps w:val="false"/>
          <w:smallCaps w:val="false"/>
          <w:sz w:val="20"/>
        </w:rPr>
        <w:t xml:space="preserve">3100 Zinfandel Drive, </w:t>
      </w:r>
      <w:bookmarkStart w:id="9" w:name="xdx_904_edei--EntityAddressAddressLine2_"/>
      <w:bookmarkEnd w:id="9"/>
      <w:r>
        <w:rPr>
          <w:rFonts w:ascii="Times New Roman;Times;Serif" w:hAnsi="Times New Roman;Times;Serif"/>
          <w:b w:val="false"/>
          <w:i w:val="false"/>
          <w:caps w:val="false"/>
          <w:smallCaps w:val="false"/>
          <w:sz w:val="20"/>
        </w:rPr>
        <w:t xml:space="preserve">Suite 100, </w:t>
      </w:r>
      <w:bookmarkStart w:id="10" w:name="xdx_90B_edei--EntityAddressCityOrTown_c2"/>
      <w:bookmarkEnd w:id="10"/>
      <w:r>
        <w:rPr>
          <w:rFonts w:ascii="Times New Roman;Times;Serif" w:hAnsi="Times New Roman;Times;Serif"/>
          <w:b w:val="false"/>
          <w:i w:val="false"/>
          <w:caps w:val="false"/>
          <w:smallCaps w:val="false"/>
          <w:sz w:val="20"/>
        </w:rPr>
        <w:t xml:space="preserve">Rancho Cordova, </w:t>
      </w:r>
      <w:bookmarkStart w:id="11" w:name="xdx_907_edei--EntityAddressStateOrProvin"/>
      <w:bookmarkEnd w:id="11"/>
      <w:r>
        <w:rPr>
          <w:rFonts w:ascii="Times New Roman;Times;Serif" w:hAnsi="Times New Roman;Times;Serif"/>
          <w:b w:val="false"/>
          <w:i w:val="false"/>
          <w:caps w:val="false"/>
          <w:smallCaps w:val="false"/>
          <w:sz w:val="20"/>
        </w:rPr>
        <w:t xml:space="preserve">California, </w:t>
      </w:r>
      <w:bookmarkStart w:id="12" w:name="xdx_909_edei--EntityAddressPostalZipCode"/>
      <w:bookmarkEnd w:id="12"/>
      <w:r>
        <w:rPr>
          <w:rFonts w:ascii="Times New Roman;Times;Serif" w:hAnsi="Times New Roman;Times;Serif"/>
          <w:b w:val="false"/>
          <w:i w:val="false"/>
          <w:caps w:val="false"/>
          <w:smallCaps w:val="false"/>
          <w:sz w:val="20"/>
        </w:rPr>
        <w:t>95670</w:t>
      </w:r>
    </w:p>
    <w:p>
      <w:pPr>
        <w:pStyle w:val="TextBody"/>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(Address of Principal Executive Offices, and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13" w:name="xdx_90F_edei--CityAreaCode_c20260722__20"/>
      <w:bookmarkEnd w:id="13"/>
      <w:r>
        <w:rPr>
          <w:rFonts w:ascii="Times New Roman;Times;Serif" w:hAnsi="Times New Roman;Times;Serif"/>
          <w:b w:val="false"/>
          <w:i w:val="false"/>
          <w:caps w:val="false"/>
          <w:smallCaps w:val="false"/>
          <w:sz w:val="20"/>
        </w:rPr>
        <w:t xml:space="preserve">(916) </w:t>
      </w:r>
      <w:bookmarkStart w:id="14" w:name="xdx_900_edei--LocalPhoneNumber_c20260722"/>
      <w:bookmarkEnd w:id="14"/>
      <w:r>
        <w:rPr>
          <w:rFonts w:ascii="Times New Roman;Times;Serif" w:hAnsi="Times New Roman;Times;Serif"/>
          <w:b w:val="false"/>
          <w:i w:val="false"/>
          <w:caps w:val="false"/>
          <w:smallCaps w:val="false"/>
          <w:sz w:val="20"/>
        </w:rPr>
        <w:t>626-5000</w:t>
      </w:r>
    </w:p>
    <w:p>
      <w:pPr>
        <w:pStyle w:val="TextBody"/>
        <w:bidi w:val="0"/>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15" w:name="xdx_909_edei--EntityInformationFormerLeg"/>
      <w:bookmarkEnd w:id="15"/>
      <w:r>
        <w:rPr>
          <w:rFonts w:ascii="Times New Roman;Times;Serif" w:hAnsi="Times New Roman;Times;Serif"/>
          <w:b w:val="false"/>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16"/>
        </w:rPr>
        <w:t>(Former Name or Former Address, if Changed Since Last Report)</w:t>
      </w:r>
      <w:r>
        <w:rPr>
          <w:rFonts w:ascii="Times New Roman;Times;Serif" w:hAnsi="Times New Roman;Times;Serif"/>
          <w:b w:val="false"/>
          <w:i w:val="false"/>
          <w:caps w:val="false"/>
          <w:smallCaps w:val="false"/>
          <w:sz w:val="20"/>
        </w:rPr>
        <w:t> </w:t>
      </w:r>
    </w:p>
    <w:p>
      <w:pPr>
        <w:pStyle w:val="TextBody"/>
        <w:bidi w:val="0"/>
        <w:jc w:val="center"/>
        <w:rPr>
          <w:caps w:val="false"/>
          <w:smallCaps w:val="false"/>
        </w:rPr>
      </w:pPr>
      <w:r>
        <w:rPr>
          <w:caps w:val="false"/>
          <w:smallCaps w:val="false"/>
        </w:rPr>
        <w:t> </w:t>
      </w:r>
    </w:p>
    <w:p>
      <w:pPr>
        <w:pStyle w:val="TextBody"/>
        <w:bidi w:val="0"/>
        <w:spacing w:before="20" w:after="20"/>
        <w:jc w:val="left"/>
        <w:rPr>
          <w:bdr w:val="single" w:sz="6" w:space="1" w:color="000000"/>
        </w:rPr>
      </w:pPr>
      <w:r>
        <w:rPr>
          <w:bdr w:val="single" w:sz="6" w:space="1" w:color="000000"/>
        </w:rPr>
        <w:t> </w:t>
      </w:r>
    </w:p>
    <w:p>
      <w:pPr>
        <w:pStyle w:val="TextBody"/>
        <w:bidi w:val="0"/>
        <w:spacing w:before="264" w:after="264"/>
        <w:ind w:left="264" w:right="26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75"/>
        <w:gridCol w:w="230"/>
        <w:gridCol w:w="84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7_edei--WrittenCommunications_c202"/>
            <w:bookmarkEnd w:id="16"/>
            <w:r>
              <w:rPr/>
              <w:t>☐</w:t>
            </w:r>
          </w:p>
        </w:tc>
        <w:tc>
          <w:tcPr>
            <w:tcW w:w="8435" w:type="dxa"/>
            <w:tcBorders/>
            <w:vAlign w:val="center"/>
          </w:tcPr>
          <w:p>
            <w:pPr>
              <w:pStyle w:val="TableContents"/>
              <w:bidi w:val="0"/>
              <w:spacing w:before="0" w:after="283"/>
              <w:jc w:val="left"/>
              <w:rPr/>
            </w:pPr>
            <w:r>
              <w:rPr/>
              <w:t>Written communication pursuant to Rule 425 under the Securities Act (17 CFR 230.425)</w:t>
            </w:r>
          </w:p>
        </w:tc>
      </w:tr>
    </w:tbl>
    <w:p>
      <w:pPr>
        <w:pStyle w:val="TextBody"/>
        <w:bidi w:val="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230"/>
        <w:gridCol w:w="85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F_edei--SolicitingMaterial_c202607"/>
            <w:bookmarkEnd w:id="17"/>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4_edei--PreCommencementTenderOffer"/>
            <w:bookmarkEnd w:id="18"/>
            <w:r>
              <w:rPr/>
              <w:t>☐</w:t>
            </w:r>
          </w:p>
        </w:tc>
        <w:tc>
          <w:tcPr>
            <w:tcW w:w="9900" w:type="dxa"/>
            <w:tcBorders/>
            <w:vAlign w:val="center"/>
          </w:tcPr>
          <w:p>
            <w:pPr>
              <w:pStyle w:val="TableContents"/>
              <w:bidi w:val="0"/>
              <w:spacing w:before="0" w:after="283"/>
              <w:jc w:val="left"/>
              <w:rPr/>
            </w:pPr>
            <w:r>
              <w:rPr/>
              <w:t>Pre-commencement communication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9" w:name="xdx_904_edei--PreCommencementIssuerTende"/>
            <w:bookmarkEnd w:id="19"/>
            <w:r>
              <w:rPr/>
              <w:t>☐</w:t>
            </w:r>
          </w:p>
        </w:tc>
        <w:tc>
          <w:tcPr>
            <w:tcW w:w="9900" w:type="dxa"/>
            <w:tcBorders/>
            <w:vAlign w:val="center"/>
          </w:tcPr>
          <w:p>
            <w:pPr>
              <w:pStyle w:val="TableContents"/>
              <w:bidi w:val="0"/>
              <w:spacing w:before="0" w:after="283"/>
              <w:jc w:val="left"/>
              <w:rPr/>
            </w:pPr>
            <w:r>
              <w:rPr/>
              <w:t>Pre-commencement communication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9765" w:type="dxa"/>
        <w:jc w:val="left"/>
        <w:tblInd w:w="-10" w:type="dxa"/>
        <w:tblLayout w:type="fixed"/>
        <w:tblCellMar>
          <w:top w:w="28" w:type="dxa"/>
          <w:left w:w="108" w:type="dxa"/>
          <w:bottom w:w="44" w:type="dxa"/>
          <w:right w:w="108" w:type="dxa"/>
        </w:tblCellMar>
      </w:tblPr>
      <w:tblGrid>
        <w:gridCol w:w="3725"/>
        <w:gridCol w:w="1805"/>
        <w:gridCol w:w="4235"/>
      </w:tblGrid>
      <w:tr>
        <w:trPr/>
        <w:tc>
          <w:tcPr>
            <w:tcW w:w="37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Title of each class</w:t>
            </w:r>
          </w:p>
        </w:tc>
        <w:tc>
          <w:tcPr>
            <w:tcW w:w="18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Trading Symbol(s)</w:t>
            </w:r>
          </w:p>
        </w:tc>
        <w:tc>
          <w:tcPr>
            <w:tcW w:w="4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Name of each exchange on which registered</w:t>
            </w:r>
          </w:p>
        </w:tc>
      </w:tr>
      <w:tr>
        <w:trPr/>
        <w:tc>
          <w:tcPr>
            <w:tcW w:w="37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bookmarkStart w:id="20" w:name="xdx_908_edei--Security12bTitle_c20260722"/>
            <w:bookmarkEnd w:id="20"/>
            <w:r>
              <w:rPr/>
              <w:t>Common Stock, no par value per share</w:t>
            </w:r>
          </w:p>
        </w:tc>
        <w:tc>
          <w:tcPr>
            <w:tcW w:w="18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1" w:name="xdx_903_edei--TradingSymbol_c20260722__2"/>
            <w:bookmarkEnd w:id="21"/>
            <w:r>
              <w:rPr/>
              <w:t>FSBC</w:t>
            </w:r>
          </w:p>
        </w:tc>
        <w:tc>
          <w:tcPr>
            <w:tcW w:w="4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bookmarkStart w:id="22" w:name="xdx_90B_edei--SecurityExchangeName_c2026"/>
            <w:bookmarkEnd w:id="22"/>
            <w:r>
              <w:rPr/>
              <w:t>The Nasdaq Stock Market LLC</w:t>
            </w:r>
          </w:p>
        </w:tc>
      </w:tr>
    </w:tbl>
    <w:p>
      <w:pPr>
        <w:pStyle w:val="TextBody"/>
        <w:bidi w:val="0"/>
        <w:jc w:val="left"/>
        <w:rPr>
          <w:caps w:val="false"/>
          <w:smallCaps w:val="false"/>
        </w:rPr>
      </w:pPr>
      <w:r>
        <w:rPr>
          <w:caps w:val="false"/>
          <w:smallCaps w:val="false"/>
        </w:rPr>
        <w:t> </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4_edei--EntityEmergingGrowthCompan"/>
      <w:bookmarkEnd w:id="23"/>
      <w:r>
        <w:rPr>
          <w:rFonts w:ascii="Times New Roman;Times;Serif" w:hAnsi="Times New Roman;Times;Serif"/>
          <w:b w:val="false"/>
          <w:i w:val="false"/>
          <w:caps w:val="false"/>
          <w:smallCaps w:val="false"/>
          <w:sz w:val="20"/>
        </w:rPr>
        <w:t>☑</w:t>
      </w:r>
    </w:p>
    <w:p>
      <w:pPr>
        <w:pStyle w:val="TextBody"/>
        <w:bidi w:val="0"/>
        <w:spacing w:before="120" w:after="120"/>
        <w:ind w:left="120" w:right="1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A_edei--EntityExTransitionPeriod_c"/>
      <w:bookmarkEnd w:id="24"/>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96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both"/>
              <w:rPr>
                <w:b/>
              </w:rPr>
            </w:pPr>
            <w:r>
              <w:rPr>
                <w:b/>
              </w:rPr>
              <w:t>Entry into a Material Definitive Agreement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22, 2026, Five Star Bancorp (the “Company”), a holding company that operates through its wholly owned banking subsidiary, Five Star Bank (the “Bank”), entered into an underwriting agreement (the “Underwriting Agreement”) with Keefe, Bruyette &amp; Woods, Inc., as representative of the several underwriters named in Schedule I thereto (collectively, the “Underwriters”), to issue and sell 2,725,000 shares of the Company’s common stock, no par value (“Common Stock”), at a public offering price of $44.00 per share in an underwritten public offering (the “Offering”). </w:t>
      </w:r>
      <w:r>
        <w:rPr>
          <w:rFonts w:ascii="Times New Roman;Times;Serif" w:hAnsi="Times New Roman;Times;Serif"/>
          <w:b w:val="false"/>
          <w:i w:val="false"/>
          <w:caps w:val="false"/>
          <w:smallCaps w:val="false"/>
          <w:sz w:val="20"/>
          <w:shd w:fill="FFFFFF" w:val="clear"/>
        </w:rPr>
        <w:t>The offer and sale of shares of Common Stock in the Offering was registered under the Securities Act of 1933, as amended (the “Act”), pursuant to the Company’s shelf registration statement on Form S-3 (File No. 333-293089), which was declared effective by the Securities and Exchange Commission on February 9, 2026, and related base prospectus, as supplemented by the prospectus supplement dated July 22, 2026.</w:t>
      </w:r>
      <w:r>
        <w:rPr>
          <w:rFonts w:ascii="Times New Roman;Times;Serif" w:hAnsi="Times New Roman;Times;Serif"/>
          <w:b w:val="false"/>
          <w:i w:val="false"/>
          <w:caps w:val="false"/>
          <w:smallCaps w:val="false"/>
          <w:sz w:val="20"/>
        </w:rPr>
        <w:t xml:space="preserve"> As part of the Offering, the Company granted the Underwriters a 30-day option to purchase up to an additional 408,750 shares of Common Stock at the public offering price, less underwriting discounts and commissions.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deducting underwriting discounts and commissions and estimated offering expenses payable by the Company, the Company expects the net proceeds of the Offering to be approximately $112.9 million. The Company intends to use the net proceeds from the Offering for general corporate purposes and to support its continued growth, including through investments in the Bank to pursue growth opportunities, and for working capital. The Offering is expected to close on or about July 24, 2026, subject to satisfaction of customary closing conditions.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representations, warranties and agreements of the Company, customary conditions to closing, indemnification obligations of the parties, including for liabilities under the Act,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Consequently, persons other than the parties to such agreement may not rely upon the representations and warranties in the Underwriting Agreement as characterizations of actual facts or circumstances as of the date of the Underwriting Agreement or as of any other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is not intended to provide any other factual information about the Company. The foregoing description is qualified in its entirety by reference to the Underwriting Agreement, a copy of which is attached hereto as Exhibit 1.1 and incorporated herein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opinion of Covington &amp; Burling LLP relating to the validity of the Common Stock is attached hereto as Exhibit 5.1.</w:t>
      </w:r>
    </w:p>
    <w:p>
      <w:pPr>
        <w:pStyle w:val="TextBody"/>
        <w:bidi w:val="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965"/>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385" w:type="dxa"/>
            <w:tcBorders/>
            <w:vAlign w:val="center"/>
          </w:tcPr>
          <w:p>
            <w:pPr>
              <w:pStyle w:val="TableContents"/>
              <w:bidi w:val="0"/>
              <w:spacing w:before="0" w:after="283"/>
              <w:jc w:val="both"/>
              <w:rPr>
                <w:b/>
              </w:rPr>
            </w:pPr>
            <w:r>
              <w:rPr>
                <w:b/>
              </w:rPr>
              <w:t>Other Events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July 22, 2026, the Company issued a press release announcing the launch of the Offering, which is attached as Exhibit 99.1 hereto and is incorporated herein by reference. On July 22, 2026, the Company issued a press release announcing the pricing of the Offering, which is attached as Exhibit 99.2 hereto and is incorporated herein by reference.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Special Note Concerning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These forward-looking statements represent plans, estimates, objectives, goals, guidelines, expectations, intentions, projections, and statements of the Company’s beliefs concerning future events, business plans, objectives, expected operating results, and the assumptions upon which those statements are based. Forward-looking statements include, without limitation, statements regarding the expected use of proceeds of the offering, the Company’s expectation of the completion and timing of the closing of the offering and the anticipated proceeds from the offering, as well as any statement that may predict, forecast, indicate, or imply future results, performance, or achievements, and are typically identified with words such as “may,” “could,” “should,” “will,” “would,” “believe,” “anticipate,” “estimate,” “expect,” “aim,” “intend,” “plan,” or words or phrases of similar meaning. The Company cautions that the forward-looking statements are based largely on the Company’s expectations and are subject to a number of known and unknown risks and uncertainties that are subject to change based on factors which are, in many instances, beyond the Company’s control. Such forward-looking statements are based on various assumptions (some of which may be beyond the Company’s control) and are subject to risks and uncertainties, which change over time, and other factors, which could cause actual results to differ materially from those currently anticipated. New risks and uncertainties may emerge from time to time, and it is not possible for the Company to predict their occurrence or how they will affect the Company. If one or more of the factors affecting the Company’s forward-looking information and statements proves incorrect, then the Company’s actual results, performance, or achievements could differ materially from those expressed in, or implied by, forward-looking information and statements contained in this press release. Therefore, the Company cautions you not to place undue reliance on the Company’s forward-looking information and statements. Important factors that could cause actual results to differ materially from those in the forward-looking statements are set forth in the Company’s Annual Report on Form 10-K for the year ended December 31, 2025 and Quarterly Report on Form 10-Q for the three months ended March 31, 2026, in each case under the section entitled “Risk Factors,” and other documents filed by the Company with the SEC from time to time.</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disclaims any duty to revise or update the forward-looking statements, whether written or oral, to reflect actual results or changes in the factors affecting the forward-looking statements, except as specifically required by law.</w:t>
      </w:r>
    </w:p>
    <w:p>
      <w:pPr>
        <w:pStyle w:val="TextBody"/>
        <w:bidi w:val="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both"/>
              <w:rPr>
                <w:b/>
              </w:rPr>
            </w:pPr>
            <w:r>
              <w:rPr>
                <w:b/>
              </w:rPr>
              <w:t>Financial Statements and Exhibits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filed as exhibits to this Current Report on Form 8-K:</w:t>
      </w:r>
    </w:p>
    <w:p>
      <w:pPr>
        <w:pStyle w:val="TextBody"/>
        <w:bidi w:val="0"/>
        <w:spacing w:before="200" w:after="200"/>
        <w:ind w:left="200" w:right="20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tbl>
      <w:tblPr>
        <w:tblW w:w="10205" w:type="dxa"/>
        <w:jc w:val="left"/>
        <w:tblInd w:w="0" w:type="dxa"/>
        <w:tblLayout w:type="fixed"/>
        <w:tblCellMar>
          <w:top w:w="0" w:type="dxa"/>
          <w:left w:w="0" w:type="dxa"/>
          <w:bottom w:w="0" w:type="dxa"/>
          <w:right w:w="0" w:type="dxa"/>
        </w:tblCellMar>
      </w:tblPr>
      <w:tblGrid>
        <w:gridCol w:w="725"/>
        <w:gridCol w:w="60"/>
        <w:gridCol w:w="60"/>
        <w:gridCol w:w="9360"/>
      </w:tblGrid>
      <w:tr>
        <w:trPr/>
        <w:tc>
          <w:tcPr>
            <w:tcW w:w="725" w:type="dxa"/>
            <w:tcBorders/>
            <w:vAlign w:val="center"/>
          </w:tcPr>
          <w:p>
            <w:pPr>
              <w:pStyle w:val="TableContents"/>
              <w:bidi w:val="0"/>
              <w:jc w:val="center"/>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b/>
                <w:u w:val="single"/>
              </w:rPr>
            </w:pPr>
            <w:r>
              <w:rPr>
                <w:b/>
                <w:u w:val="single"/>
              </w:rPr>
              <w:t>Description</w:t>
            </w:r>
          </w:p>
        </w:tc>
      </w:tr>
      <w:tr>
        <w:trPr/>
        <w:tc>
          <w:tcPr>
            <w:tcW w:w="725"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60" w:type="dxa"/>
            <w:tcBorders/>
            <w:vAlign w:val="center"/>
          </w:tcPr>
          <w:p>
            <w:pPr>
              <w:pStyle w:val="TableContents"/>
              <w:bidi w:val="0"/>
              <w:spacing w:before="0" w:after="283"/>
              <w:jc w:val="both"/>
              <w:rPr/>
            </w:pPr>
            <w:hyperlink w:anchor="e26308_ex1-1.htm">
              <w:r>
                <w:rPr>
                  <w:rStyle w:val="InternetLink"/>
                </w:rPr>
                <w:t>Underwriting Agreement, dated July 22, 2026, by and between Five Star Bancorp and Keefe, Bruyette &amp; Woods, Inc., as representative of the several underwriters named therein.</w:t>
              </w:r>
            </w:hyperlink>
          </w:p>
        </w:tc>
      </w:tr>
      <w:tr>
        <w:trPr/>
        <w:tc>
          <w:tcPr>
            <w:tcW w:w="725" w:type="dxa"/>
            <w:tcBorders/>
            <w:vAlign w:val="center"/>
          </w:tcPr>
          <w:p>
            <w:pPr>
              <w:pStyle w:val="TableContents"/>
              <w:bidi w:val="0"/>
              <w:spacing w:before="0" w:after="283"/>
              <w:jc w:val="center"/>
              <w:rPr/>
            </w:pPr>
            <w:r>
              <w:rPr/>
              <w:t>5.1</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60" w:type="dxa"/>
            <w:tcBorders/>
            <w:vAlign w:val="center"/>
          </w:tcPr>
          <w:p>
            <w:pPr>
              <w:pStyle w:val="TableContents"/>
              <w:bidi w:val="0"/>
              <w:spacing w:before="0" w:after="283"/>
              <w:jc w:val="both"/>
              <w:rPr/>
            </w:pPr>
            <w:hyperlink w:anchor="e26308_ex5-1.htm">
              <w:r>
                <w:rPr>
                  <w:rStyle w:val="InternetLink"/>
                </w:rPr>
                <w:t>Opinion of Covington &amp; Burling LLP.</w:t>
              </w:r>
            </w:hyperlink>
          </w:p>
        </w:tc>
      </w:tr>
      <w:tr>
        <w:trPr/>
        <w:tc>
          <w:tcPr>
            <w:tcW w:w="725" w:type="dxa"/>
            <w:tcBorders/>
            <w:vAlign w:val="center"/>
          </w:tcPr>
          <w:p>
            <w:pPr>
              <w:pStyle w:val="TableContents"/>
              <w:bidi w:val="0"/>
              <w:spacing w:before="0" w:after="283"/>
              <w:jc w:val="center"/>
              <w:rPr/>
            </w:pPr>
            <w:r>
              <w:rPr/>
              <w:t>23.1</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9360" w:type="dxa"/>
            <w:tcBorders/>
            <w:vAlign w:val="center"/>
          </w:tcPr>
          <w:p>
            <w:pPr>
              <w:pStyle w:val="TableContents"/>
              <w:bidi w:val="0"/>
              <w:spacing w:before="0" w:after="283"/>
              <w:jc w:val="both"/>
              <w:rPr/>
            </w:pPr>
            <w:r>
              <w:rPr/>
              <w:t xml:space="preserve">Consent of Covington &amp; Burling LLP (included in </w:t>
            </w:r>
            <w:hyperlink w:anchor="e26308_ex5-1.htm">
              <w:r>
                <w:rPr>
                  <w:rStyle w:val="InternetLink"/>
                </w:rPr>
                <w:t>Exhibit 5.1</w:t>
              </w:r>
            </w:hyperlink>
            <w:r>
              <w:rPr/>
              <w:t xml:space="preserve"> filed herewith).</w:t>
            </w:r>
          </w:p>
        </w:tc>
      </w:tr>
      <w:tr>
        <w:trPr/>
        <w:tc>
          <w:tcPr>
            <w:tcW w:w="725" w:type="dxa"/>
            <w:tcBorders/>
            <w:vAlign w:val="center"/>
          </w:tcPr>
          <w:p>
            <w:pPr>
              <w:pStyle w:val="TableContents"/>
              <w:bidi w:val="0"/>
              <w:spacing w:before="0" w:after="283"/>
              <w:jc w:val="center"/>
              <w:rPr/>
            </w:pPr>
            <w:r>
              <w:rPr/>
              <w:t>99.1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hyperlink w:anchor="e26308_ex99-1.htm">
              <w:r>
                <w:rPr>
                  <w:rStyle w:val="InternetLink"/>
                </w:rPr>
                <w:t>Press Release announcing the launch of the Offering dated July 22, 2026.</w:t>
              </w:r>
            </w:hyperlink>
          </w:p>
        </w:tc>
      </w:tr>
      <w:tr>
        <w:trPr/>
        <w:tc>
          <w:tcPr>
            <w:tcW w:w="725" w:type="dxa"/>
            <w:tcBorders/>
            <w:vAlign w:val="center"/>
          </w:tcPr>
          <w:p>
            <w:pPr>
              <w:pStyle w:val="TableContents"/>
              <w:bidi w:val="0"/>
              <w:spacing w:before="0" w:after="283"/>
              <w:jc w:val="center"/>
              <w:rPr/>
            </w:pPr>
            <w:r>
              <w:rPr/>
              <w:t>99.2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hyperlink w:anchor="e26308_ex99-2.htm">
              <w:r>
                <w:rPr>
                  <w:rStyle w:val="InternetLink"/>
                </w:rPr>
                <w:t>Press Release announcing the pricing of the Offering dated July 22, 2026.</w:t>
              </w:r>
            </w:hyperlink>
          </w:p>
        </w:tc>
      </w:tr>
      <w:tr>
        <w:trPr/>
        <w:tc>
          <w:tcPr>
            <w:tcW w:w="725"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7950" w:type="dxa"/>
        <w:jc w:val="left"/>
        <w:tblInd w:w="0" w:type="dxa"/>
        <w:tblLayout w:type="fixed"/>
        <w:tblCellMar>
          <w:top w:w="0" w:type="dxa"/>
          <w:left w:w="0" w:type="dxa"/>
          <w:bottom w:w="0" w:type="dxa"/>
          <w:right w:w="0" w:type="dxa"/>
        </w:tblCellMar>
      </w:tblPr>
      <w:tblGrid>
        <w:gridCol w:w="1955"/>
        <w:gridCol w:w="365"/>
        <w:gridCol w:w="5630"/>
      </w:tblGrid>
      <w:tr>
        <w:trPr/>
        <w:tc>
          <w:tcPr>
            <w:tcW w:w="195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FIVE STAR BANCORP</w:t>
            </w:r>
          </w:p>
        </w:tc>
      </w:tr>
      <w:tr>
        <w:trPr/>
        <w:tc>
          <w:tcPr>
            <w:tcW w:w="19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5630" w:type="dxa"/>
            <w:tcBorders>
              <w:bottom w:val="single" w:sz="8" w:space="0" w:color="000000"/>
            </w:tcBorders>
            <w:tcMar>
              <w:bottom w:w="28" w:type="dxa"/>
            </w:tcMar>
            <w:vAlign w:val="center"/>
          </w:tcPr>
          <w:p>
            <w:pPr>
              <w:pStyle w:val="TableContents"/>
              <w:bidi w:val="0"/>
              <w:spacing w:before="0" w:after="283"/>
              <w:jc w:val="left"/>
              <w:rPr/>
            </w:pPr>
            <w:r>
              <w:rPr/>
              <w:t>/s/ Heather Luck</w:t>
            </w:r>
          </w:p>
        </w:tc>
      </w:tr>
      <w:tr>
        <w:trPr/>
        <w:tc>
          <w:tcPr>
            <w:tcW w:w="19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Name: Heather Luck</w:t>
            </w:r>
          </w:p>
        </w:tc>
      </w:tr>
      <w:tr>
        <w:trPr/>
        <w:tc>
          <w:tcPr>
            <w:tcW w:w="195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Title: Executive Vice President and Chief Financial Officer</w:t>
            </w:r>
          </w:p>
        </w:tc>
      </w:tr>
      <w:tr>
        <w:trPr/>
        <w:tc>
          <w:tcPr>
            <w:tcW w:w="1955" w:type="dxa"/>
            <w:tcBorders/>
            <w:vAlign w:val="center"/>
          </w:tcPr>
          <w:p>
            <w:pPr>
              <w:pStyle w:val="TableContents"/>
              <w:bidi w:val="0"/>
              <w:spacing w:before="0" w:after="283"/>
              <w:jc w:val="left"/>
              <w:rPr/>
            </w:pPr>
            <w:r>
              <w:rPr/>
              <w:t> </w:t>
            </w:r>
          </w:p>
        </w:tc>
        <w:tc>
          <w:tcPr>
            <w:tcW w:w="5995" w:type="dxa"/>
            <w:gridSpan w:val="2"/>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r>
              <w:rPr/>
              <w:t>Date: July 23, 2026</w:t>
            </w:r>
          </w:p>
        </w:tc>
        <w:tc>
          <w:tcPr>
            <w:tcW w:w="5995" w:type="dxa"/>
            <w:gridSpan w:val="2"/>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caps w:val="false"/>
          <w:smallCaps w:val="false"/>
        </w:rPr>
      </w:pPr>
      <w:bookmarkStart w:id="25" w:name="e26308_ex1-1.htm"/>
      <w:bookmarkStart w:id="26" w:name="kse26308_ex11"/>
      <w:bookmarkEnd w:id="25"/>
      <w:bookmarkEnd w:id="2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 </w:t>
      </w:r>
    </w:p>
    <w:p>
      <w:pPr>
        <w:pStyle w:val="TextBody"/>
        <w:bidi w:val="0"/>
        <w:jc w:val="center"/>
        <w:rPr>
          <w:caps w:val="false"/>
          <w:smallCaps w:val="false"/>
        </w:rPr>
      </w:pPr>
      <w:r>
        <w:rPr>
          <w:caps w:val="false"/>
          <w:smallCaps w:val="false"/>
        </w:rPr>
        <w:t> </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2,725,000 Shares</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p>
      <w:pPr>
        <w:pStyle w:val="TextBody"/>
        <w:bidi w:val="0"/>
        <w:spacing w:before="0" w:after="20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UNDERWRITING AGREEMENT</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2026</w:t>
      </w:r>
    </w:p>
    <w:p>
      <w:pPr>
        <w:pStyle w:val="TextBody"/>
        <w:bidi w:val="0"/>
        <w:spacing w:before="9" w:after="9"/>
        <w:ind w:left="9" w:right="9"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KEEFE, BRUYETTE &amp; WOODS, INC.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 of the Underwriters listed in Schedule I hereto)</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Keefe, Bruyette &amp; Woods, Inc.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 Seventh Avenue 4</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Floor</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ind w:left="1200" w:right="0" w:firstLine="360"/>
        <w:jc w:val="left"/>
        <w:rPr>
          <w:caps w:val="false"/>
          <w:smallCaps w:val="false"/>
        </w:rPr>
      </w:pPr>
      <w:r>
        <w:rPr>
          <w:caps w:val="false"/>
          <w:smallCaps w:val="false"/>
        </w:rPr>
        <w:t> </w:t>
      </w:r>
    </w:p>
    <w:p>
      <w:pPr>
        <w:pStyle w:val="TextBody"/>
        <w:bidi w:val="0"/>
        <w:spacing w:before="0" w:after="20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 a California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proposes to issue and sell to the several underwriters named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pursuant to the terms set forth herein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an aggregate of 2,725,000 shares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 of the Company’s common stock, no par value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The Company has also granted to the Underwriters an option to purchase up to an additional 408,750 shares of Common Stock (the “</w:t>
      </w:r>
      <w:r>
        <w:rPr>
          <w:rFonts w:ascii="Times New Roman;Times;Serif" w:hAnsi="Times New Roman;Times;Serif"/>
          <w:b/>
          <w:i w:val="false"/>
          <w:caps w:val="false"/>
          <w:smallCaps w:val="false"/>
          <w:sz w:val="20"/>
        </w:rPr>
        <w:t>Option Shares</w:t>
      </w:r>
      <w:r>
        <w:rPr>
          <w:rFonts w:ascii="Times New Roman;Times;Serif" w:hAnsi="Times New Roman;Times;Serif"/>
          <w:b w:val="false"/>
          <w:i w:val="false"/>
          <w:caps w:val="false"/>
          <w:smallCaps w:val="false"/>
          <w:sz w:val="20"/>
        </w:rPr>
        <w:t>”). The Firm Shares and the Option Shares are hereinafter referred to collectively as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Keefe, Bruyette &amp; Woods, Inc. has agreed to act as representative of the several Underwriters (in such capacity, the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in connection with the offering and sale of the Shares. In all dealings hereunder, the Representative shall act on behalf of each of the Underwriters, and the parties hereto shall be entitled to act and rely upon any statement, request, notice or agreement on behalf of any Underwriter made or given by the Representative.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shelf registration statement on Form S-3 (File No. 333-293089), covering the public offering and sale of certain securities, including the Shares,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the rules and regulations promulgated thereunder (the “</w:t>
      </w:r>
      <w:r>
        <w:rPr>
          <w:rFonts w:ascii="Times New Roman;Times;Serif" w:hAnsi="Times New Roman;Times;Serif"/>
          <w:b/>
          <w:i w:val="false"/>
          <w:caps w:val="false"/>
          <w:smallCaps w:val="false"/>
          <w:sz w:val="20"/>
        </w:rPr>
        <w:t>Securities Act Regulations</w:t>
      </w:r>
      <w:r>
        <w:rPr>
          <w:rFonts w:ascii="Times New Roman;Times;Serif" w:hAnsi="Times New Roman;Times;Serif"/>
          <w:b w:val="false"/>
          <w:i w:val="false"/>
          <w:caps w:val="false"/>
          <w:smallCaps w:val="false"/>
          <w:sz w:val="20"/>
        </w:rPr>
        <w:t>”), which shelf registration statement has been declared effective by the Commission. Such registration statement, as amended by any post-effective amendments, including the financial statements, exhibits and schedules thereto, the documents incorporated or deemed to be incorporated by reference therein at such time pursuant to Item 12 of Form S-3 under the Securities Act, and including any information deemed to be a part thereof at the time of effectiveness pursuant to Rule 430B under the Securities Act, is called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From and after the date and time of filing any registration statement increasing the size of the offering pursuant to Rule 462(b) under the Securities Act (a “</w:t>
      </w:r>
      <w:r>
        <w:rPr>
          <w:rFonts w:ascii="Times New Roman;Times;Serif" w:hAnsi="Times New Roman;Times;Serif"/>
          <w:b/>
          <w:i w:val="false"/>
          <w:caps w:val="false"/>
          <w:smallCaps w:val="false"/>
          <w:sz w:val="20"/>
        </w:rPr>
        <w:t>Rule 462(b) Registration Statement</w:t>
      </w:r>
      <w:r>
        <w:rPr>
          <w:rFonts w:ascii="Times New Roman;Times;Serif" w:hAnsi="Times New Roman;Times;Serif"/>
          <w:b w:val="false"/>
          <w:i w:val="false"/>
          <w:caps w:val="false"/>
          <w:smallCaps w:val="false"/>
          <w:sz w:val="20"/>
        </w:rPr>
        <w:t>”), the term “Registration Statement” shall include the Rule 462(b) Registration Statement. The prospectus, in the form first used by the Underwriters to confirm sales of the Shares or in the form first made available to the Underwriters by the Company to meet requests of purchasers pursuant to Rule 173 under the Securities Act, is referred to herein as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means the prospectus relating to the Shares, in the form in which it was filed with the Commission as part of the Registration Statement at the time it became effective on February 9, 2026, or in the form in which it has most recently been filed with the Commission on or prior to the date of this Agreement.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means the Base Prospectus as supplemented by the Prospectus Supplement, and each prospectus in preliminary form that describes the Shares and the offering thereof and is used prior to the filing of the Prospectus is referred to herein as a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The preliminary prospectus relating to the Shares that was included in the Registration Statement immediately prior to the Applicable Time (as defined below) is hereinafter called the “</w:t>
      </w:r>
      <w:r>
        <w:rPr>
          <w:rFonts w:ascii="Times New Roman;Times;Serif" w:hAnsi="Times New Roman;Times;Serif"/>
          <w:b/>
          <w:i w:val="false"/>
          <w:caps w:val="false"/>
          <w:smallCaps w:val="false"/>
          <w:sz w:val="20"/>
        </w:rPr>
        <w:t>Pricing Prospectus.</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Pricing Disclosure Package</w:t>
      </w:r>
      <w:r>
        <w:rPr>
          <w:rFonts w:ascii="Times New Roman;Times;Serif" w:hAnsi="Times New Roman;Times;Serif"/>
          <w:b w:val="false"/>
          <w:i w:val="false"/>
          <w:caps w:val="false"/>
          <w:smallCaps w:val="false"/>
          <w:sz w:val="20"/>
        </w:rPr>
        <w:t xml:space="preserve">” means the Pricing Prospectus, together with the Issuer Free Writing Prospectuses (as defined below), if any, listed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and the pricing information conveyed orally to investors, and as set forth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For the purposes of this Agreement, the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is 6:45 P.M., New York City time, on July 22, 2026. Any “issuer free writing prospectus” (as defined in Rule 433 under the Securities Act) relating to the offering of the Shares contemplated hereunder is hereinafter called an “</w:t>
      </w:r>
      <w:r>
        <w:rPr>
          <w:rFonts w:ascii="Times New Roman;Times;Serif" w:hAnsi="Times New Roman;Times;Serif"/>
          <w:b/>
          <w:i w:val="false"/>
          <w:caps w:val="false"/>
          <w:smallCaps w:val="false"/>
          <w:sz w:val="20"/>
        </w:rPr>
        <w:t>Issuer Free Writing Prospectus</w:t>
      </w:r>
      <w:r>
        <w:rPr>
          <w:rFonts w:ascii="Times New Roman;Times;Serif" w:hAnsi="Times New Roman;Times;Serif"/>
          <w:b w:val="false"/>
          <w:i w:val="false"/>
          <w:caps w:val="false"/>
          <w:smallCaps w:val="false"/>
          <w:sz w:val="20"/>
        </w:rPr>
        <w:t>.” As used herein, “</w:t>
      </w:r>
      <w:r>
        <w:rPr>
          <w:rFonts w:ascii="Times New Roman;Times;Serif" w:hAnsi="Times New Roman;Times;Serif"/>
          <w:b/>
          <w:i w:val="false"/>
          <w:caps w:val="false"/>
          <w:smallCaps w:val="false"/>
          <w:sz w:val="20"/>
        </w:rPr>
        <w:t xml:space="preserve">Road Show” </w:t>
      </w:r>
      <w:r>
        <w:rPr>
          <w:rFonts w:ascii="Times New Roman;Times;Serif" w:hAnsi="Times New Roman;Times;Serif"/>
          <w:b w:val="false"/>
          <w:i w:val="false"/>
          <w:caps w:val="false"/>
          <w:smallCaps w:val="false"/>
          <w:sz w:val="20"/>
        </w:rPr>
        <w:t>means a “road show” (as defined in Rule 433 under the Securities Act) relating to the offering of the Shares contemplated hereby that is a “written communication” (as defined in Rule 405 under the Securities Act). As used herein, the terms “Registration Statement,” “preliminary prospectus,” “Pricing Disclosure Package” and “Prospectus” shall include the documents, if any, incorporated by reference therein as of the date hereof. The terms “supplement,” “amendment” and “amend” as used herein with respect to the Registration Statement, the Pricing Disclosure Package, any preliminary prospectus or the Prospectus shall include all documents subsequently filed by the Company with the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are deemed to be incorporated by reference therein. “</w:t>
      </w:r>
      <w:r>
        <w:rPr>
          <w:rFonts w:ascii="Times New Roman;Times;Serif" w:hAnsi="Times New Roman;Times;Serif"/>
          <w:b/>
          <w:i w:val="false"/>
          <w:caps w:val="false"/>
          <w:smallCaps w:val="false"/>
          <w:sz w:val="20"/>
        </w:rPr>
        <w:t>Testing-the-Waters Communication</w:t>
      </w:r>
      <w:r>
        <w:rPr>
          <w:rFonts w:ascii="Times New Roman;Times;Serif" w:hAnsi="Times New Roman;Times;Serif"/>
          <w:b w:val="false"/>
          <w:i w:val="false"/>
          <w:caps w:val="false"/>
          <w:smallCaps w:val="false"/>
          <w:sz w:val="20"/>
        </w:rPr>
        <w:t>” means any oral or written communication with potential investors undertaken in reliance on Section 5(d) of the Securities Act. “</w:t>
      </w:r>
      <w:r>
        <w:rPr>
          <w:rFonts w:ascii="Times New Roman;Times;Serif" w:hAnsi="Times New Roman;Times;Serif"/>
          <w:b/>
          <w:i w:val="false"/>
          <w:caps w:val="false"/>
          <w:smallCaps w:val="false"/>
          <w:sz w:val="20"/>
        </w:rPr>
        <w:t>Written Testing-the-Waters Communication</w:t>
      </w:r>
      <w:r>
        <w:rPr>
          <w:rFonts w:ascii="Times New Roman;Times;Serif" w:hAnsi="Times New Roman;Times;Serif"/>
          <w:b w:val="false"/>
          <w:i w:val="false"/>
          <w:caps w:val="false"/>
          <w:smallCaps w:val="false"/>
          <w:sz w:val="20"/>
        </w:rPr>
        <w:t>” means any Testing-the-Waters Communication that is a written communication within the meaning of Rule 405 under the Securities Act. “</w:t>
      </w:r>
      <w:r>
        <w:rPr>
          <w:rFonts w:ascii="Times New Roman;Times;Serif" w:hAnsi="Times New Roman;Times;Serif"/>
          <w:b/>
          <w:i w:val="false"/>
          <w:caps w:val="false"/>
          <w:smallCaps w:val="false"/>
          <w:sz w:val="20"/>
        </w:rPr>
        <w:t>Permitted Written Testing-the-Waters Communication</w:t>
      </w:r>
      <w:r>
        <w:rPr>
          <w:rFonts w:ascii="Times New Roman;Times;Serif" w:hAnsi="Times New Roman;Times;Serif"/>
          <w:b w:val="false"/>
          <w:i w:val="false"/>
          <w:caps w:val="false"/>
          <w:smallCaps w:val="false"/>
          <w:sz w:val="20"/>
        </w:rPr>
        <w:t>” means the Written Testing-the-Waters Communications, if any, listed on Schedule III hereto.</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confirms as follows its agreement with the Representative and the several other Underwriters.</w:t>
      </w:r>
    </w:p>
    <w:p>
      <w:pPr>
        <w:pStyle w:val="TextBody"/>
        <w:bidi w:val="0"/>
        <w:spacing w:before="0" w:after="20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represents and warrants to each Underwriter at the date hereof, the Applicable Time, and the Closing Date (as defined below) and agrees with each Underwriter, as follows: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Compliance of the Registration Statement, the Prospectus and Incorporated Documents</w:t>
      </w:r>
      <w:r>
        <w:rPr>
          <w:rFonts w:ascii="Times New Roman;Times;Serif" w:hAnsi="Times New Roman;Times;Serif"/>
          <w:b w:val="false"/>
          <w:i w:val="false"/>
          <w:caps w:val="false"/>
          <w:smallCaps w:val="false"/>
          <w:sz w:val="20"/>
        </w:rPr>
        <w:t>. The Registration Statement was declared effective by the Commission on February 9, 2026. No stop order suspending the effectiveness of the Registration Statement, any Rule 462(b) Registration Statement or any post-effective amendment thereto has been issued under the Securities Act, no notice of objection of the Commission to the use of the Registration Statement or any post-effective amendment thereto has been received by the Company, no order preventing or suspending the use of any preliminary prospectus or the Prospectus or any amendment or supplement thereto has been issued and no proceedings for any of those purposes have been instituted or are pending or, to the Company’s knowledge, contemplated. The Company has complied with each request (if any) from the Commission for additional information.</w:t>
      </w:r>
    </w:p>
    <w:p>
      <w:pPr>
        <w:pStyle w:val="TextBody"/>
        <w:bidi w:val="0"/>
        <w:spacing w:before="0" w:after="0"/>
        <w:jc w:val="center"/>
        <w:rPr>
          <w:bdr w:val="single" w:sz="16" w:space="6" w:color="DCDCDC"/>
        </w:rPr>
      </w:pPr>
      <w:r>
        <w:rPr>
          <w:bdr w:val="single" w:sz="16" w:space="6" w:color="DCDCDC"/>
        </w:rPr>
        <w:t>2</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Registration Statement and any post-effective amendment thereto, at the time of its effectiveness and as of each deemed effective date with respect to the Underwriters pursuant to Rule 430B(f)(2) and any Rule 462(b) Registration Statement, if applicable, complied in all material respects with the requirements of the Securities Act and the Securities Act Regulations. Each preliminary prospectus, the Prospectus and any amendment or supplement thereto, at the time each was filed with the Commission, complied in all material respects with the requirements of the Securities Act and the Securities Act Regulations and are identical to the electronically transmitted copies thereof filed with the Commission pursuant to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except to the extent permitted by Regulation S-T.</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Accurate Disclosure</w:t>
      </w:r>
      <w:r>
        <w:rPr>
          <w:rFonts w:ascii="Times New Roman;Times;Serif" w:hAnsi="Times New Roman;Times;Serif"/>
          <w:b w:val="false"/>
          <w:i w:val="false"/>
          <w:caps w:val="false"/>
          <w:smallCaps w:val="false"/>
          <w:sz w:val="20"/>
        </w:rPr>
        <w:t>. Neither the Registration Statement, the Pricing Disclosure Package, the Prospectus, any preliminary prospectus, the Rule 462(b) Registration Statement, if any, nor any post-effective amendment thereto, at its effective time, or at the Closing Date contained, contains or will contain an untrue statement of a material fact or omitted, omits or will omit to state a material fact required to be stated therein or necessary to make the statements therein not misleading. At the Applicable Time, neither (A) the Pricing Disclosure Package nor (B) any individual Issuer Free Writing Prospectus, when considered together with the Pricing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or at the Closing Date, included, includes or will include an untrue statement of a material fact or omitted, omits or will omit to state a material fact necessary in order to make the statements therein, in the light of the circumstances under which they were made, not misleading. There are no statutes, regulations, documents or contracts of a character required to be described in the Registration Statement, the Rule 462(b) Registration Statement, if any, the Pricing Disclosure Package and the Prospectus, or to be filed as an exhibit to the Registration Statement or the Rule 462(b) Registration Statement, if any, which are not described or filed as required. There are no business relationships or related person transactions involving the Company or any Subsidiary (as defined herein) or any other person required to be described in the Registration Statement, the Rule 462(b) Registration Statement, if any, the Pricing Disclosure Package and the Prospectus that have not been described as required.</w:t>
      </w:r>
    </w:p>
    <w:p>
      <w:pPr>
        <w:pStyle w:val="TextBody"/>
        <w:bidi w:val="0"/>
        <w:spacing w:before="0" w:after="0"/>
        <w:jc w:val="center"/>
        <w:rPr>
          <w:bdr w:val="single" w:sz="16" w:space="6" w:color="DCDCDC"/>
        </w:rPr>
      </w:pPr>
      <w:r>
        <w:rPr>
          <w:bdr w:val="single" w:sz="16" w:space="6" w:color="DCDCDC"/>
        </w:rPr>
        <w:t>3</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in this subsection shall not apply to statements in or omissions from the Registration Statement, any Rule 462(b) Registration Statement or any amendment thereto or the Pricing Disclosure Package or the Prospectus or any amendment or supplement thereto made in reliance upon and in conformity with written information furnished to the Company by any Underwriter through the Representative expressly for use therein. For purposes of this Agreement, the only information so furnished shall be the list of Underwriters and their respective allocation of shares, the second, third, fifth and sixth sentences of the first paragraph under the heading “Underwriting Discount” and the information under the heading “Price Stabilization, Short Positions, and Penalty Bids,” each under the heading “Underwriting,” in each case, contained in the Registration Statement, any Rule 462(b) Registration Statement, the preliminary prospectus contained in the Pricing Disclosure Package and the Prospectus (collectively, the “</w:t>
      </w:r>
      <w:r>
        <w:rPr>
          <w:rFonts w:ascii="Times New Roman;Times;Serif" w:hAnsi="Times New Roman;Times;Serif"/>
          <w:b/>
          <w:i w:val="false"/>
          <w:caps w:val="false"/>
          <w:smallCaps w:val="false"/>
          <w:sz w:val="20"/>
        </w:rPr>
        <w:t>Underwriter Information</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Issuer Free Writing Prospectuses</w:t>
      </w:r>
      <w:r>
        <w:rPr>
          <w:rFonts w:ascii="Times New Roman;Times;Serif" w:hAnsi="Times New Roman;Times;Serif"/>
          <w:b w:val="false"/>
          <w:i w:val="false"/>
          <w:caps w:val="false"/>
          <w:smallCaps w:val="false"/>
          <w:sz w:val="20"/>
        </w:rPr>
        <w:t>. No Issuer Free Writing Prospectus conflicts or will conflict with the information contained in the Registration Statement, any preliminary prospectus or the Prospectus, that has not been superseded or modified.</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Company Not Ineligible Issuer</w:t>
      </w:r>
      <w:r>
        <w:rPr>
          <w:rFonts w:ascii="Times New Roman;Times;Serif" w:hAnsi="Times New Roman;Times;Serif"/>
          <w:b w:val="false"/>
          <w:i w:val="false"/>
          <w:caps w:val="false"/>
          <w:smallCaps w:val="false"/>
          <w:sz w:val="20"/>
        </w:rPr>
        <w:t>. (A) At the time of filing the Registration Statement, any Rule 462(b) Registration Statement and any post-effective amendment thereto, (B) at the earliest time thereafter that the Company or another offering participant made a bona fide offer (within the meaning of Rule 164(h)(2) of the Securities Act Regulations) of the Shares and (C) at the Applicable Time, the Company was not and is not an “ineligible issuer,” as defined in Rule 405.</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Auditors</w:t>
      </w:r>
      <w:r>
        <w:rPr>
          <w:rFonts w:ascii="Times New Roman;Times;Serif" w:hAnsi="Times New Roman;Times;Serif"/>
          <w:b w:val="false"/>
          <w:i w:val="false"/>
          <w:caps w:val="false"/>
          <w:smallCaps w:val="false"/>
          <w:sz w:val="20"/>
        </w:rPr>
        <w:t>. Baker Tilly US, LLP, the accounting firm that certified the financial statements and supporting schedules of the Company that are included in the Registration Statement, the Pricing Disclosure Package and the Prospectus, is (i) an independent public accountant as required by the Securities Act, the Securities Act Regulations, the Exchange Act, the rules and regulations promulgated under the Exchange Act (the “</w:t>
      </w:r>
      <w:r>
        <w:rPr>
          <w:rFonts w:ascii="Times New Roman;Times;Serif" w:hAnsi="Times New Roman;Times;Serif"/>
          <w:b/>
          <w:i w:val="false"/>
          <w:caps w:val="false"/>
          <w:smallCaps w:val="false"/>
          <w:sz w:val="20"/>
        </w:rPr>
        <w:t>Exchange Act Regulations</w:t>
      </w:r>
      <w:r>
        <w:rPr>
          <w:rFonts w:ascii="Times New Roman;Times;Serif" w:hAnsi="Times New Roman;Times;Serif"/>
          <w:b w:val="false"/>
          <w:i w:val="false"/>
          <w:caps w:val="false"/>
          <w:smallCaps w:val="false"/>
          <w:sz w:val="20"/>
        </w:rPr>
        <w:t>”) and the Public Company Accounting Oversight Board (the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(ii) a registered public accounting firm, as defined by the PCAOB, which has not had its registration superseded or revoked and which has not requested that such registration be withdrawn, and (iii) with respect to the Company, is not and has not been in violation of the auditor independence requirements of the Sarbanes-Oxley Act of 2002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and the rules and regulations of the Commission.</w:t>
      </w:r>
    </w:p>
    <w:p>
      <w:pPr>
        <w:pStyle w:val="TextBody"/>
        <w:bidi w:val="0"/>
        <w:spacing w:before="0" w:after="0"/>
        <w:jc w:val="center"/>
        <w:rPr>
          <w:bdr w:val="single" w:sz="16" w:space="6" w:color="DCDCDC"/>
        </w:rPr>
      </w:pPr>
      <w:r>
        <w:rPr>
          <w:bdr w:val="single" w:sz="16" w:space="6" w:color="DCDCDC"/>
        </w:rPr>
        <w:t>4</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Financial Statements; Non-GAAP Financial Measures</w:t>
      </w:r>
      <w:r>
        <w:rPr>
          <w:rFonts w:ascii="Times New Roman;Times;Serif" w:hAnsi="Times New Roman;Times;Serif"/>
          <w:b w:val="false"/>
          <w:i w:val="false"/>
          <w:caps w:val="false"/>
          <w:smallCaps w:val="false"/>
          <w:sz w:val="20"/>
        </w:rPr>
        <w:t>. The financial statements of the Company and its consolidated Subsidiaries (as defined below) included in the Registration Statement, the Pricing Disclosure Package and the Prospectus, together with the related schedules and notes, comply, in all material respects, with the requirements of the Securities Act and present fairly, in all material respects, the financial position of the Company and its consolidated Subsidiaries (as defined below) at the respective dates of and for the respective periods to which they apply. The financial statements of the Company and its consolidated Subsidiaries (as defined below) at the dates indicated have been prepared in conformity with U.S.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Disclosure Package and the Prospectus present fairly, in all material respects, the information shown therein and have been compiled on a basis consistent, in all material respects, with that of the audited financial statements included therein. The pro forma financial information included in the Registration Statement, the Pricing Disclosure Package and the Prospectus give effect to assumptions and adjustments made in good faith on a reasonable basis. Except as included therein, no historical or pro forma financial statements or supporting schedules are required to be included in the Registration Statement, any preliminary prospectus or the Prospectus. To the extent applicable, all disclosures contained in the Registration Statement, the Pricing Disclosure Package or the Prospectus, if any, regarding “non-GAAP financial measures” (as such term is defined by the rules and regulations of the Commission) comply, in all material respects, with Regulation G under the Exchange Act and Item 10(e) of Regulation S-K under the Securities Act.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No Material Adverse Change in Business</w:t>
      </w:r>
      <w:r>
        <w:rPr>
          <w:rFonts w:ascii="Times New Roman;Times;Serif" w:hAnsi="Times New Roman;Times;Serif"/>
          <w:b w:val="false"/>
          <w:i w:val="false"/>
          <w:caps w:val="false"/>
          <w:smallCaps w:val="false"/>
          <w:sz w:val="20"/>
        </w:rPr>
        <w:t>. Since the respective dates as of which information is given in the Registration Statement, the Pricing Disclosure Package and the Prospectus, except as otherwise stated therein, (A) there has been no material adverse effect, or any development that would reasonably be expected to result in a material adverse effect, (i) on the general affairs, condition (financial or otherwise), business, properties, prospects, management, financial position, shareholders’ equity, assets, liabilities or results of operations, of the Company and its subsidiaries (as defined in Rule 405) (the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considered as one enterprise, whether or not arising in the ordinary course of business or (ii) in the ability of the Company to perform its obligations under, and to consummate the transactions contemplated by, this Agreement (each of (i) and (ii)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(B) there has not been any change in the capital stock, short-term debt or long-term debt of the Company or any of the Subsidiaries, (C) there have been no transactions entered into by, and no obligations or liabilities, contingent or otherwise, incurred by the Company or any of the Subsidiaries, whether or not in the ordinary course of business, which are material to the Company and the Subsidiaries, considered as one enterprise, (D) the Company has not purchased any of its outstanding capital stock and there has been no dividend or distribution of any kind declared, paid or made by the Company on any class of its capital stock or (E) there has been no material loss or interference with the Company’s business from fire, explosion, flood or other calamity, whether or not covered by insurance, or from any labor dispute or court or governmental action, order or decree, in each case, otherwise than as set forth or contemplated in the Registration Statement, the Pricing Disclosure Package and the Prospectus.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val="false"/>
          <w:caps w:val="false"/>
          <w:smallCaps w:val="false"/>
          <w:sz w:val="20"/>
          <w:u w:val="single"/>
        </w:rPr>
        <w:t>Good Standing of the Company</w:t>
      </w:r>
      <w:r>
        <w:rPr>
          <w:rFonts w:ascii="Times New Roman;Times;Serif" w:hAnsi="Times New Roman;Times;Serif"/>
          <w:b w:val="false"/>
          <w:i w:val="false"/>
          <w:caps w:val="false"/>
          <w:smallCaps w:val="false"/>
          <w:sz w:val="20"/>
        </w:rPr>
        <w:t>. The Company has been duly organized and is validly existing as a corporation in good standing under the laws of the State of California and has corporate power and authority to own, lease and operate its properties and to conduct its business as described in the Registration Statement, the Pricing Disclosure Package and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to be in good standing would not reasonably be expected to result in a Material Adverse Effect.</w:t>
      </w:r>
    </w:p>
    <w:p>
      <w:pPr>
        <w:pStyle w:val="TextBody"/>
        <w:bidi w:val="0"/>
        <w:spacing w:before="0" w:after="0"/>
        <w:jc w:val="center"/>
        <w:rPr>
          <w:bdr w:val="single" w:sz="16" w:space="6" w:color="DCDCDC"/>
        </w:rPr>
      </w:pPr>
      <w:r>
        <w:rPr>
          <w:bdr w:val="single" w:sz="16" w:space="6" w:color="DCDCDC"/>
        </w:rPr>
        <w:t>5</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Good Standing of Subsidiaries</w:t>
      </w:r>
      <w:r>
        <w:rPr>
          <w:rFonts w:ascii="Times New Roman;Times;Serif" w:hAnsi="Times New Roman;Times;Serif"/>
          <w:b w:val="false"/>
          <w:i w:val="false"/>
          <w:caps w:val="false"/>
          <w:smallCaps w:val="false"/>
          <w:sz w:val="20"/>
        </w:rPr>
        <w:t>. Five Star Bank (the “</w:t>
      </w:r>
      <w:r>
        <w:rPr>
          <w:rFonts w:ascii="Times New Roman;Times;Serif" w:hAnsi="Times New Roman;Times;Serif"/>
          <w:b/>
          <w:i w:val="false"/>
          <w:caps w:val="false"/>
          <w:smallCaps w:val="false"/>
          <w:sz w:val="20"/>
        </w:rPr>
        <w:t>Bank</w:t>
      </w:r>
      <w:r>
        <w:rPr>
          <w:rFonts w:ascii="Times New Roman;Times;Serif" w:hAnsi="Times New Roman;Times;Serif"/>
          <w:b w:val="false"/>
          <w:i w:val="false"/>
          <w:caps w:val="false"/>
          <w:smallCaps w:val="false"/>
          <w:sz w:val="20"/>
        </w:rPr>
        <w:t>”) is a bank chartered under the laws of the State of California and the charter of the Bank is in full force and effect. The Bank is the only Subsidiary of the Company. The Bank has been duly organized and is validly existing as a corporation or other organization in good standing under the laws of the jurisdiction of its incorporation, formation or organization, has the requisite corporate or organizational power and authority to own, lease and operate its properties and to conduct its business as described in the Registration Statement, the Pricing Disclosure Package and the Prospectus and is duly qualified as a foreign corporation or other business entity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to result in a Material Adverse Effect. Except as otherwise disclosed in the Registration Statement, the Pricing Disclosure Package and the Prospectus, all of the issued and outstanding capital stock of the Bank has been duly authorized and validly issued, is fully paid and non-assessable and is owned by the Company, free and clear of any security interest, mortgage, pledge, lien, encumbrance, claim or equity; none of the outstanding shares of capital stock of the Bank was issued in violation of the preemptive or similar rights of any securityholder of the Bank arising by operation of law, or under the articles of incorporation, bylaws, charter or other organizational documents of the Company or the Bank or under any agreement to which the Company or the Bank is a party. Except for the Bank, the Company does not own beneficially, directly or indirectly, more than five percent (5%) of any class of equity securities or similar interests in any corporation, business trust, association or similar organization, and is not, directly or indirectly, a partner in any partnership or party to any joint venture.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authorized, issued and outstanding capital stock of the Company is as set forth in the Registration Statement, the Pricing Disclosure Package and the Prospectus in the column entitled “Actual” under the caption “Capitalization” (except for subsequent issuances, if any, pursuant to this Agreement, pursuant to reservations, agreements or employee benefit plans referred to in the Registration Statement, the Pricing Disclosure Package and the Prospectus or pursuant to the exercise of convertible securities or options referred to in the Registration Statement, the Pricing Disclosure Package and the Prospectus). The shares of issued and outstanding capital stock of the Company have been duly authorized and validly issued and are fully paid and non-assessable; none of the outstanding shares of capital stock of the Company was issued in violation of the preemptive rights, rights of first refusal or other similar rights of any securityholder of the Company arising by operation of law, or under the articles of incorporation, bylaws or other organizational documents of the Company or any Subsidiary or under any agreement to which the Company or any Subsidiary is a party.</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w:t>
      </w:r>
      <w:r>
        <w:rPr>
          <w:rFonts w:ascii="Times New Roman;Times;Serif" w:hAnsi="Times New Roman;Times;Serif"/>
          <w:b w:val="false"/>
          <w:i w:val="false"/>
          <w:caps w:val="false"/>
          <w:smallCaps w:val="false"/>
          <w:sz w:val="20"/>
          <w:u w:val="single"/>
        </w:rPr>
        <w:t>Company Equity Awards</w:t>
      </w:r>
      <w:r>
        <w:rPr>
          <w:rFonts w:ascii="Times New Roman;Times;Serif" w:hAnsi="Times New Roman;Times;Serif"/>
          <w:b w:val="false"/>
          <w:i w:val="false"/>
          <w:caps w:val="false"/>
          <w:smallCaps w:val="false"/>
          <w:sz w:val="20"/>
        </w:rPr>
        <w:t>. With respect to any stock options, restricted stock, restricted stock units, performance-based equity awards or other equity or equity-based awards (the “</w:t>
      </w:r>
      <w:r>
        <w:rPr>
          <w:rFonts w:ascii="Times New Roman;Times;Serif" w:hAnsi="Times New Roman;Times;Serif"/>
          <w:b/>
          <w:i w:val="false"/>
          <w:caps w:val="false"/>
          <w:smallCaps w:val="false"/>
          <w:sz w:val="20"/>
        </w:rPr>
        <w:t>Equity Awards</w:t>
      </w:r>
      <w:r>
        <w:rPr>
          <w:rFonts w:ascii="Times New Roman;Times;Serif" w:hAnsi="Times New Roman;Times;Serif"/>
          <w:b w:val="false"/>
          <w:i w:val="false"/>
          <w:caps w:val="false"/>
          <w:smallCaps w:val="false"/>
          <w:sz w:val="20"/>
        </w:rPr>
        <w:t>”) granted pursuant to any compensation or incentive plan of the Company or its Subsidiaries providing for the issuance of Equity Awards (the “</w:t>
      </w:r>
      <w:r>
        <w:rPr>
          <w:rFonts w:ascii="Times New Roman;Times;Serif" w:hAnsi="Times New Roman;Times;Serif"/>
          <w:b/>
          <w:i w:val="false"/>
          <w:caps w:val="false"/>
          <w:smallCaps w:val="false"/>
          <w:sz w:val="20"/>
        </w:rPr>
        <w:t>Company Plans</w:t>
      </w:r>
      <w:r>
        <w:rPr>
          <w:rFonts w:ascii="Times New Roman;Times;Serif" w:hAnsi="Times New Roman;Times;Serif"/>
          <w:b w:val="false"/>
          <w:i w:val="false"/>
          <w:caps w:val="false"/>
          <w:smallCaps w:val="false"/>
          <w:sz w:val="20"/>
        </w:rPr>
        <w:t>”), (A) each grant of an Equity Award was duly authorized no later than the date on which the grant of such Equity Award was by its terms to be effective by all necessary corporate action, and (B) each such grant was made in accordance with the terms of the Company Plans and in material compliance with all other applicable laws and regulatory rules or requirements.</w:t>
      </w:r>
    </w:p>
    <w:p>
      <w:pPr>
        <w:pStyle w:val="TextBody"/>
        <w:bidi w:val="0"/>
        <w:spacing w:before="0" w:after="0"/>
        <w:jc w:val="center"/>
        <w:rPr>
          <w:bdr w:val="single" w:sz="16" w:space="6" w:color="DCDCDC"/>
        </w:rPr>
      </w:pPr>
      <w:r>
        <w:rPr>
          <w:bdr w:val="single" w:sz="16" w:space="6" w:color="DCDCDC"/>
        </w:rPr>
        <w:t>6</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w:t>
      </w:r>
      <w:r>
        <w:rPr>
          <w:rFonts w:ascii="Times New Roman;Times;Serif" w:hAnsi="Times New Roman;Times;Serif"/>
          <w:b w:val="false"/>
          <w:i w:val="false"/>
          <w:caps w:val="false"/>
          <w:smallCaps w:val="false"/>
          <w:sz w:val="20"/>
          <w:u w:val="single"/>
        </w:rPr>
        <w:t>Authorization of Agreement</w:t>
      </w:r>
      <w:r>
        <w:rPr>
          <w:rFonts w:ascii="Times New Roman;Times;Serif" w:hAnsi="Times New Roman;Times;Serif"/>
          <w:b w:val="false"/>
          <w:i w:val="false"/>
          <w:caps w:val="false"/>
          <w:smallCaps w:val="false"/>
          <w:sz w:val="20"/>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 This Agreement has been duly authorized, executed and delivered by the Company.</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w:t>
      </w:r>
      <w:r>
        <w:rPr>
          <w:rFonts w:ascii="Times New Roman;Times;Serif" w:hAnsi="Times New Roman;Times;Serif"/>
          <w:b w:val="false"/>
          <w:i w:val="false"/>
          <w:caps w:val="false"/>
          <w:smallCaps w:val="false"/>
          <w:sz w:val="20"/>
          <w:u w:val="single"/>
        </w:rPr>
        <w:t>Securities Offerings</w:t>
      </w:r>
      <w:r>
        <w:rPr>
          <w:rFonts w:ascii="Times New Roman;Times;Serif" w:hAnsi="Times New Roman;Times;Serif"/>
          <w:b w:val="false"/>
          <w:i w:val="false"/>
          <w:caps w:val="false"/>
          <w:smallCaps w:val="false"/>
          <w:sz w:val="20"/>
        </w:rPr>
        <w:t>. All offers and sales of the Company’s capital stock and debt or other securities by the Company prior to the date hereof were made in compliance with or were the subject of an available exemption from the Securities Act and the Securities Act Regulations and all other applicable state and federal laws or regulations, or any actions under the Securities Act and the Securities Act Regulations or any state or federal laws or regulations in respect of any such offers or sales are effectively barred by effective waivers or statutes of limitation.</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                </w:t>
      </w:r>
      <w:r>
        <w:rPr>
          <w:rFonts w:ascii="Times New Roman;Times;Serif" w:hAnsi="Times New Roman;Times;Serif"/>
          <w:b w:val="false"/>
          <w:i w:val="false"/>
          <w:caps w:val="false"/>
          <w:smallCaps w:val="false"/>
          <w:sz w:val="20"/>
          <w:u w:val="single"/>
        </w:rPr>
        <w:t>Authorization and Description of Shares</w:t>
      </w:r>
      <w:r>
        <w:rPr>
          <w:rFonts w:ascii="Times New Roman;Times;Serif" w:hAnsi="Times New Roman;Times;Serif"/>
          <w:b w:val="false"/>
          <w:i w:val="false"/>
          <w:caps w:val="false"/>
          <w:smallCaps w:val="false"/>
          <w:sz w:val="20"/>
        </w:rPr>
        <w:t>. The Shares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the Common Stock will conform, in all material respects, to all statements relating thereto contained in the Registration Statement, the Pricing Disclosure Package and the Prospectus and such statements conform, in all material respects, to the rights set forth in the instruments defining the same; no holder of the Shares will be subject to personal liability for the debts of the Company by reason of being such a holder; and the issuance of the Shares is not subject to the preemptive rights, rights of first refusal or other similar rights of any securityholder of the Company. There are no authorized or outstanding options, warrants, preemptive rights, rights of first refusal or other rights to purchase, or equity or debt securities convertible into or exchangeable or exercisable for, any capital stock of the Company or any of the Subsidiaries other than those described in the Registration Statement, the Pricing Disclosure Package and the Prospectus. The descriptions of the Company’s stock bonus and other stock plans or arrangements, and the rights granted thereunder, set forth in the Registration Statement, the Pricing Disclosure Package and the Prospectus accurately and fairly present, in all material respects, the information required to be shown with respect to such plans, arrangements and rights.</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There are no contracts, agreements or understandings between the Company and any person granting such person registration rights or other similar rights to have any securities registered for resale pursuant to the Registration Statement or otherwise registered for resale or sold by the Company under the Securities Act pursuant to this Agreement other than any rights that have been disclosed in the Registration Statement, the Pricing Disclosure Package and the Prospectus and have been waived.</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w:t>
      </w:r>
      <w:r>
        <w:rPr>
          <w:rFonts w:ascii="Times New Roman;Times;Serif" w:hAnsi="Times New Roman;Times;Serif"/>
          <w:b w:val="false"/>
          <w:i w:val="false"/>
          <w:caps w:val="false"/>
          <w:smallCaps w:val="false"/>
          <w:sz w:val="20"/>
          <w:u w:val="single"/>
        </w:rPr>
        <w:t>Summaries of Legal Matters</w:t>
      </w:r>
      <w:r>
        <w:rPr>
          <w:rFonts w:ascii="Times New Roman;Times;Serif" w:hAnsi="Times New Roman;Times;Serif"/>
          <w:b w:val="false"/>
          <w:i w:val="false"/>
          <w:caps w:val="false"/>
          <w:smallCaps w:val="false"/>
          <w:sz w:val="20"/>
        </w:rPr>
        <w:t>. The statements set forth in the Registration Statement, the Pricing Disclosure Package and the Prospectus under the captions “Description of Common Stock” and “Supervision and Regulation,” insofar as they purport to describe the provisions of the laws and regulations or documents referred to therein, are accurate, complete and fair in all material respects.</w:t>
      </w:r>
    </w:p>
    <w:p>
      <w:pPr>
        <w:pStyle w:val="TextBody"/>
        <w:bidi w:val="0"/>
        <w:spacing w:before="0" w:after="0"/>
        <w:jc w:val="center"/>
        <w:rPr>
          <w:bdr w:val="single" w:sz="16" w:space="6" w:color="DCDCDC"/>
        </w:rPr>
      </w:pPr>
      <w:r>
        <w:rPr>
          <w:bdr w:val="single" w:sz="16" w:space="6" w:color="DCDCDC"/>
        </w:rPr>
        <w:t>7</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w:t>
      </w:r>
      <w:r>
        <w:rPr>
          <w:rFonts w:ascii="Times New Roman;Times;Serif" w:hAnsi="Times New Roman;Times;Serif"/>
          <w:b w:val="false"/>
          <w:i w:val="false"/>
          <w:caps w:val="false"/>
          <w:smallCaps w:val="false"/>
          <w:sz w:val="20"/>
          <w:u w:val="single"/>
        </w:rPr>
        <w:t>Absence of Defaults and Conflicts</w:t>
      </w:r>
      <w:r>
        <w:rPr>
          <w:rFonts w:ascii="Times New Roman;Times;Serif" w:hAnsi="Times New Roman;Times;Serif"/>
          <w:b w:val="false"/>
          <w:i w:val="false"/>
          <w:caps w:val="false"/>
          <w:smallCaps w:val="false"/>
          <w:sz w:val="20"/>
        </w:rPr>
        <w:t>. The Company is not in violation of its Articles of Incorporation, as amended (the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or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none of the Subsidiaries, including the Bank, is in violation of its charter, bylaws or other organizational documents and neither the Company nor any of its Subsidiaries is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Subsidiary is subject (collectively, “</w:t>
      </w:r>
      <w:r>
        <w:rPr>
          <w:rFonts w:ascii="Times New Roman;Times;Serif" w:hAnsi="Times New Roman;Times;Serif"/>
          <w:b/>
          <w:i w:val="false"/>
          <w:caps w:val="false"/>
          <w:smallCaps w:val="false"/>
          <w:sz w:val="20"/>
        </w:rPr>
        <w:t>Agreements and Instruments</w:t>
      </w:r>
      <w:r>
        <w:rPr>
          <w:rFonts w:ascii="Times New Roman;Times;Serif" w:hAnsi="Times New Roman;Times;Serif"/>
          <w:b w:val="false"/>
          <w:i w:val="false"/>
          <w:caps w:val="false"/>
          <w:smallCaps w:val="false"/>
          <w:sz w:val="20"/>
        </w:rPr>
        <w:t>”), or in violation of any law or statute or any judgment, order, rule or regulation of any court or arbitrator or governmental or regulatory authority, except for such violations or defaults that would not, individually or in the aggregate, reasonably be expected to result in a Material Adverse Effect; and the execution, delivery and performance of this Agreement and the consummation of the transactions contemplated herein and therein, and in the Registration Statement (including the issuance and sale of the Shares and the use of the proceeds from the sale of the Shares as described in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(except for such conflicts, breaches or defaults or liens, charges or encumbrances that would not, individually or in the aggregate, reasonably be expected to result in a Material Adverse Effect); nor will such action result in any violation of the provisions of the Charter or Bylaws of the Company or the charter, bylaws or other organizational document of any Subsidiary; nor will such action result in any violation of any applicable law, statute, rule, regulation, judgment, order, writ or decree of any government, government instrumentality or court, domestic or foreign, having jurisdiction over the Company or any Subsidiary or any of their assets, properties or operations (except for such violations that would not, individually or in the aggregate, reasonably be expected to result in a Material Adverse Effect). As used herein, a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w:t>
      </w:r>
      <w:r>
        <w:rPr>
          <w:rFonts w:ascii="Times New Roman;Times;Serif" w:hAnsi="Times New Roman;Times;Serif"/>
          <w:b w:val="false"/>
          <w:i w:val="false"/>
          <w:caps w:val="false"/>
          <w:smallCaps w:val="false"/>
          <w:sz w:val="20"/>
          <w:u w:val="single"/>
        </w:rPr>
        <w:t>Nasdaq Compliance</w:t>
      </w:r>
      <w:r>
        <w:rPr>
          <w:rFonts w:ascii="Times New Roman;Times;Serif" w:hAnsi="Times New Roman;Times;Serif"/>
          <w:b w:val="false"/>
          <w:i w:val="false"/>
          <w:caps w:val="false"/>
          <w:smallCaps w:val="false"/>
          <w:sz w:val="20"/>
        </w:rPr>
        <w:t>. The Common Stock is registered pursuant to Section 12(b) or 12(g) of the Exchange Act and is listed on The Nasdaq Global Select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The Company has taken no action designed to, or likely to have the effect of, terminating the registration of the Common Stock under the Exchange Act or the listing of the Common Stock on Nasdaq, nor has the Company received any notification that the Commission or Nasdaq is contemplating terminating such registration or listing approval. The transactions contemplated by this Agreement will not contravene the rules or regulations of Nasdaq.</w:t>
      </w:r>
    </w:p>
    <w:p>
      <w:pPr>
        <w:pStyle w:val="TextBody"/>
        <w:bidi w:val="0"/>
        <w:spacing w:before="0" w:after="0"/>
        <w:jc w:val="center"/>
        <w:rPr>
          <w:bdr w:val="single" w:sz="16" w:space="6" w:color="DCDCDC"/>
        </w:rPr>
      </w:pPr>
      <w:r>
        <w:rPr>
          <w:bdr w:val="single" w:sz="16" w:space="6" w:color="DCDCDC"/>
        </w:rPr>
        <w:t>8</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Absence of Labor Dispute</w:t>
      </w:r>
      <w:r>
        <w:rPr>
          <w:rFonts w:ascii="Times New Roman;Times;Serif" w:hAnsi="Times New Roman;Times;Serif"/>
          <w:b w:val="false"/>
          <w:i w:val="false"/>
          <w:caps w:val="false"/>
          <w:smallCaps w:val="false"/>
          <w:sz w:val="20"/>
        </w:rPr>
        <w:t>. No labor dispute with the employees of the Company or any Subsidiary exists or, to the knowledge of the Company, is imminent. The Company is not aware of any existing or imminent labor disturbance by the employees of any of its or any Subsidiary’s principal suppliers, manufacturers, customers or contractors, which, in either case, would, individually or in the aggregate, reasonably be expected to result in a Material Adverse Effect. Neither the Company nor any Subsidiary is engaged in any unfair labor practice; except for matters which would not, individually or in the aggregate, reasonably be expected to have a Material Adverse Effect, (A) there is (1) no unfair labor practice complaint pending or, to the Company’s knowledge, threatened against the Company or any Subsidiary before the National Labor Relations Board or any similar domestic or foreign body, and no grievance or arbitration proceeding arising out of or under collective bargaining agreements is pending or, to the Company’s knowledge, threatened, (2) no strike, labor dispute, slowdown or stoppage pending or, to the Company’s knowledge, threatened against the Company or any Subsidiary and (3) no union representation dispute currently existing concerning the employees of the Company or any Subsidiary, (B) to the Company’s knowledge, no union organizing activities are currently taking place concerning the employees of the Company or any Subsidiary and (C) there has been no violation of any federal, state, local or foreign law relating to discrimination in the hiring, promotion or pay of employees, any applicable wage or hour laws or any provision of the Employee Retirement Income Security Act of 1974, as amended, and the regulations and published interpretations thereunder (collectively,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or any similar domestic or foreign law or the rules and regulations promulgated thereunder concerning the employees of the Company or any Subsidiary.</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w:t>
      </w:r>
      <w:r>
        <w:rPr>
          <w:rFonts w:ascii="Times New Roman;Times;Serif" w:hAnsi="Times New Roman;Times;Serif"/>
          <w:b w:val="false"/>
          <w:i w:val="false"/>
          <w:caps w:val="false"/>
          <w:smallCaps w:val="false"/>
          <w:sz w:val="20"/>
          <w:u w:val="single"/>
        </w:rPr>
        <w:t>Absence of Proceedings</w:t>
      </w:r>
      <w:r>
        <w:rPr>
          <w:rFonts w:ascii="Times New Roman;Times;Serif" w:hAnsi="Times New Roman;Times;Serif"/>
          <w:b w:val="false"/>
          <w:i w:val="false"/>
          <w:caps w:val="false"/>
          <w:smallCaps w:val="false"/>
          <w:sz w:val="20"/>
        </w:rPr>
        <w:t>. There is no action, suit, proceeding, inquiry or investigation before or brought by any court or governmental agency or body, domestic or foreign, now pending, or, to the knowledge of the Company, threatened, against or affecting the Company or any Subsidiary, which is required to be disclosed in the Registration Statement, Pricing Disclosure Package and Prospectus (other than as disclosed therein), or which, if determined adversely to the Company or any Subsidiary, individually or in the aggregate, would reasonably be expected to result in a Material Adverse Effect, nor to the Company’s knowledge, is there any basis for any such action, suit, inquiry, proceeding or investigation; the aggregate of all pending legal or governmental proceedings to which the Company or any Subsidiary is a party or of which any of their respective property or assets is the subject which are not described in the Registration Statement, Pricing Disclosure Package and Prospectus, including ordinary routine litigation incidental to the business, if determined adversely to the Company or any Subsidiary, individually or in the aggregate, would not reasonably be expected to result in a Material Adverse Effect.</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The Company has been duly registered as, and meets in all material respects the applicable requirements for qualification as, a bank holding company under the applicable provisions of the Bank Holding Company Act of 1956, as amended. The activities of the Company are permitted of a bank holding company under applicable law and the rules and regulations of the Board of Governors of the Federal Reserve System (“</w:t>
      </w:r>
      <w:r>
        <w:rPr>
          <w:rFonts w:ascii="Times New Roman;Times;Serif" w:hAnsi="Times New Roman;Times;Serif"/>
          <w:b/>
          <w:i w:val="false"/>
          <w:caps w:val="false"/>
          <w:smallCaps w:val="false"/>
          <w:sz w:val="20"/>
        </w:rPr>
        <w:t>Federal Reserve</w:t>
      </w:r>
      <w:r>
        <w:rPr>
          <w:rFonts w:ascii="Times New Roman;Times;Serif" w:hAnsi="Times New Roman;Times;Serif"/>
          <w:b w:val="false"/>
          <w:i w:val="false"/>
          <w:caps w:val="false"/>
          <w:smallCaps w:val="false"/>
          <w:sz w:val="20"/>
        </w:rPr>
        <w:t>”) set forth in Title 12 of the Code of Federal Regulations.</w:t>
      </w:r>
    </w:p>
    <w:p>
      <w:pPr>
        <w:pStyle w:val="TextBody"/>
        <w:bidi w:val="0"/>
        <w:spacing w:before="0" w:after="0"/>
        <w:jc w:val="center"/>
        <w:rPr>
          <w:bdr w:val="single" w:sz="16" w:space="6" w:color="DCDCDC"/>
        </w:rPr>
      </w:pPr>
      <w:r>
        <w:rPr>
          <w:bdr w:val="single" w:sz="16" w:space="6" w:color="DCDCDC"/>
        </w:rPr>
        <w:t>9</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w:t>
      </w:r>
      <w:r>
        <w:rPr>
          <w:rFonts w:ascii="Times New Roman;Times;Serif" w:hAnsi="Times New Roman;Times;Serif"/>
          <w:b w:val="false"/>
          <w:i w:val="false"/>
          <w:caps w:val="false"/>
          <w:smallCaps w:val="false"/>
          <w:sz w:val="20"/>
          <w:u w:val="single"/>
        </w:rPr>
        <w:t>Compliance with Bank Regulatory Authorities</w:t>
      </w:r>
      <w:r>
        <w:rPr>
          <w:rFonts w:ascii="Times New Roman;Times;Serif" w:hAnsi="Times New Roman;Times;Serif"/>
          <w:b w:val="false"/>
          <w:i w:val="false"/>
          <w:caps w:val="false"/>
          <w:smallCaps w:val="false"/>
          <w:sz w:val="20"/>
        </w:rPr>
        <w:t>. The Company and the Bank are in compliance in all material respects with all applicable laws, rules and regulations, including, without limitation, all applicable regulations and orders of, or agreements with, the Federal Reserve , the Federal Deposit Insurance Corporation (“</w:t>
      </w:r>
      <w:r>
        <w:rPr>
          <w:rFonts w:ascii="Times New Roman;Times;Serif" w:hAnsi="Times New Roman;Times;Serif"/>
          <w:b/>
          <w:i w:val="false"/>
          <w:caps w:val="false"/>
          <w:smallCaps w:val="false"/>
          <w:sz w:val="20"/>
        </w:rPr>
        <w:t>FDIC</w:t>
      </w:r>
      <w:r>
        <w:rPr>
          <w:rFonts w:ascii="Times New Roman;Times;Serif" w:hAnsi="Times New Roman;Times;Serif"/>
          <w:b w:val="false"/>
          <w:i w:val="false"/>
          <w:caps w:val="false"/>
          <w:smallCaps w:val="false"/>
          <w:sz w:val="20"/>
        </w:rPr>
        <w:t>”), and the California Department of Financial Protection and Innovation, Division of Financial Institutions (the “</w:t>
      </w:r>
      <w:r>
        <w:rPr>
          <w:rFonts w:ascii="Times New Roman;Times;Serif" w:hAnsi="Times New Roman;Times;Serif"/>
          <w:b/>
          <w:i w:val="false"/>
          <w:caps w:val="false"/>
          <w:smallCaps w:val="false"/>
          <w:sz w:val="20"/>
        </w:rPr>
        <w:t>DFPI</w:t>
      </w:r>
      <w:r>
        <w:rPr>
          <w:rFonts w:ascii="Times New Roman;Times;Serif" w:hAnsi="Times New Roman;Times;Serif"/>
          <w:b w:val="false"/>
          <w:i w:val="false"/>
          <w:caps w:val="false"/>
          <w:smallCaps w:val="false"/>
          <w:sz w:val="20"/>
        </w:rPr>
        <w:t>”), as applicable (collectively, the “</w:t>
      </w:r>
      <w:r>
        <w:rPr>
          <w:rFonts w:ascii="Times New Roman;Times;Serif" w:hAnsi="Times New Roman;Times;Serif"/>
          <w:b/>
          <w:i w:val="false"/>
          <w:caps w:val="false"/>
          <w:smallCaps w:val="false"/>
          <w:sz w:val="20"/>
        </w:rPr>
        <w:t>Bank Regulatory Authorities</w:t>
      </w:r>
      <w:r>
        <w:rPr>
          <w:rFonts w:ascii="Times New Roman;Times;Serif" w:hAnsi="Times New Roman;Times;Serif"/>
          <w:b w:val="false"/>
          <w:i w:val="false"/>
          <w:caps w:val="false"/>
          <w:smallCaps w:val="false"/>
          <w:sz w:val="20"/>
        </w:rPr>
        <w:t>”), the Equal Credit Opportunity Act, the Fair Housing Act, the Truth in Lending Act, the Community Reinvestment Act (the “</w:t>
      </w:r>
      <w:r>
        <w:rPr>
          <w:rFonts w:ascii="Times New Roman;Times;Serif" w:hAnsi="Times New Roman;Times;Serif"/>
          <w:b/>
          <w:i w:val="false"/>
          <w:caps w:val="false"/>
          <w:smallCaps w:val="false"/>
          <w:sz w:val="20"/>
        </w:rPr>
        <w:t>CRA</w:t>
      </w:r>
      <w:r>
        <w:rPr>
          <w:rFonts w:ascii="Times New Roman;Times;Serif" w:hAnsi="Times New Roman;Times;Serif"/>
          <w:b w:val="false"/>
          <w:i w:val="false"/>
          <w:caps w:val="false"/>
          <w:smallCaps w:val="false"/>
          <w:sz w:val="20"/>
        </w:rPr>
        <w:t>”), the Home Mortgage Disclosure Act, the Bank Secrecy Act of 1970 (“</w:t>
      </w:r>
      <w:r>
        <w:rPr>
          <w:rFonts w:ascii="Times New Roman;Times;Serif" w:hAnsi="Times New Roman;Times;Serif"/>
          <w:b/>
          <w:i w:val="false"/>
          <w:caps w:val="false"/>
          <w:smallCaps w:val="false"/>
          <w:sz w:val="20"/>
        </w:rPr>
        <w:t>Bank Secrecy Act</w:t>
      </w:r>
      <w:r>
        <w:rPr>
          <w:rFonts w:ascii="Times New Roman;Times;Serif" w:hAnsi="Times New Roman;Times;Serif"/>
          <w:b w:val="false"/>
          <w:i w:val="false"/>
          <w:caps w:val="false"/>
          <w:smallCaps w:val="false"/>
          <w:sz w:val="20"/>
        </w:rPr>
        <w:t>”), as amended by Title III of the Uniting and Strengthening America by Providing Appropriate Tools Required to Intercept and Obstruct Terrorism Act of 2001 (“</w:t>
      </w:r>
      <w:r>
        <w:rPr>
          <w:rFonts w:ascii="Times New Roman;Times;Serif" w:hAnsi="Times New Roman;Times;Serif"/>
          <w:b/>
          <w:i w:val="false"/>
          <w:caps w:val="false"/>
          <w:smallCaps w:val="false"/>
          <w:sz w:val="20"/>
        </w:rPr>
        <w:t>USA Patriot Act</w:t>
      </w:r>
      <w:r>
        <w:rPr>
          <w:rFonts w:ascii="Times New Roman;Times;Serif" w:hAnsi="Times New Roman;Times;Serif"/>
          <w:b w:val="false"/>
          <w:i w:val="false"/>
          <w:caps w:val="false"/>
          <w:smallCaps w:val="false"/>
          <w:sz w:val="20"/>
        </w:rPr>
        <w:t>”), to the extent such laws or regulations apply to the Company or the Bank, as applicable. The Company has no knowledge of any facts and circumstances, and has no reason to believe that any facts or circumstances exist, that could cause the Bank (A) to be deemed not to be in satisfactory compliance with the CRA and the regulations promulgated thereunder or to be assigned a CRA rating by federal or state banking regulators of lower than “satisfactory,” or (B) to be deemed to be operating in violation, in any material respect, of the Bank Secrecy Act, the USA Patriot Act or any order issued with respect to the Anti-Money Laundering Laws (as defined below). As of December 31, 2025, the Bank met or exceeded the standards necessary to be considered “well capitalized” under the regulatory framework for prompt corrective action of the FDIC. The Bank has been duly chartered, is validly existing under the laws of the State of California and holds the requisite authority to do business as a state-chartered bank with banking powers under the laws of the State of California. The Bank is the only depository institution subsidiary of the Company and the Bank is a member in good standing of the Federal Home Loan Bank System. The activities of the Bank are permitted under the laws and regulations of the State of California. Since December 31, 2018, the Company and the Bank have filed all material reports, registrations and statements, together with any required amendments thereto, that it was required to file with the Federal Reserve, the FDIC, the DFPI, and any other applicable federal or state banking authorities. All such reports and statements filed with any such regulatory body or authority are collectively referred to herein as the “</w:t>
      </w:r>
      <w:r>
        <w:rPr>
          <w:rFonts w:ascii="Times New Roman;Times;Serif" w:hAnsi="Times New Roman;Times;Serif"/>
          <w:b/>
          <w:i w:val="false"/>
          <w:caps w:val="false"/>
          <w:smallCaps w:val="false"/>
          <w:sz w:val="20"/>
        </w:rPr>
        <w:t>Company Reports</w:t>
      </w:r>
      <w:r>
        <w:rPr>
          <w:rFonts w:ascii="Times New Roman;Times;Serif" w:hAnsi="Times New Roman;Times;Serif"/>
          <w:b w:val="false"/>
          <w:i w:val="false"/>
          <w:caps w:val="false"/>
          <w:smallCaps w:val="false"/>
          <w:sz w:val="20"/>
        </w:rPr>
        <w:t>.” As of their respective dates, the Company Reports, as amended, complied as to form in all material respects with all the rules and regulations promulgated by the Federal Reserve, the FDIC and any other applicable federal or state banking authorities, as the case may be. Except as disclosed in the Registration Statement, the Pricing Disclosure Package and the Prospectus, neither the Company nor the Bank is currently a party or subject to any formal or informal agreement, memorandum of understanding, consent decree, directive, cease-and-desist order, order of prohibition or suspension, written commitment, supervisory agreement or other written statement as described under 12 U.S.C. 1818(u) with, or order issued by, or has adopted any currently effective board resolutions at the request of, the Federal Reserve, the FDIC, the DFPI or any other applicable federal or state bank regulatory authority that restricts materially the conduct of its business, or in any manner relates to its capital adequacy, its credit policies or its management, nor have any of them been advised by any Bank Regulatory Authority that it is contemplating issuing or requesting (or is considering the appropriateness of issuing or requesting) any such order, decree, agreement, memorandum of understanding, extraordinary supervisory letter, commitment letter or similar submission, or any such board resolutions or that imposes any restrictions or requirements not generally applicable to bank holding companies or commercial banks. There is no unresolved violation, criticism or exception by any Bank Regulatory Authority with respect to any examination of the Company or the Bank which might reasonably be expected to result in a Material Adverse Effect.</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w:t>
      </w:r>
      <w:r>
        <w:rPr>
          <w:rFonts w:ascii="Times New Roman;Times;Serif" w:hAnsi="Times New Roman;Times;Serif"/>
          <w:b w:val="false"/>
          <w:i w:val="false"/>
          <w:caps w:val="false"/>
          <w:smallCaps w:val="false"/>
          <w:sz w:val="20"/>
          <w:u w:val="single"/>
        </w:rPr>
        <w:t>Accuracy of Exhibits</w:t>
      </w:r>
      <w:r>
        <w:rPr>
          <w:rFonts w:ascii="Times New Roman;Times;Serif" w:hAnsi="Times New Roman;Times;Serif"/>
          <w:b w:val="false"/>
          <w:i w:val="false"/>
          <w:caps w:val="false"/>
          <w:smallCaps w:val="false"/>
          <w:sz w:val="20"/>
        </w:rPr>
        <w:t>. There are no contracts or documents which are required to be described in the Registration Statement, the Pricing Disclosure Package, the Prospectus or the documents to be filed as exhibits thereto which have not been so described and filed as required.</w:t>
      </w:r>
    </w:p>
    <w:p>
      <w:pPr>
        <w:pStyle w:val="TextBody"/>
        <w:bidi w:val="0"/>
        <w:spacing w:before="0" w:after="0"/>
        <w:jc w:val="center"/>
        <w:rPr>
          <w:bdr w:val="single" w:sz="16" w:space="6" w:color="DCDCDC"/>
        </w:rPr>
      </w:pPr>
      <w:r>
        <w:rPr>
          <w:bdr w:val="single" w:sz="16" w:space="6" w:color="DCDCDC"/>
        </w:rPr>
        <w:t>10</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w:t>
      </w:r>
      <w:r>
        <w:rPr>
          <w:rFonts w:ascii="Times New Roman;Times;Serif" w:hAnsi="Times New Roman;Times;Serif"/>
          <w:b w:val="false"/>
          <w:i w:val="false"/>
          <w:caps w:val="false"/>
          <w:smallCaps w:val="false"/>
          <w:sz w:val="20"/>
          <w:u w:val="single"/>
        </w:rPr>
        <w:t>Absence of Further Requirements</w:t>
      </w:r>
      <w:r>
        <w:rPr>
          <w:rFonts w:ascii="Times New Roman;Times;Serif" w:hAnsi="Times New Roman;Times;Serif"/>
          <w:b w:val="false"/>
          <w:i w:val="false"/>
          <w:caps w:val="false"/>
          <w:smallCaps w:val="false"/>
          <w:sz w:val="20"/>
        </w:rPr>
        <w:t>. No filing with, or authorization, approval, consent, license, order, registration, qualification or decree of, any court or governmental agency or body is necessary or required for the performance by the Company of its obligations under this Agreement in connection with the offering, issuance or sale of the Shares or the consummation of the transactions contemplated in this Agreement prior to the Closing Date, except such as have been already obtained or as may be required under the Securities Act, the Securities Act Regulations, the rules of Nasdaq, the securities laws of any state or non-U.S. jurisdiction or the rules of FINRA. All of the information provided to the Underwriters or to counsel for the Underwriters by the Company, its counsel, and to the Company’s knowledge, its officers and directors and the holders of any securities (debt or equity) or options to acquire any securities of the Company in connection with the offering of the Shares is true, complete, correct and compliant with FINRA’s rules, in all material respects, and any letters, filings or other supplemental information provided to FINRA pursuant to FINRA Rules are true, complete and correct in all material respects.</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w:t>
      </w:r>
      <w:r>
        <w:rPr>
          <w:rFonts w:ascii="Times New Roman;Times;Serif" w:hAnsi="Times New Roman;Times;Serif"/>
          <w:b w:val="false"/>
          <w:i w:val="false"/>
          <w:caps w:val="false"/>
          <w:smallCaps w:val="false"/>
          <w:sz w:val="20"/>
          <w:u w:val="single"/>
        </w:rPr>
        <w:t>Possession of Licenses and Permits</w:t>
      </w:r>
      <w:r>
        <w:rPr>
          <w:rFonts w:ascii="Times New Roman;Times;Serif" w:hAnsi="Times New Roman;Times;Serif"/>
          <w:b w:val="false"/>
          <w:i w:val="false"/>
          <w:caps w:val="false"/>
          <w:smallCaps w:val="false"/>
          <w:sz w:val="20"/>
        </w:rPr>
        <w:t>. The Company and its Subsidiaries possess such permits, franchises, approvals, certificates, orders, qualifications, designations, filings, licenses, approvals, registrations, memberships, consents and other authorizations (collectively, “</w:t>
      </w:r>
      <w:r>
        <w:rPr>
          <w:rFonts w:ascii="Times New Roman;Times;Serif" w:hAnsi="Times New Roman;Times;Serif"/>
          <w:b/>
          <w:i w:val="false"/>
          <w:caps w:val="false"/>
          <w:smallCaps w:val="false"/>
          <w:sz w:val="20"/>
        </w:rPr>
        <w:t>Governmental Licenses</w:t>
      </w:r>
      <w:r>
        <w:rPr>
          <w:rFonts w:ascii="Times New Roman;Times;Serif" w:hAnsi="Times New Roman;Times;Serif"/>
          <w:b w:val="false"/>
          <w:i w:val="false"/>
          <w:caps w:val="false"/>
          <w:smallCaps w:val="false"/>
          <w:sz w:val="20"/>
        </w:rPr>
        <w:t>”) issued by the appropriate federal, state, local or foreign regulatory agencies or bodies necessary to conduct the business now operated by them; the Company and its Subsidiaries are in compliance with the terms and conditions of all such Governmental Licenses, except where the failure to so comply would not, individually or in the aggregate, reasonably be expected to have a Material Adverse Effect, and no event has occurred that allows, or after notice or lapse of time would allow, revocation or termination of any such Governmental License or result in any other material impairment of the rights of any such Governmental License; all of the Governmental Licenses are valid and in full force and effect; and neither the Company nor any of its Subsidiaries has received any notice of proceedings relating to the revocation or modification of any such Governmental Licenses. Neither the Company nor any of its Subsidiaries has failed to file with applicable regulatory authorities any material statement, report, information or form required by any applicable law, regulation or order, all such filings were in material compliance with applicable laws when filed and no material deficiencies have been asserted by any regulatory commission, agency or authority with respect to any such filings or submissions.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The Company and its Subsidiaries have good and marketable title in fee simple to all real property owned by the Company and its Subsidiaries and good title to all other properties owned by them, in each case, free and clear of all mortgages, pledges, liens, security interests, claims, restrictions or encumbrances of any kind except such as (A) are described in the Registration Statement, the Pricing Disclosure Package and the Prospectus or (B) do not materially affect the value of such property and do not interfere with the use made and proposed to be made of such property by the Company or any Subsidiary. All of the leases and subleases under which the Company or any of its Subsidiaries holds properties described in the Registration Statement, the Pricing Disclosure Package and the Prospectus, are in full force and effect and are held under valid, subsisting and enforceable leases, and neither the Company nor any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pStyle w:val="TextBody"/>
        <w:bidi w:val="0"/>
        <w:spacing w:before="0" w:after="0"/>
        <w:jc w:val="center"/>
        <w:rPr>
          <w:bdr w:val="single" w:sz="16" w:space="6" w:color="DCDCDC"/>
        </w:rPr>
      </w:pPr>
      <w:r>
        <w:rPr>
          <w:bdr w:val="single" w:sz="16" w:space="6" w:color="DCDCDC"/>
        </w:rPr>
        <w:t>11</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w:t>
      </w:r>
      <w:r>
        <w:rPr>
          <w:rFonts w:ascii="Times New Roman;Times;Serif" w:hAnsi="Times New Roman;Times;Serif"/>
          <w:b w:val="false"/>
          <w:i w:val="false"/>
          <w:caps w:val="false"/>
          <w:smallCaps w:val="false"/>
          <w:sz w:val="20"/>
          <w:u w:val="single"/>
        </w:rPr>
        <w:t>Possession of Intellectual Property</w:t>
      </w:r>
      <w:r>
        <w:rPr>
          <w:rFonts w:ascii="Times New Roman;Times;Serif" w:hAnsi="Times New Roman;Times;Serif"/>
          <w:b w:val="false"/>
          <w:i w:val="false"/>
          <w:caps w:val="false"/>
          <w:smallCaps w:val="false"/>
          <w:sz w:val="20"/>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and excluding generally commercially available “off the shelf” software programs licensed pursuant to shrink wrap or “click and accept” licenses), systems, technology, trademarks, service marks, trade names or other intellectual property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necessary to carry on the business now operated by them, except where the failure to own or possess such Intellectual Property would not reasonably be expected to have a Material Adverse Effect, and neither the Company nor any of its Subsidiaries has received any notice or is otherwise aware of any infringement of or conflict with asserted rights of others with respect to any Intellectual Property or of any facts or circumstances which could render any Intellectual Property invalid or inadequate to protect the interest of the Company or any of its Subsidiaries therein, except where such infringement, conflict, inadequacy or invalidity would not reasonably be expected to have a Material Adverse Effect.</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(xxix)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Except as described in the Registration Statement, the Pricing Disclosure Package and the Prospectus and except as would not, individually or in the aggregate, reasonably be expected to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or to the manufacture, processing, distribution, use, treatment, storage, disposal, transport or handling of Hazardous Materials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that would reasonably be expected to result in forming the basis of an order for clean-up or remediation, or an action, suit or proceeding by any private party or governmental body or agency, against or affecting the Company or any of its Subsidiaries relating to Hazardous Materials or any Environmental Laws.</w:t>
      </w:r>
    </w:p>
    <w:p>
      <w:pPr>
        <w:pStyle w:val="TextBody"/>
        <w:bidi w:val="0"/>
        <w:spacing w:before="0" w:after="0"/>
        <w:jc w:val="center"/>
        <w:rPr>
          <w:bdr w:val="single" w:sz="16" w:space="6" w:color="DCDCDC"/>
        </w:rPr>
      </w:pPr>
      <w:r>
        <w:rPr>
          <w:bdr w:val="single" w:sz="16" w:space="6" w:color="DCDCDC"/>
        </w:rPr>
        <w:t>12</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Each employee benefit plan, within the meaning of Section 3(3) of ERISA, that is maintained, administered or contributed to by the Company or any Subsidiary or any member of the Company’s “control group” (within the meaning of Section 414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and Section 4001(a)(14) of ERISA) (the “</w:t>
      </w:r>
      <w:r>
        <w:rPr>
          <w:rFonts w:ascii="Times New Roman;Times;Serif" w:hAnsi="Times New Roman;Times;Serif"/>
          <w:b/>
          <w:i w:val="false"/>
          <w:caps w:val="false"/>
          <w:smallCaps w:val="false"/>
          <w:sz w:val="20"/>
        </w:rPr>
        <w:t>Controlled Group</w:t>
      </w:r>
      <w:r>
        <w:rPr>
          <w:rFonts w:ascii="Times New Roman;Times;Serif" w:hAnsi="Times New Roman;Times;Serif"/>
          <w:b w:val="false"/>
          <w:i w:val="false"/>
          <w:caps w:val="false"/>
          <w:smallCaps w:val="false"/>
          <w:sz w:val="20"/>
        </w:rPr>
        <w:t>”), for employees or former employees of the Company and its affiliates or with respect to which the Company, any Subsidiary or any member of the Controlled Group has any liability, whether fixed or contingent (each, a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has been maintained in compliance in all material respects with its terms and the requirements of any applicable statutes, orders, rules and regulations, including but not limited to ERISA and the Code, and except as would not reasonably be expected to result in a Material Adverse Effect, to the knowledge of the Company, (A) no “prohibited transaction,” within the meaning of Section 406 of ERISA or Section 4975 of the Code has occurred with respect to any such Plan excluding transactions effected pursuant to a statutory or administrative exemption; (B) no “reportable event” (as defined under ERISA) has occurred or is reasonably expected to occur with respect to any Plan; and (C) no Plan, if such Plan were terminated, would reasonably be expected to have any “amount of unfunded benefit liabilities” (as defined under ERISA). Neither the Company, the Subsidiaries nor any member of their Controlled Group has incurred or reasonably expects to incur any liability under (A) Title IV of ERISA with respect to a Plan, or (B) Sections 412, 4971, 4975 or 4980B of the Code. Each Plan that is intended to be qualified under Section 401(a) of the Code is so qualified and either has received a current favorable determination from the IRS or may rely upon a current favorable opinion letter from the IRS that such Employee Benefit Plan is so qualified, and nothing has occurred, whether by action or failure to act, which could cause the loss of such qualification. No Plan is subject to Section 412 of the Code or Section 302 or Title IV of ERISA. Neither the Company nor any of its Subsidiaries nor any member of the Controlled Group has or has had any “accumulated post-retirement benefit obligations” (within the meaning of Statement of Financial Accounting Standards 106) with respect to a Plan. To the knowledge of the Company, there is no pending audit or investigation by the Internal Revenue Service, the U.S. Department of Labor, the Pension Benefit Guaranty Corporation or any other governmental agency or any foreign agency.</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              </w:t>
      </w:r>
      <w:r>
        <w:rPr>
          <w:rFonts w:ascii="Times New Roman;Times;Serif" w:hAnsi="Times New Roman;Times;Serif"/>
          <w:b w:val="false"/>
          <w:i w:val="false"/>
          <w:caps w:val="false"/>
          <w:smallCaps w:val="false"/>
          <w:sz w:val="20"/>
          <w:u w:val="single"/>
        </w:rPr>
        <w:t>Internal Control Over Financial Reporting</w:t>
      </w:r>
      <w:r>
        <w:rPr>
          <w:rFonts w:ascii="Times New Roman;Times;Serif" w:hAnsi="Times New Roman;Times;Serif"/>
          <w:b w:val="false"/>
          <w:i w:val="false"/>
          <w:caps w:val="false"/>
          <w:smallCaps w:val="false"/>
          <w:sz w:val="20"/>
        </w:rPr>
        <w:t>. The Company and each of its Subsidiaries maintain a system of internal control over financial reporting (as such term is defined in Rule 13a-15(f) of the Exchange Act Regulations) that complies in all material respects with the requirements of the Exchange Act applicable to them, and has been designed by the Company’s principal executive officer and principal financial officer and is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incorporated by reference in the Registration Statement, the Pricing Disclosure Package and the Prospectus fairly presents the information called for in all material respects and is prepared in accordance with the Commission’s rules and guidelines applicable thereto in all material respects. Except as described in the Registration Statement, the Pricing Disclosure Package and the Prospectus, since the end of the Company’s most recent audited fiscal year, (i) there has been no material weakness in the Company’s internal control over financial reporting (whether or not remediated), (ii) there has been no change in the Company’s internal control over financial reporting that has materially affected, or is reasonably likely to materially affect, the Company’s internal control over financial reporting and (iii) the Company has not been advised of (a) any significant deficiencies in the design or operation of internal controls that could adversely affect the ability of the Company or any Subsidiary to record, process, summarize and report financial data, or any material weaknesses in internal controls, or (b) any fraud, whether or not material, that involves management or other employees who have a significant role in the internal controls of the Company and each of the Subsidiaries.</w:t>
      </w:r>
    </w:p>
    <w:p>
      <w:pPr>
        <w:pStyle w:val="TextBody"/>
        <w:bidi w:val="0"/>
        <w:spacing w:before="0" w:after="0"/>
        <w:jc w:val="center"/>
        <w:rPr>
          <w:bdr w:val="single" w:sz="16" w:space="6" w:color="DCDCDC"/>
        </w:rPr>
      </w:pPr>
      <w:r>
        <w:rPr>
          <w:bdr w:val="single" w:sz="16" w:space="6" w:color="DCDCDC"/>
        </w:rPr>
        <w:t>13</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             </w:t>
      </w:r>
      <w:r>
        <w:rPr>
          <w:rFonts w:ascii="Times New Roman;Times;Serif" w:hAnsi="Times New Roman;Times;Serif"/>
          <w:b w:val="false"/>
          <w:i w:val="false"/>
          <w:caps w:val="false"/>
          <w:smallCaps w:val="false"/>
          <w:sz w:val="20"/>
          <w:u w:val="single"/>
        </w:rPr>
        <w:t>Disclosure Controls and Procedures</w:t>
      </w:r>
      <w:r>
        <w:rPr>
          <w:rFonts w:ascii="Times New Roman;Times;Serif" w:hAnsi="Times New Roman;Times;Serif"/>
          <w:b w:val="false"/>
          <w:i w:val="false"/>
          <w:caps w:val="false"/>
          <w:smallCaps w:val="false"/>
          <w:sz w:val="20"/>
        </w:rPr>
        <w:t>. The Company and its Subsidiaries maintain “disclosure controls and procedures” (as defined in Rule 13a-15(e) of the Exchange Act) that comply with the requirements of the Exchange Act in all material respects and that have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material information relating to the Company and its Subsidiaries is accumulated and communicated to the Company’s management as appropriate to allow timely decisions regarding required disclosure. Since the date of the most recent audited financial statements, the Company has not been advised of (1) any significant deficiency in the design or operation of internal controls which could adversely affect the Company’s or its Subsidiaries’ ability to record, process, summarize and report financial data or any material weaknesses in internal controls or (2) any fraud, whether or not material, that involves management or other employees who have a significant role in the Company’s or its Subsidiaries’ internal controls. Since the most recent evaluation of the Company’s disclosure controls and procedures described above, there have been no changes in internal controls or in other factors that could significantly affect internal controls.</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(xxxiii)           </w:t>
      </w:r>
      <w:r>
        <w:rPr>
          <w:rFonts w:ascii="Times New Roman;Times;Serif" w:hAnsi="Times New Roman;Times;Serif"/>
          <w:b w:val="false"/>
          <w:i w:val="false"/>
          <w:caps w:val="false"/>
          <w:smallCaps w:val="false"/>
          <w:sz w:val="20"/>
          <w:u w:val="single"/>
        </w:rPr>
        <w:t>Compliance with the Sarbanes-Oxley Act</w:t>
      </w:r>
      <w:r>
        <w:rPr>
          <w:rFonts w:ascii="Times New Roman;Times;Serif" w:hAnsi="Times New Roman;Times;Serif"/>
          <w:b w:val="false"/>
          <w:i w:val="false"/>
          <w:caps w:val="false"/>
          <w:smallCaps w:val="false"/>
          <w:sz w:val="20"/>
        </w:rPr>
        <w:t>. The Company has taken all necessary actions to ensure that, upon the consummation of the transactions contemplated by this Agreement, the Registration Statement, Pricing Disclosure Package and Prospectus, it will be in material compliance with all provisions of the Sarbanes-Oxley Act, with which the Company is required to comply as of such time.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(xxxiv)           </w:t>
      </w:r>
      <w:r>
        <w:rPr>
          <w:rFonts w:ascii="Times New Roman;Times;Serif" w:hAnsi="Times New Roman;Times;Serif"/>
          <w:b w:val="false"/>
          <w:i w:val="false"/>
          <w:caps w:val="false"/>
          <w:smallCaps w:val="false"/>
          <w:sz w:val="20"/>
          <w:u w:val="single"/>
        </w:rPr>
        <w:t>Pending Procedures and Examinations</w:t>
      </w:r>
      <w:r>
        <w:rPr>
          <w:rFonts w:ascii="Times New Roman;Times;Serif" w:hAnsi="Times New Roman;Times;Serif"/>
          <w:b w:val="false"/>
          <w:i w:val="false"/>
          <w:caps w:val="false"/>
          <w:smallCaps w:val="false"/>
          <w:sz w:val="20"/>
        </w:rPr>
        <w:t>. The Registration Statement is not the subject of a pending proceeding or examination under Section 8(d) or 8(e) of the Securities Act, and the Company is not the subject of a pending proceeding under Section 8A of the Securities Act in connection with the offering of the Shares.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All United States federal and state income tax returns of the Company and the Subsidiaries required by law to be filed have been timely filed and all taxes shown by such returns or otherwise assessed, which are due and payable, have been paid, except assessments against which have been or will be promptly contested in good faith and as to which adequate reserves have been provided in the Company’s financials in accordance with GAAP. The Company and the Subsidiaries have filed all other tax returns that are required to have been filed by them pursuant to applicable foreign, state, local or other law, except insofar as the failure to file such returns, individually or in the aggregate, would not reasonably be expected to result in a Material Adverse Effect, and have paid all taxes due pursuant to such returns or pursuant to any assessment received by the Company or any Subsidiary except for such taxes, if any, as are being contested in good faith and as to which adequate reserves have been provided in the Company’s financials in accordance with GAAP. The charges, accruals and reserves on the books of the Company and the Subsidiaries in respect of any income and corporation tax liability for any years not finally determined are adequate to meet any assessments or re-assessments for additional income tax for any years not finally determined. Except as otherwise disclosed in the Registration Statement, the Pricing Disclosure Package and the Prospectus, there is no tax deficiency that has been or would reasonably be expected to be asserted against the Company or any of its Subsidiaries or any of their respective properties or assets. The Company represents and warrants that, at all times during which it had an election in place to be treated as an S corporation under the provisions of Sections 1361 through 1379 of the Code, it qualified to be and was properly treated as an S corporation for U.S. federal income tax purposes.</w:t>
      </w:r>
    </w:p>
    <w:p>
      <w:pPr>
        <w:pStyle w:val="TextBody"/>
        <w:bidi w:val="0"/>
        <w:spacing w:before="0" w:after="0"/>
        <w:jc w:val="center"/>
        <w:rPr>
          <w:bdr w:val="single" w:sz="16" w:space="6" w:color="DCDCDC"/>
        </w:rPr>
      </w:pPr>
      <w:r>
        <w:rPr>
          <w:bdr w:val="single" w:sz="16" w:space="6" w:color="DCDCDC"/>
        </w:rPr>
        <w:t>14</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Subsidiary is insured by insurers of recognized financial responsibility against such losses and risks and in such amounts as are prudent and customary in the businesses in which they are engaged including, but not limited to, policies covering real and personal property owned or leased by the Company and each Subsidiary against theft, damage, destruction, acts of vandalism and earthquakes; neither the Company nor any of its Subsidiaries has been refused any insurance coverage sought or applied for; and the Company has no reason to believe that it or any Subsidiary will not be able to renew their existing insurance coverage as and when such coverage expires or to obtain similar coverage from similar insurers as may be necessary to continue its business at a cost that would not reasonably be expected to have a Material Adverse Effect. All such insurance is fully in force as of the date hereof.</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(xxxvii)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and upon the issuance and sale of the Shares as herein contemplated and the application of the net proceeds therefrom as described in the Registration Statement, the Pricing Disclosure Package and the Prospectus will not be, an “investment company” or an entity “controlled” by an “investment company” as such terms are defined in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(xxxviii)         </w:t>
      </w:r>
      <w:r>
        <w:rPr>
          <w:rFonts w:ascii="Times New Roman;Times;Serif" w:hAnsi="Times New Roman;Times;Serif"/>
          <w:b w:val="false"/>
          <w:i w:val="false"/>
          <w:caps w:val="false"/>
          <w:smallCaps w:val="false"/>
          <w:sz w:val="20"/>
          <w:u w:val="single"/>
        </w:rPr>
        <w:t>Absence of Manipulation.</w:t>
      </w:r>
      <w:r>
        <w:rPr>
          <w:rFonts w:ascii="Times New Roman;Times;Serif" w:hAnsi="Times New Roman;Times;Serif"/>
          <w:b w:val="false"/>
          <w:i w:val="false"/>
          <w:caps w:val="false"/>
          <w:smallCaps w:val="false"/>
          <w:sz w:val="20"/>
        </w:rPr>
        <w:t xml:space="preserve"> Neither the Company nor any of the Subsidiaries, nor, to the knowledge of the Company, any affiliates of the Company or its Subsidiaries, has taken, directly, or indirectly, and neither the Company nor any of the Subsidiaries, nor any affiliates of the Company or its Subsidiaries, will take, directly or indirectly, any action designed to cause or result in, or which constitutes or might reasonably be expected to constitute, the stabilization or manipulation of the price of any security of the Company or any “reference security” (as defined in Rule 100 of Regulation M under the Exchange Act) to facilitate the sale or resale of the Shares or otherwise, and has taken no action which would directly or indirectly violate Regulation M under the Exchange Act.</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(xxxix)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None of the Company, any of its Subsidiaries or, to the best knowledge of the Company, any director, officer, agent or employee of the Company or any of its Subsidiaries has (A) used any corporate funds for any unlawful contribution, gift, entertainment or other unlawful expense relating to political activity; (B) made or taken an act in furtherance of an offer, promise or authorization of any direct or indirect unlawful payment to any foreign or domestic government official or employee from corporate funds; (C) violated or is in violation of any provision of the Foreign Corrupt Practices Act of 1977, as amended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or any applicable non-U.S. anti-bribery statute or regulation; or (D) made, offered, agreed, requested or taken an act in furtherance of any unlawful bribe, rebate, payoff, influence payment, kickback or other unlawful payment.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pStyle w:val="TextBody"/>
        <w:bidi w:val="0"/>
        <w:spacing w:before="0" w:after="0"/>
        <w:jc w:val="center"/>
        <w:rPr>
          <w:bdr w:val="single" w:sz="16" w:space="6" w:color="DCDCDC"/>
        </w:rPr>
      </w:pPr>
      <w:r>
        <w:rPr>
          <w:bdr w:val="single" w:sz="16" w:space="6" w:color="DCDCDC"/>
        </w:rPr>
        <w:t>15</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                 </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The operations of the Company and its Subsidiaries and, to the knowledge of the Company, their respective affiliates, are and have been conducted at all times in compliance with applicable financial recordkeeping and reporting requirements of the Bank Secrecy Act, the money laundering statutes of all applicable jurisdictions and the rules and regulations thereunder issued, administered or enforced by any governmental agency or body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court, governmental agency or body involving the Company or any of its Subsidiaries with respect to the Anti-Money Laundering Laws is pending or, to the best knowledge of the Company, threatened. The Company and its Subsidiaries and, to the knowledge of the Company, their respective affiliates, have conducted their businesses in compliance with applicable anti-corruption laws and have instituted and maintain and will continue to maintain policies and procedures designed to promote and achieve compliance with such laws.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None of the Company, any of the Subsidiaries or any officer or director of either the Company or any Subsidiary, nor, to the knowledge of the Company, any agent, employee, affiliate or person acting on behalf of the Company or any of the Subsidiaries is or has been (A) engaged in any services (including financial services), transfers of goods, software, or technology, or any other business activity related to (i) Cuba, Iran, North Korea, Sudan, the so-called Donetsk People’s Republic, the so-called Luhansk People’s Republic or the Crimea region of Ukraine claimed by Russia (“</w:t>
      </w:r>
      <w:r>
        <w:rPr>
          <w:rFonts w:ascii="Times New Roman;Times;Serif" w:hAnsi="Times New Roman;Times;Serif"/>
          <w:b/>
          <w:i w:val="false"/>
          <w:caps w:val="false"/>
          <w:smallCaps w:val="false"/>
          <w:sz w:val="20"/>
        </w:rPr>
        <w:t>Sanctioned Countries</w:t>
      </w:r>
      <w:r>
        <w:rPr>
          <w:rFonts w:ascii="Times New Roman;Times;Serif" w:hAnsi="Times New Roman;Times;Serif"/>
          <w:b w:val="false"/>
          <w:i w:val="false"/>
          <w:caps w:val="false"/>
          <w:smallCaps w:val="false"/>
          <w:sz w:val="20"/>
        </w:rPr>
        <w:t>”), (ii) the government of any Sanctioned Country, (iii) any person, entity or organization located in, resident in, formed under the laws of, or owned or controlled by the government of, any Sanctioned Country, or (iv) any person, entity or organization made subject of any sanctions administered or enforced by the United States Government, including, without limitation, the list of Specially Designated Nationals (“</w:t>
      </w:r>
      <w:r>
        <w:rPr>
          <w:rFonts w:ascii="Times New Roman;Times;Serif" w:hAnsi="Times New Roman;Times;Serif"/>
          <w:b/>
          <w:i w:val="false"/>
          <w:caps w:val="false"/>
          <w:smallCaps w:val="false"/>
          <w:sz w:val="20"/>
        </w:rPr>
        <w:t>SDN List</w:t>
      </w:r>
      <w:r>
        <w:rPr>
          <w:rFonts w:ascii="Times New Roman;Times;Serif" w:hAnsi="Times New Roman;Times;Serif"/>
          <w:b w:val="false"/>
          <w:i w:val="false"/>
          <w:caps w:val="false"/>
          <w:smallCaps w:val="false"/>
          <w:sz w:val="20"/>
        </w:rPr>
        <w:t>”) of the Office of Foreign Assets Control of the U.S. Treasury Department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by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 (B) engaged in any transfers of goods, technologies or services (including financial services) that may assist the governments of Sanctioned Countries or facilitate money laundering or other activities proscribed by United States laws, rules or regulations; (C) a person, entity or organization currently the subject of any Sanctions; or (D) located, organized or resident in any Sanctioned Country.</w:t>
      </w:r>
    </w:p>
    <w:p>
      <w:pPr>
        <w:pStyle w:val="TextBody"/>
        <w:bidi w:val="0"/>
        <w:spacing w:before="0" w:after="0"/>
        <w:jc w:val="center"/>
        <w:rPr>
          <w:bdr w:val="single" w:sz="16" w:space="6" w:color="DCDCDC"/>
        </w:rPr>
      </w:pPr>
      <w:r>
        <w:rPr>
          <w:bdr w:val="single" w:sz="16" w:space="6" w:color="DCDCDC"/>
        </w:rPr>
        <w:t>16</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(xlii)               </w:t>
      </w:r>
      <w:r>
        <w:rPr>
          <w:rFonts w:ascii="Times New Roman;Times;Serif" w:hAnsi="Times New Roman;Times;Serif"/>
          <w:b w:val="false"/>
          <w:i w:val="false"/>
          <w:caps w:val="false"/>
          <w:smallCaps w:val="false"/>
          <w:sz w:val="20"/>
          <w:u w:val="single"/>
        </w:rPr>
        <w:t>Relationship</w:t>
      </w:r>
      <w:r>
        <w:rPr>
          <w:rFonts w:ascii="Times New Roman;Times;Serif" w:hAnsi="Times New Roman;Times;Serif"/>
          <w:b w:val="false"/>
          <w:i w:val="false"/>
          <w:caps w:val="false"/>
          <w:smallCaps w:val="false"/>
          <w:sz w:val="20"/>
        </w:rPr>
        <w:t>. No relationship, direct or indirect, exists between or among the Company or any of its Subsidiaries, on the one hand, and the directors, officers, shareholders, customers or suppliers of the Company or any of its Subsidiaries, on the other, that is required by the Securities Act or Securities Act Regulations to be described in the Registration Statement and/or the Prospectus and that is not so described.</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(xliii)              </w:t>
      </w:r>
      <w:r>
        <w:rPr>
          <w:rFonts w:ascii="Times New Roman;Times;Serif" w:hAnsi="Times New Roman;Times;Serif"/>
          <w:b w:val="false"/>
          <w:i w:val="false"/>
          <w:caps w:val="false"/>
          <w:smallCaps w:val="false"/>
          <w:sz w:val="20"/>
          <w:u w:val="single"/>
        </w:rPr>
        <w:t>Lending Relationship</w:t>
      </w:r>
      <w:r>
        <w:rPr>
          <w:rFonts w:ascii="Times New Roman;Times;Serif" w:hAnsi="Times New Roman;Times;Serif"/>
          <w:b w:val="false"/>
          <w:i w:val="false"/>
          <w:caps w:val="false"/>
          <w:smallCaps w:val="false"/>
          <w:sz w:val="20"/>
        </w:rPr>
        <w:t>. Except as disclosed in the Registration Statement, the Pricing Disclosure Package and the Prospectus, the Company (A) does not have any material lending or other relationship with any bank or lending affiliate of any Underwriter and (B) does not intend to use any of the proceeds from the sale of the Shares to repay any outstanding debt owed to any affiliate of any Underwriter.</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(xliv)              </w:t>
      </w:r>
      <w:r>
        <w:rPr>
          <w:rFonts w:ascii="Times New Roman;Times;Serif" w:hAnsi="Times New Roman;Times;Serif"/>
          <w:b w:val="false"/>
          <w:i w:val="false"/>
          <w:caps w:val="false"/>
          <w:smallCaps w:val="false"/>
          <w:sz w:val="20"/>
          <w:u w:val="single"/>
        </w:rPr>
        <w:t>No Restrictions on Subsidiaries</w:t>
      </w:r>
      <w:r>
        <w:rPr>
          <w:rFonts w:ascii="Times New Roman;Times;Serif" w:hAnsi="Times New Roman;Times;Serif"/>
          <w:b w:val="false"/>
          <w:i w:val="false"/>
          <w:caps w:val="false"/>
          <w:smallCaps w:val="false"/>
          <w:sz w:val="20"/>
        </w:rPr>
        <w:t>. Except in each case as otherwise disclosed in the Registration Statement, the Pricing Disclosure Package and the Prospectus,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(xlv)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The statistical and market related data contained in the Registration Statement, the Pricing Disclosure Package and Prospectus are based on or derived from sources which the Company believes are reliable and accurate in all material respects.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(xlvi)              </w:t>
      </w:r>
      <w:r>
        <w:rPr>
          <w:rFonts w:ascii="Times New Roman;Times;Serif" w:hAnsi="Times New Roman;Times;Serif"/>
          <w:b w:val="false"/>
          <w:i w:val="false"/>
          <w:caps w:val="false"/>
          <w:smallCaps w:val="false"/>
          <w:sz w:val="20"/>
          <w:u w:val="single"/>
        </w:rPr>
        <w:t>Distribution of Offering Material By the Company</w:t>
      </w:r>
      <w:r>
        <w:rPr>
          <w:rFonts w:ascii="Times New Roman;Times;Serif" w:hAnsi="Times New Roman;Times;Serif"/>
          <w:b w:val="false"/>
          <w:i w:val="false"/>
          <w:caps w:val="false"/>
          <w:smallCaps w:val="false"/>
          <w:sz w:val="20"/>
        </w:rPr>
        <w:t xml:space="preserve">. The Company has not distributed and will not distribute, prior to the later of the Closing Date and the completion of the Underwriters’ distribution of the Shares, any offering material in connection with the offering and sale of the Shares other than the Registration Statement, the preliminary prospectus contained in the Pricing Disclosure Package, the Prospectus, any Issuer Free Writing Prospectus reviewed and consented to by the Representative and included in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or any electronic road show or other written communications reviewed and consented to by the Representative and listed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(each a, “</w:t>
      </w:r>
      <w:r>
        <w:rPr>
          <w:rFonts w:ascii="Times New Roman;Times;Serif" w:hAnsi="Times New Roman;Times;Serif"/>
          <w:b/>
          <w:i w:val="false"/>
          <w:caps w:val="false"/>
          <w:smallCaps w:val="false"/>
          <w:sz w:val="20"/>
        </w:rPr>
        <w:t>Company Additional Written Communication</w:t>
      </w:r>
      <w:r>
        <w:rPr>
          <w:rFonts w:ascii="Times New Roman;Times;Serif" w:hAnsi="Times New Roman;Times;Serif"/>
          <w:b w:val="false"/>
          <w:i w:val="false"/>
          <w:caps w:val="false"/>
          <w:smallCaps w:val="false"/>
          <w:sz w:val="20"/>
        </w:rPr>
        <w:t>”). Each such Company Additional Written Communication, when taken together with the Pricing Disclosure Package, did not, and at the Closing Date will not, contain any untrue statement of a material fact or omit to state a material fact necessary in order to make the statements therein, in the light of the circumstances under which they were made, not misleading. The preceding sentence does not apply to statements in or omissions from the Company Additional Written Communication based upon and in conformity with written information furnished to the Company by any Underwriter through the Representative specifically for use therein, it being understood and agreed that the only such information furnished by any Underwriter through the Representative consists of the Underwriter Information.</w:t>
      </w:r>
    </w:p>
    <w:p>
      <w:pPr>
        <w:pStyle w:val="TextBody"/>
        <w:bidi w:val="0"/>
        <w:spacing w:before="0" w:after="0"/>
        <w:jc w:val="center"/>
        <w:rPr>
          <w:bdr w:val="single" w:sz="16" w:space="6" w:color="DCDCDC"/>
        </w:rPr>
      </w:pPr>
      <w:r>
        <w:rPr>
          <w:bdr w:val="single" w:sz="16" w:space="6" w:color="DCDCDC"/>
        </w:rPr>
        <w:t>17</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(xlvii)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Each financial or operational projection or other “forward-looking statement” (as defined by Section 27A of the Securities Act or Section 21E of the Exchange Act) contained in the Registration Statement, the Pricing Disclosure Package and the Prospectus (A) was so included by the Company in good faith and with reasonable basis after due consideration by the Company of the underlying assumptions, estimates and other applicable facts and circumstances, and (B)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(xlviii)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Each of the Company’s officers, as defined by Rule 16a-1(f) of the Exchange Act Regulations, and directors, in each case as listed on Schedule D hereto, has executed and delivered lock-up agreements as contemplated in Section 6(m) hereof.</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(xlix)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Other than as contemplated by this Agreement, there is no broker, finder or other party that is entitled to receive from the Company or any Subsidiary any brokerage or finder’s fee or any other fee, commission or payment as a result of the transactions contemplated by this Agreement.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Deposit Insurance</w:t>
      </w:r>
      <w:r>
        <w:rPr>
          <w:rFonts w:ascii="Times New Roman;Times;Serif" w:hAnsi="Times New Roman;Times;Serif"/>
          <w:b w:val="false"/>
          <w:i w:val="false"/>
          <w:caps w:val="false"/>
          <w:smallCaps w:val="false"/>
          <w:sz w:val="20"/>
        </w:rPr>
        <w:t>. The deposit accounts of the Bank are insured by the FDIC up to applicable legal limits, the Bank has paid all premiums and assessments required by the FDIC and the regulations thereunder, and no proceeding for the termination or revocation of such insurance is pending or, to the knowledge of the Company, threatened.</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w:t>
      </w:r>
      <w:r>
        <w:rPr>
          <w:rFonts w:ascii="Times New Roman;Times;Serif" w:hAnsi="Times New Roman;Times;Serif"/>
          <w:b w:val="false"/>
          <w:i w:val="false"/>
          <w:caps w:val="false"/>
          <w:smallCaps w:val="false"/>
          <w:sz w:val="20"/>
          <w:u w:val="single"/>
        </w:rPr>
        <w:t>Derivative Instruments</w:t>
      </w:r>
      <w:r>
        <w:rPr>
          <w:rFonts w:ascii="Times New Roman;Times;Serif" w:hAnsi="Times New Roman;Times;Serif"/>
          <w:b w:val="false"/>
          <w:i w:val="false"/>
          <w:caps w:val="false"/>
          <w:smallCaps w:val="false"/>
          <w:sz w:val="20"/>
        </w:rPr>
        <w:t>. Any and all material swaps, caps, floors, futures, forward contracts, option agreements (other than options issued under the Company’s shareholder-approved benefit plans) and other derivative financial instruments, contracts or arrangements, whether entered into for the account of the Company or one of its Subsidiaries or for the account of a customer of the Company or one of its Subsidiaries, were entered into in the ordinary course of business and in accordance with applicable laws, rules, regulations and policies of all applicable regulatory agencies and with counterparties believed by the Company to be financially responsible. The Company and each of its Subsidiaries have duly performed in all material respects all of their obligations thereunder to the extent that such obligations to perform have accrued, and there are no breaches, violations or defaults or allegations or assertions of such by any party thereunder except as would not, individually or in the aggregate, reasonably be expected to have a Material Adverse Effect.</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(lii)                 </w:t>
      </w:r>
      <w:r>
        <w:rPr>
          <w:rFonts w:ascii="Times New Roman;Times;Serif" w:hAnsi="Times New Roman;Times;Serif"/>
          <w:b w:val="false"/>
          <w:i w:val="false"/>
          <w:caps w:val="false"/>
          <w:smallCaps w:val="false"/>
          <w:sz w:val="20"/>
          <w:u w:val="single"/>
        </w:rPr>
        <w:t>Termination of Contracts</w:t>
      </w:r>
      <w:r>
        <w:rPr>
          <w:rFonts w:ascii="Times New Roman;Times;Serif" w:hAnsi="Times New Roman;Times;Serif"/>
          <w:b w:val="false"/>
          <w:i w:val="false"/>
          <w:caps w:val="false"/>
          <w:smallCaps w:val="false"/>
          <w:sz w:val="20"/>
        </w:rPr>
        <w:t>. Except as would not reasonably be expected to have a Material Adverse Effect, neither the Company nor any Subsidiary has sent or received any communication regarding termination of, or intent not to renew, any of the contracts or agreements referred to or described in the Pricing Disclosure Package and Prospectus, or referred to or described in, or filed as an exhibit to, the Pricing Disclosure Package and Prospectus, and no such termination or non-renewal has been threatened by the Company or any Subsidiary or, to the Company’s knowledge, any other party to any such contract or agreement; and there are no contracts or documents of the Company or its Subsidiary that are required to be described in the Pricing Disclosure Package and the Prospectus or to be filed as exhibits thereto by the Securities Act or by the rules and regulations of the Commission thereunder that have not been so described and filed.</w:t>
      </w:r>
    </w:p>
    <w:p>
      <w:pPr>
        <w:pStyle w:val="TextBody"/>
        <w:bidi w:val="0"/>
        <w:spacing w:before="0" w:after="0"/>
        <w:jc w:val="center"/>
        <w:rPr>
          <w:bdr w:val="single" w:sz="16" w:space="6" w:color="DCDCDC"/>
        </w:rPr>
      </w:pPr>
      <w:r>
        <w:rPr>
          <w:bdr w:val="single" w:sz="16" w:space="6" w:color="DCDCDC"/>
        </w:rPr>
        <w:t>18</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(liii)                </w:t>
      </w:r>
      <w:r>
        <w:rPr>
          <w:rFonts w:ascii="Times New Roman;Times;Serif" w:hAnsi="Times New Roman;Times;Serif"/>
          <w:b w:val="false"/>
          <w:i w:val="false"/>
          <w:caps w:val="false"/>
          <w:smallCaps w:val="false"/>
          <w:sz w:val="20"/>
          <w:u w:val="single"/>
        </w:rPr>
        <w:t>Off-Balance Sheet Transactions</w:t>
      </w:r>
      <w:r>
        <w:rPr>
          <w:rFonts w:ascii="Times New Roman;Times;Serif" w:hAnsi="Times New Roman;Times;Serif"/>
          <w:b w:val="false"/>
          <w:i w:val="false"/>
          <w:caps w:val="false"/>
          <w:smallCaps w:val="false"/>
          <w:sz w:val="20"/>
        </w:rPr>
        <w:t>. There is no transaction, arrangement or other relationship between the Company or any of its Subsidiaries and an unconsolidated or other off-balance sheet entity which is required to be disclosed in the Registration Statement, the Pricing Disclosure Package and the Prospectus (other than as disclosed therein).</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(liv)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The application of the proceeds received by the Company from the issuance, sale and delivery of the Shares as described in the Registration Statement, the Pricing Disclosure Package and the Prospectus will not violate Regulation T, U or X of the Federal Reserve or any other regulation of the Federal Reserve.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(lv)                 </w:t>
      </w:r>
      <w:r>
        <w:rPr>
          <w:rFonts w:ascii="Times New Roman;Times;Serif" w:hAnsi="Times New Roman;Times;Serif"/>
          <w:b w:val="false"/>
          <w:i w:val="false"/>
          <w:caps w:val="false"/>
          <w:smallCaps w:val="false"/>
          <w:sz w:val="20"/>
          <w:u w:val="single"/>
        </w:rPr>
        <w:t>Emerging Growth Company</w:t>
      </w:r>
      <w:r>
        <w:rPr>
          <w:rFonts w:ascii="Times New Roman;Times;Serif" w:hAnsi="Times New Roman;Times;Serif"/>
          <w:b w:val="false"/>
          <w:i w:val="false"/>
          <w:caps w:val="false"/>
          <w:smallCaps w:val="false"/>
          <w:sz w:val="20"/>
        </w:rPr>
        <w:t>. From the time of filing of the Registration Statement through the date hereof, the Company has been and is an “emerging growth company,” as defined in Section 2(a) of the Securities Act (an “</w:t>
      </w:r>
      <w:r>
        <w:rPr>
          <w:rFonts w:ascii="Times New Roman;Times;Serif" w:hAnsi="Times New Roman;Times;Serif"/>
          <w:b/>
          <w:i w:val="false"/>
          <w:caps w:val="false"/>
          <w:smallCaps w:val="false"/>
          <w:sz w:val="20"/>
        </w:rPr>
        <w:t>Emerging Growth Company</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(lvi)                </w:t>
      </w:r>
      <w:r>
        <w:rPr>
          <w:rFonts w:ascii="Times New Roman;Times;Serif" w:hAnsi="Times New Roman;Times;Serif"/>
          <w:b w:val="false"/>
          <w:i w:val="false"/>
          <w:caps w:val="false"/>
          <w:smallCaps w:val="false"/>
          <w:sz w:val="20"/>
          <w:u w:val="single"/>
        </w:rPr>
        <w:t>Testing-the-Waters</w:t>
      </w:r>
      <w:r>
        <w:rPr>
          <w:rFonts w:ascii="Times New Roman;Times;Serif" w:hAnsi="Times New Roman;Times;Serif"/>
          <w:b w:val="false"/>
          <w:i w:val="false"/>
          <w:caps w:val="false"/>
          <w:smallCaps w:val="false"/>
          <w:sz w:val="20"/>
        </w:rPr>
        <w:t xml:space="preserve">. The Company (a) has not alone engaged in any Testing-the-Waters Communication other than Permitted Written Testing-the-Waters Communications with the consent of the Representative with entities that are qualified institutional buyers within the meaning of Rule 144A under the Securities Act or institutions that are accredited investors within the meaning of Rule 501 under the Securities Act, and (b) has not authorized anyone other than the Representative to engage in Testing-the-Waters Communications. The Company reconfirms that the Representative has been authorized to act on its behalf in undertaking Testing-the-Waters Communications. The Company has not distributed or approved for distribution any Written Testing-the-Waters Communications other than the Permitted Written Testing-the-Waters Communications. </w:t>
      </w:r>
    </w:p>
    <w:p>
      <w:pPr>
        <w:pStyle w:val="TextBody"/>
        <w:bidi w:val="0"/>
        <w:spacing w:before="0" w:after="200"/>
        <w:ind w:left="0" w:right="0" w:firstLine="153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Applicable Time, each Permitted Written Testing-the-Waters Communication, as supplemented by and taken together with the Pricing Disclosure Package, did not, as of the Applicable Time, include an untrue statement of a material fact or omit to state a material fact necessary in order to make the statements therein, in the light of the circumstances under which they were made, not misleading; and each Permitted Written Testing-the-Waters Communication, if any, does not, as of the date hereof, conflict with the information contained in the Registration Statement, any preliminary prospectus, the Pricing Disclosure Package, any Issuer Free Writing Prospectus or the Prospectus; and the Company has filed publicly on EDGAR at least 15 calendar days prior to any Road Show, any confidentially submitted registration statement and registration statement amendments relating to the offer and sale of the Shares.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(lvii)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(A) To the knowledge of the Company, there has been no security breach, unauthorized access or disclosure, or other compromise of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that would, individually or in the aggregate, reasonably be expected to have a Material Adverse Effect; (B) neither the Company nor its Subsidiaries have been notified of, and each of them have no knowledge of any event or condition that could result in, any security breach, unauthorized access or disclosure or other compromise to their IT Systems and Data that would, individually or in the aggregate, reasonably be expected to have a Material Adverse Effect; and (C) the Company and its Subsidiaries have implemented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where the failure to do so would not, individually or in the aggregate, reasonably be expected to have a Material Adverse Effect.</w:t>
      </w:r>
    </w:p>
    <w:p>
      <w:pPr>
        <w:pStyle w:val="TextBody"/>
        <w:bidi w:val="0"/>
        <w:spacing w:before="0" w:after="0"/>
        <w:jc w:val="center"/>
        <w:rPr>
          <w:bdr w:val="single" w:sz="16" w:space="6" w:color="DCDCDC"/>
        </w:rPr>
      </w:pPr>
      <w:r>
        <w:rPr>
          <w:bdr w:val="single" w:sz="16" w:space="6" w:color="DCDCDC"/>
        </w:rPr>
        <w:t>19</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a reasonable basis for making each of the representations set forth in Section 1(a). The Company acknowledges that the Underwriters and, for the purposes of the opinions to be delivered pursuant to Section 6 hereof, counsel to the Company and counsel to the Underwriters, may rely upon the accuracy and truthfulness of the foregoing representations and hereby consents to such reliance. Any certificate signed by, or on behalf of, the Company delivered to the Underwriters or to counsel for the Underwriters shall be deemed a representation and warranty by the Company to the Underwriters as to the matters covered thereby.</w:t>
      </w:r>
    </w:p>
    <w:p>
      <w:pPr>
        <w:pStyle w:val="TextBody"/>
        <w:bidi w:val="0"/>
        <w:spacing w:before="0" w:after="20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herein set forth, (i) the Company agrees to sell to each of the Underwriters, and each of the Underwriters agrees, severally and not jointly, to purchase from the Company at a purchase price per share of $41.69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the number of Firm Shares (to be adjusted by you so as to eliminate fractional shares) determined by multiplying the aggregate number of Firm Shares to be sold by the Company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the Company and (ii) in the event and to the extent that the Underwriters shall exercise the election to purchase Option Shares as provided below, the Company agrees, severally and not jointly, to sell to each of the Underwriters, and each of the Underwriters agrees, severally and not jointly, to purchase from the Company, at the Purchase Price, the number of Option Shares (to be adjusted by you so as to eliminate fractional shares) determined by multiplying (x) the number of Option Shares as to which such election shall have been exercised by (y) the fraction set forth in clause (i) above.</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grants to the Underwriters the right to purchase at their election up to 408,750 Option Shares, at the Purchase Price. The Underwriters may exercise their option to acquire Option Shares in whole or in part from time to time only by written notice from the Representative to the Company given within a period of 30 calendar days after the date of this Agreement and setting forth (i) the aggregate number of Option Shares to be purchased and (ii) the time, date and place at which such Option Shares are to be delivered, as determined by the Representative but in no event earlier than the Closing Date or, unless the Representative and the Company otherwise agree in writing, earlier than two or later than ten business days after the date of such notice.</w:t>
      </w:r>
    </w:p>
    <w:p>
      <w:pPr>
        <w:pStyle w:val="TextBody"/>
        <w:bidi w:val="0"/>
        <w:spacing w:before="0" w:after="0"/>
        <w:jc w:val="center"/>
        <w:rPr>
          <w:bdr w:val="single" w:sz="16" w:space="6" w:color="DCDCDC"/>
        </w:rPr>
      </w:pPr>
      <w:r>
        <w:rPr>
          <w:bdr w:val="single" w:sz="16" w:space="6" w:color="DCDCDC"/>
        </w:rPr>
        <w:t>20</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understood that the several Underwriters propose to offer the Firm Shares for sale to the public upon the terms and conditions set forth in the Prospectus.</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deliver the Firm Shares to the Representative through the facilities of DTC for the accounts of the Underwriters, against payment of the Purchase Price therefor in Federal (same day) funds by wire transfer to an account designated by the Company, in the case of Firm Shares sold by the Company at the office of Latham &amp; Watkins LLP, 10250 Constellation Boulevard, Suite 1100, Los Angeles, California 90067, at 10:00 A.M., New York time, on July 24, 2026, unless postponed in accordance with Section 10 hereof, or such other time and date not later than 1:30 P.M., New York City time, on the fifth business day thereafter, as the Representative and the Company determine, such time being referred to herein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For purposes of Rule 15c6-1 under the Exchange Act, the Closing Date (if later than the otherwise applicable settlement date) shall be the settlement date for payment of funds and delivery of securities for all the Firm Shares. The certificates or book-entry security entitlements for the Firm Shares so to be delivered will be in such denominations and registered in such names as the Representative requests and, if the Firm Shares are to be certificated, will be delivered and made available for checking and packaging at the above office of Latham &amp; Watkins LLP at least 24 hours prior to the Closing Date.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time for the delivery of and payment for the Option Shares, being herein referred to as an “</w:t>
      </w:r>
      <w:r>
        <w:rPr>
          <w:rFonts w:ascii="Times New Roman;Times;Serif" w:hAnsi="Times New Roman;Times;Serif"/>
          <w:b/>
          <w:i w:val="false"/>
          <w:caps w:val="false"/>
          <w:smallCaps w:val="false"/>
          <w:sz w:val="20"/>
        </w:rPr>
        <w:t>Option Closing Date</w:t>
      </w:r>
      <w:r>
        <w:rPr>
          <w:rFonts w:ascii="Times New Roman;Times;Serif" w:hAnsi="Times New Roman;Times;Serif"/>
          <w:b w:val="false"/>
          <w:i w:val="false"/>
          <w:caps w:val="false"/>
          <w:smallCaps w:val="false"/>
          <w:sz w:val="20"/>
        </w:rPr>
        <w:t>”, which may be the Closing Date, shall be determined by the Representative as provided above. The Company will deliver the Option Shares being purchased on each Option Closing Date to the Representative through the facilities of DTC for the accounts of the Underwriters, against payment of the Purchase Price therefor in Federal (same day) funds by wire transfer to an account designated by the Company, in the case of Option Shares sold by the Company at the above office of Latham &amp; Watkins LLP, at 10:00 A.M., New York time, on the applicable Option Closing Date. The certificates or book-entry security entitlements for the Option Shares so to be delivered will be in such denominations and registered in such names as the Representative requests and, if the Option Shares are to be certificated, will be delivered and made available for checking and packaging at the above office of Latham &amp; Watkins LLP at least 24 hours prior to such Option Closing Date.</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further covenants and agrees with each of the Underwriters as follows: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subject to Section 4(a)(ii) hereof, will comply with the requirements of Rule 430B under the Securities Act, and will notify the Representative immediately, and confirm the notice in writing, (A) when any post-effective amendment to the Registration Statement shall become effective, or any amendment or supplement to the Prospectus shall have been filed, in which case, the Company shall furnish to the Representative with copies thereof, and file promptly all material required to be filed by the Company with the Commission pursuant to Rule 433(d) under the Securities Act, (B) of the receipt of any comments from the Commission, (C) of any request by the Commission for any amendment to the Registration Statement or any amendment or supplement to the Prospectus or for additional information, and (D) of the issuance by the Commission of any stop order suspending the effectiveness of the Registration Statement or of any order preventing or suspending the use of any preliminary prospectus, or of the suspension of the qualification of the Shares for offering or sale in any jurisdiction, or of the initiation or threatening of any proceedings for any of such purposes. The Company will promptly effect the filings necessary pursuant to Rule 424(b) under the Securities Act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pStyle w:val="TextBody"/>
        <w:bidi w:val="0"/>
        <w:spacing w:before="0" w:after="0"/>
        <w:jc w:val="center"/>
        <w:rPr>
          <w:bdr w:val="single" w:sz="16" w:space="6" w:color="DCDCDC"/>
        </w:rPr>
      </w:pPr>
      <w:r>
        <w:rPr>
          <w:bdr w:val="single" w:sz="16" w:space="6" w:color="DCDCDC"/>
        </w:rPr>
        <w:t>21</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period when a prospectus relating to the Shares is required by the Securities Act to be delivered (whether physically or through compliance with Rule 172 under the Securities Act or any similar rule), the Company (A) will furnish to the Representative for review, a reasonable period of time prior to the proposed time of filing of any proposed amendment or supplement to the Registration Statement, a copy of each such amendment or supplement, and (B) will not amend or supplement the Registration Statement without the Representative’s prior written consent. Prior to amending or supplementing any preliminary prospectus, the Pricing Prospectus or the Prospectus,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furnish to the Representative for review, a reasonable amount of time prior to the 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Shares (but in any event if at any time through and including the Closing Date) there occurred or occurs an event or development as a result of which any free writing prospectus prepared by or on behalf of, used by, or referred to by the Company conflicted or could conflict with the information contained in the Registration Statement, the Pricing Prospectus or the Prospectus or included or could include an untrue statement of a material fact or omitted or could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provided, that prior to amending or supplementing any such free writing prospectus, the Company shall furnish to the Representative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w:t>
      </w:r>
    </w:p>
    <w:p>
      <w:pPr>
        <w:pStyle w:val="TextBody"/>
        <w:bidi w:val="0"/>
        <w:spacing w:before="0" w:after="0"/>
        <w:jc w:val="center"/>
        <w:rPr>
          <w:bdr w:val="single" w:sz="16" w:space="6" w:color="DCDCDC"/>
        </w:rPr>
      </w:pPr>
      <w:r>
        <w:rPr>
          <w:bdr w:val="single" w:sz="16" w:space="6" w:color="DCDCDC"/>
        </w:rPr>
        <w:t>22</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will use its best efforts to qualify the Shares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Shares, provided that nothing in this Section 4(a)(iv) shall require the Company to qualify as a foreign corporation in any jurisdiction in which it is not already so qualified or to file a general consent to service of process in any jurisdiction or to subject itself to taxation in respect of doing business in any jurisdiction in which it is otherwise not so subject.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has furnished or will deliver to the Representative, without charge, signed copies of the Registration Statement as originally filed, any Rule 462(b) Registration Statement and of each amendment to each (including exhibits filed therewith) and signed copies of all consents and certificates of experts, and will also, upon your request, deliver to the Representative, without charge, a conformed copy of the Registration Statement as originally filed and of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has delivered to each Underwriter, without charge, as many written and electronic copies of each preliminary prospectus, Prospectus and/or the Pricing Prospectus as such Underwriter reasonably requested, and the Company hereby consents to the use of such copies for purposes permitted by the Securities Act. The Company will furnish to each Underwriter, without charge, no later than the second business day following the completion of the sale of the Shares, and from time to time thereafter during the period when the Prospectus is required to be delivered in connection with sales of the Shares under the Securities Act or the Exchange Act or in lieu thereof, the notice referred to in Rule 173(a) under the Securities Act, such number of written and electronic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at any time following the distribution of any Permitted Written Testing-the-Waters Communication there occurred or occurs an event or development as a result of which such Permitted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should the Underwriters request, will promptly amend or supplement, at its own expense, such Permitted Written Testing-the-Waters Communication to eliminate or correct such untrue statement or omission.</w:t>
      </w:r>
    </w:p>
    <w:p>
      <w:pPr>
        <w:pStyle w:val="TextBody"/>
        <w:bidi w:val="0"/>
        <w:spacing w:before="0" w:after="0"/>
        <w:jc w:val="center"/>
        <w:rPr>
          <w:bdr w:val="single" w:sz="16" w:space="6" w:color="DCDCDC"/>
        </w:rPr>
      </w:pPr>
      <w:r>
        <w:rPr>
          <w:bdr w:val="single" w:sz="16" w:space="6" w:color="DCDCDC"/>
        </w:rPr>
        <w:t>23</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Company will make generally available (within the meaning of Section 11(a) of the Securities Act) to its security holders and to the Representative as soon as practicable, but not later than 45 days after the end of its fiscal quarter in which the first anniversary date of the effective date of the Registration Statement occurs, an earnings statement (in form complying with the provisions of Rule 158 under the Securities Act and satisfying the provisions of Section 11(a) of the Securities Act) covering a period of at least 12 consecutive months beginning after the effective date of the Registration Statement.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Company will use the net proceeds received by it from the sale of the Shares in the manner specified in the Pricing Prospectus under the heading “Use of Proceeds.”</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shall engage and maintain, at its expense, a registrar and transfer agent for the Shares.</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The Company will use its best efforts to effect and maintain the listing of the Common Stock (including the Shares) on Nasdaq.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During a period of 90 days from the date of the Prospectus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the Company will not, without the prior written consent of the Representative, (A) offer, pledge, sell, contract to sell, sell any option or contract to purchase, purchase any option or contract to sell, grant any option, right or warrant to purchase, lend or otherwise directly or indirectly dispose of or transfer any Common Stock or any securities convertible into or exchangeable or exercisable for Common Stock, or exercise any right with respect to the registration thereof, or file with the Commission a registration statement under the Act relating to, any Common Stock or any such other securities, (B) enter into any swap, hedge or other agreement that transfers, in whole or in part, the economic consequence of ownership of Common Stock or such other securities, or (C) publicly disclose the intention to make any such offer, pledge, sale or disposition, or to enter into any such swap, hedge, transaction or arrangement, whether any such transaction described in clause (A) or (B) above is to be settled by delivery of Common Stock or such other securities, in cash or otherwise, in each case, other than (X) the Shares to be sold hereunder, (Y) the issuance of Equity Awards granted pursuant to the Company’s benefit plans that are described in the Registration Statement, the Pricing Disclosure Package and the Prospectus, as such plans may be amended, or the filing of one or more registration statements on Form S-8 with respect to the issuance of securities under such benefit plans, or (Z) the issuance of shares of Common Stock upon the exercise of, or otherwise pursuant to any such Equity Awards.</w:t>
      </w:r>
    </w:p>
    <w:p>
      <w:pPr>
        <w:pStyle w:val="TextBody"/>
        <w:bidi w:val="0"/>
        <w:spacing w:before="0" w:after="0"/>
        <w:jc w:val="center"/>
        <w:rPr>
          <w:bdr w:val="single" w:sz="16" w:space="6" w:color="DCDCDC"/>
        </w:rPr>
      </w:pPr>
      <w:r>
        <w:rPr>
          <w:bdr w:val="single" w:sz="16" w:space="6" w:color="DCDCDC"/>
        </w:rPr>
        <w:t>24</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During the Lock-Up Period, the Company will enforce all agreements between the Company and any of its security holders that restrict or prohibit, expressly or in operation, the offer, sale or transfer of shares of Common Stock or securities convertible into or exchangeable or exercisable for any shares of Common Stock, or any of the other actions restricted or prohibited under the terms of the form of “lock-up” agreement attached as Exhibit C.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directors and shareholders pursuant to Section 6(m) hereof.</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Company will comply with the Securities Act and the Exchange Act so as to permit the completion of the distribution of the Shares as contemplated by this Agreement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Registration Statement, the Pricing Disclosure Package and the Prospectus. Without limiting the generality of the foregoing, the Company will, during the period when a prospectus relating to the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 Additionally, the Company shall report the use of proceeds from the issuance of the Shares as may be required under Rule 463 under the Securities Act.</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[Reserved]</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During a period of five years from the effective date of the Registration Statement, the Company will make available on EDGAR (or any successor or additional filing location required under applicable rules and regulations of the Commission) or furnish to you copies of all reports or other communications (financial or other) furnished to shareholders generally, and will deliver to you (A) as soon as they are available, copies of any reports and financial statements furnished to or filed with the Commission or any national securities exchange on which any class of securities of the Company is listed, and (B) such additional information concerning the business and financial condition of the Company as you may from time to time reasonably request (such financial statements to be on a consolidated basis to the extent the accounts of the Company and the Subsidiaries are consolidated in reports furnished to its shareholders generally or to the Commission); provided, the Company will be deemed to have furnished such reports, financial statements and other information to the extent such reports, financial statements and other information is filed with the Commission and publicly available.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The Company shall not invest or otherwise use the proceeds received by the Company from its sale of the Shares in such a manner as could require the Company or any of the Subsidiaries to register as an investment company under the Investment Company Act.</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If the Company elects to rely upon Rule 462(b) under the Securities Act, the Company will file a Rule 462(b) Registration Statement with the Commission in compliance with Rule 462(b) by 10:00 p.m., New York City time, on the date of this Agreement, and at the time of filing either will pay to the Commission the filing fee for the Rule 462(b) Registration Statement or will give irrevocable instructions for the payment of such fee pursuant to Rule 111(b) under the Securities Act.</w:t>
      </w:r>
    </w:p>
    <w:p>
      <w:pPr>
        <w:pStyle w:val="TextBody"/>
        <w:bidi w:val="0"/>
        <w:spacing w:before="0" w:after="0"/>
        <w:jc w:val="center"/>
        <w:rPr>
          <w:bdr w:val="single" w:sz="16" w:space="6" w:color="DCDCDC"/>
        </w:rPr>
      </w:pPr>
      <w:r>
        <w:rPr>
          <w:bdr w:val="single" w:sz="16" w:space="6" w:color="DCDCDC"/>
        </w:rPr>
        <w:t>25</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If so requested by the Representative, the Company shall cause to be prepared and delivered, at its expense, within one business day from the effective date of this Agreement, to the Representative an “electronic Prospectus” to be used by the Underwriters in connection with the offering and sale of the Shares. As used herein, the term “electronic Prospectus” means a form of preliminary prospectus, Pricing Prospectus, any Issuer Free Writing Prospectus or the Prospectus, and any amendment or supplement thereto, that meets each of the following conditions: (A) it shall be encoded in an electronic format, satisfactory to the Representative, that may be transmitted electronically by the Representative and the other Underwriters to offerees and purchasers of the Shares, (B) it shall disclose the same information as such paper preliminary prospectus, Issuer Free Writing Prospectus or the Prospectus, as the case may be, and (C) it shall be in or convertible into a paper format or an electronic format, satisfactory to the Representative, that will allow investors to store and have continuously ready access to such preliminary prospectus, Issuer Free Writing Prospectus or the Prospectus at any future time, without charge to investors (other than any fee charged for subscription to the Internet generally). The Company hereby confirms that, if so requested by the Representative, it has included or will include in the Prospectus filed with the Commission an undertaking that, upon receipt of a request by an investor or his or her representative, the Company shall transmit or cause to be transmitted promptly, without charge, a paper copy of such paper preliminary prospectus, Issuer Free Writing Prospectus or the Prospectus to such investor or representative.</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[Reserved.]</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The Company will not take, and will use commercially reasonable efforts to prohibit any affiliate of the Company from taking, directly or indirectly, any action designed to cause or result in or which constitutes or might reasonably be expected to constitute stabilization or manipulation of the price of the Shares or any reference security with respect to the Shares, whether to facilitate the sale or resale of the Shares or otherwise, and the Company will, and shall cause each of its affiliates to, comply with all applicable provisions of Regulation M.</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              The Company represents and agrees that, without the prior consent of the Representative, it has not made and will not make any offer relating to the Shares that could constitute a “free writing prospectus” as defined in Rule 405 under the Securities Act; any such free writing prospectus the use of which has been consented to by the Company and the Representative is listed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(xxiii)             The Company has complied and will comply with the requirements of Rule 433 under the Securities Act applicable to any Issuer Free Writing Prospectus, including timely filing with the Commission or retention where required and legending; the Company represents that it has satisfied and agrees that it will satisfy the conditions under Rule 433 under the Securities Act to avoid a requirement to file with the Commission any electronic “road show” (as defined in Rule 433 under the Securities Act).</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During the period beginning on the date hereof and ending on the later of the fifth anniversary of the Closing Date or the date on which the Underwriters receive full payment in satisfaction of any claim for indemnification or contribution to which they may be entitled pursuant to Section 8 or Section 9 of this Agreement, the Company shall not, without the prior written consent of the Representative, take or permit to be taken any action that could result in the Bank’s common stock becoming subject to any security interest, mortgage, pledge, lien or encumbrance.</w:t>
      </w:r>
    </w:p>
    <w:p>
      <w:pPr>
        <w:pStyle w:val="TextBody"/>
        <w:bidi w:val="0"/>
        <w:spacing w:before="0" w:after="0"/>
        <w:jc w:val="center"/>
        <w:rPr>
          <w:bdr w:val="single" w:sz="16" w:space="6" w:color="DCDCDC"/>
        </w:rPr>
      </w:pPr>
      <w:r>
        <w:rPr>
          <w:bdr w:val="single" w:sz="16" w:space="6" w:color="DCDCDC"/>
        </w:rPr>
        <w:t>26</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The Company and its Subsidiaries will comply with all effective applicable provisions of the Sarbanes-Oxley Act of 2002.</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 </w:t>
      </w:r>
      <w:r>
        <w:rPr>
          <w:rFonts w:ascii="Times New Roman;Times;Serif" w:hAnsi="Times New Roman;Times;Serif"/>
          <w:b w:val="false"/>
          <w:i w:val="false"/>
          <w:caps w:val="false"/>
          <w:smallCaps w:val="false"/>
          <w:sz w:val="20"/>
        </w:rPr>
        <w:t>The Company covenants and agrees with the several Underwriters that, whether or not the transactions contemplated by this Agreement are consummated, the Company will pay or cause to be paid all expenses incident to the performance of its obligations under this Agreement, including (A) the fees, disbursements and expenses of the Company’s counsel, accountants and other advisors, (B) filing fees and all other expenses in connection with the preparation, printing and filing of the Registration Statement, each preliminary prospectus, the Pricing Prospectus, any Issuer Free Writing Prospectus, any Permitted Written Testing-the-Waters Communication and the Prospectus and amendments and supplements thereto and the mailing and delivering of copies thereof to the Underwriters and dealers, (C) the cost of printing or producing this Agreement, closing documents (including any compilations thereof) and such other documents as may be required in connection with the offering, purchase, sale and delivery of the Shares, (D) all expenses in connection with the qualification of the Shares for offering and sale under state securities laws as provided in Section 4(a)(iv), including filing fees and the reasonable fees and disbursements of counsel for the Underwriters in connection with such qualification and in connection with the Blue Sky survey, (E) all fees and expenses in connection with listing the Shares on Nasdaq, (F) the costs, fees and expenses incurred by the Underwriters in connection with determining their compliance with the rules and regulations of FINRA related to the Underwriters’ participation in the offering and distribution of the Shares, including any related filing fees and the reasonable fees and disbursements of counsel to the Underwriters, (G) all fees and expenses in connection with the preparation, issuance and delivery of the certificates representing the Shares to the Underwriters, including any stock or other transfer taxes and any stamp or other duties payable upon the sale, issuance or delivery of the Shares to the Underwriters, (H) the cost and charges of any transfer agent or registrar, (I) the transportation and other expenses incurred by the Company in connection with presentations to prospective purchasers of Shares, (J) the costs and expenses of the Company relating to investor presentations on any Road Show or any Testing-the-Waters Communication undertaken in connection with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(K) any other fees and expenses incurred by the Underwriters in connection with the transactions contemplated by this Agreement, and (L) all other costs and expenses incident to the performance of its obligations hereunder which are not otherwise specifically provided for in this Section; provided, however, that the fees and expenses of the Underwriters to be paid or caused to be paid by the Company under this Section 5 shall not exceed $250,000 in the aggregate.</w:t>
      </w:r>
    </w:p>
    <w:p>
      <w:pPr>
        <w:pStyle w:val="TextBody"/>
        <w:bidi w:val="0"/>
        <w:spacing w:before="0" w:after="0"/>
        <w:jc w:val="center"/>
        <w:rPr>
          <w:bdr w:val="single" w:sz="16" w:space="6" w:color="DCDCDC"/>
        </w:rPr>
      </w:pPr>
      <w:r>
        <w:rPr>
          <w:bdr w:val="single" w:sz="16" w:space="6" w:color="DCDCDC"/>
        </w:rPr>
        <w:t>27</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6. </w:t>
      </w:r>
      <w:r>
        <w:rPr>
          <w:rFonts w:ascii="Times New Roman;Times;Serif" w:hAnsi="Times New Roman;Times;Serif"/>
          <w:b w:val="false"/>
          <w:i w:val="false"/>
          <w:caps w:val="false"/>
          <w:smallCaps w:val="false"/>
          <w:sz w:val="20"/>
        </w:rPr>
        <w:t>The several obligations of the Underwriters hereunder to purchase the Shares on the Closing Date or each Option Closing Date, as the case may be, are subject to the performance by the Company of its obligations hereunder and to the following additional conditions: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Prospectus shall have been filed with the Commission pursuant to Rule 424(b) under the Securities Act within the applicable time period prescribed for such filing by the Securities Act and in accordance with Section 4(a)(i) hereof; all material required to be filed by the Company pursuant to Rule 433(d) under the Securities Act shall have been filed with the Commission within the applicable time period prescribed for such filing by Rule 433 under the Securities Act; if the Company has elected to rely upon Rule 462(b) under the Securities Act, the Rule 462(b) Registration Statement shall have become effective by 10:00 p.m., New York City time, on the date of this Agreement; the Registration Statement has become effective and no stop order suspending the effectiveness of the Registration Statement or any part thereof or the Prospectus or any part thereof or any Issuer Free Writing Prospectus shall have been issued and no proceeding for that purpose shall have been initiated or threatened by the Commission or any state securities commission; and all requests for additional information on the part of the Commission shall have been complied with to your reasonable satisfaction.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representations and warranties of the Company contained herein are true and correct on and as of the Closing Date or the Option Closing Date, as the case may be, as if made on and as of the Closing Date or the Option Closing Date, as the case may be, and the Company shall have complied with all agreements and all conditions on its part to be performed or satisfied hereunder at or prior to the Closing Date or the Option Closing Date, as the case may be.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Subsequent to the execution and delivery of this Agreement and prior to the Closing Date or the Option Closing Date, as the case may be, there shall not have occurred any downgrading, nor shall any notice have been given of (i) any downgrading, (ii) any intended or potential downgrading, or (iii) any review or possible change that does not indicate an improvement, in the rating accorded any securities of or guaranteed by the Company or any Subsidiary by any “nationally recognized statistical rating organization”, as such term is defined for purposes of Rule 436(g)(2) under the Securities Act.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Neither the Company nor any Subsidiary shall have sustained since the date of the latest audited financial statements included in the Pricing Prospectus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Registration Statement and the Prospectus, (A) there shall not have been any change in the capital stock or long-term debt of the Company or any Subsidiary, and (B) there shall not have been any Material Adverse Effect, the effect of which, in any such case described in clause (i) or (ii), is in the judgment of the Representative so material and adverse as to make it impracticable or inadvisable to proceed with the public offering or the delivery of the Shares being delivered at such Closing Date or Option Closing Date, as the case may be, on the terms and in the manner contemplated in the Pricing Prospectus.</w:t>
      </w:r>
    </w:p>
    <w:p>
      <w:pPr>
        <w:pStyle w:val="TextBody"/>
        <w:bidi w:val="0"/>
        <w:spacing w:before="0" w:after="0"/>
        <w:jc w:val="center"/>
        <w:rPr>
          <w:bdr w:val="single" w:sz="16" w:space="6" w:color="DCDCDC"/>
        </w:rPr>
      </w:pPr>
      <w:r>
        <w:rPr>
          <w:bdr w:val="single" w:sz="16" w:space="6" w:color="DCDCDC"/>
        </w:rPr>
        <w:t>28</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Representative shall have received on and as of the Closing Date or the Option Closing Date, as the case may be, a certificate of two executive officers of the Company, at least one of whom has specific knowledge about the Company’s financial matters, satisfactory to the Representative, to the effect (A) set forth in Section 6(b) (with respect to the respective representations, warranties, agreements and conditions of the Company) and Section 6(c), (B) that none of the situations set forth in clause (i) or (ii) of Section 6(d) shall have occurred, and (C) that no stop order suspending the effectiveness of the Registration Statement has been issued and to the knowledge of the Company, no proceedings for that purpose have been instituted or are pending or contemplated by the Commission;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On the Closing Date or Option Closing Date, as the case may be, Covington &amp; Burling LLP, counsel for the Company, shall have furnished to the Representative their favorable written opinion and negative assurance letter, dated the Closing Date or the Option Closing Date, as the case may be, in form and substance satisfactory to counsel for the Underwriters, to the effect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and to such further effect as counsel for the Underwriters may reasonably request.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Company shall have furnished or caused to be furnished to the Representative on the date hereof and on the Closing Date and each Option Closing Date, certificates of the chief financial officer of the Company substantially in the form of Exhibit B hereto.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Baker Tilly US, LLP shall have furnished to the Representative a letter, dated the date of this Agreement, in form and substance satisfactory to the Representative, containing statements and information of the type customarily included in accountants’ “comfort letters” to underwriters with respect to the financial statements and certain financial information contained in the Registration Statement, the Pricing Disclosure Package and each Issuer Free Writing Prospectus, if any.</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Closing Date or Option Closing Date, as the case may be, the Representative shall have received from Baker Tilly US, LLP a letter, dated the Closing Date or such Option Closing Date, as the case may be, to the effect that it reaffirms the statements made in its letter or letters furnished pursuant to Section 6(h), except that the specified date referred to therein for the carrying out of procedures shall be not more than three business days prior to the Closing Date or such Option Closing Date, as the case may be.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 each Closing Date and Option Closing Date, the Representative shall have received the opinion of Latham &amp; Watkins LLP, counsel for the Underwriters in connection with the offer and sale of the Shares, in form and substance satisfactory to the Underwriters, dated as of such date, with executed copies for each of the other Underwriters named on the cover page of the Prospectus.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Shares to be delivered on the Closing Date or Option Closing Date, as the case may be, shall have been approved for listing on Nasdaq, subject to official notice of issuance.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FINRA shall have confirmed that it has not raised any objection with respect to the fairness and reasonableness of the underwriting terms and conditions.</w:t>
      </w:r>
    </w:p>
    <w:p>
      <w:pPr>
        <w:pStyle w:val="TextBody"/>
        <w:bidi w:val="0"/>
        <w:spacing w:before="0" w:after="0"/>
        <w:jc w:val="center"/>
        <w:rPr>
          <w:bdr w:val="single" w:sz="16" w:space="6" w:color="DCDCDC"/>
        </w:rPr>
      </w:pPr>
      <w:r>
        <w:rPr>
          <w:bdr w:val="single" w:sz="16" w:space="6" w:color="DCDCDC"/>
        </w:rPr>
        <w:t>29</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The Representative shall have received “lock-up” agreements, each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hereto, from the officers and directors of the Company listed on </w:t>
      </w:r>
      <w:r>
        <w:rPr>
          <w:rFonts w:ascii="Times New Roman;Times;Serif" w:hAnsi="Times New Roman;Times;Serif"/>
          <w:b w:val="false"/>
          <w:i w:val="false"/>
          <w:caps w:val="false"/>
          <w:smallCaps w:val="false"/>
          <w:sz w:val="20"/>
          <w:u w:val="single"/>
        </w:rPr>
        <w:t>Exhibit C-1</w:t>
      </w:r>
      <w:r>
        <w:rPr>
          <w:rFonts w:ascii="Times New Roman;Times;Serif" w:hAnsi="Times New Roman;Times;Serif"/>
          <w:b w:val="false"/>
          <w:i w:val="false"/>
          <w:caps w:val="false"/>
          <w:smallCaps w:val="false"/>
          <w:sz w:val="20"/>
        </w:rPr>
        <w:t xml:space="preserve"> hereto and such agreements shall be in full force and effect on the Closing Date or Option Closing Date, as the case may be.</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On or prior to the Closing Date or Option Closing Date, as the case may be, the Company shall have furnished to the Representative such further information, certificates and documents as the Representative shall reasonably request.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On or after the Applicable Time there shall not have occurred any of the events, circumstances or occurrences set forth in Section 12.</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Upon request of any Underwriter, to furnish, or cause to be furnished, to such Underwriter an electronic version of the Company’s trademarks, service marks and corporate logo for use on the website, if any, operated by such Underwriter for the purpose of facilitating the on-line offering of the Shares (the “</w:t>
      </w:r>
      <w:r>
        <w:rPr>
          <w:rFonts w:ascii="Times New Roman;Times;Serif" w:hAnsi="Times New Roman;Times;Serif"/>
          <w:b/>
          <w:i w:val="false"/>
          <w:caps w:val="false"/>
          <w:smallCaps w:val="false"/>
          <w:sz w:val="20"/>
        </w:rPr>
        <w:t>License</w:t>
      </w:r>
      <w:r>
        <w:rPr>
          <w:rFonts w:ascii="Times New Roman;Times;Serif" w:hAnsi="Times New Roman;Times;Serif"/>
          <w:b w:val="false"/>
          <w:i w:val="false"/>
          <w:caps w:val="false"/>
          <w:smallCaps w:val="false"/>
          <w:sz w:val="20"/>
        </w:rPr>
        <w:t>”); provided, however, that the License shall be used solely for the purpose described above, is granted without any fee and may not be assigned or transferred.</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condition specified in this Section 6 shall not have been fulfilled when and as required to be fulfilled, this Agreement may be terminated, subject to the provisions of Section 13, by the Representative by notice to the Company at any time at or prior to the Closing Date or Option Closing Date, as the case may be, and such termination shall be without liability of any party to any other party, except as provided in Section 5, Section 8 and Section 13.</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7. </w:t>
      </w:r>
      <w:r>
        <w:rPr>
          <w:rFonts w:ascii="Times New Roman;Times;Serif" w:hAnsi="Times New Roman;Times;Serif"/>
          <w:b w:val="false"/>
          <w:i w:val="false"/>
          <w:caps w:val="false"/>
          <w:smallCaps w:val="false"/>
          <w:sz w:val="20"/>
        </w:rPr>
        <w:t>This Agreement shall become effective upon the execution and delivery hereof by the parties hereto.</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Indemnification of Underwriters</w:t>
      </w:r>
      <w:r>
        <w:rPr>
          <w:rFonts w:ascii="Times New Roman;Times;Serif" w:hAnsi="Times New Roman;Times;Serif"/>
          <w:b w:val="false"/>
          <w:i w:val="false"/>
          <w:caps w:val="false"/>
          <w:smallCaps w:val="false"/>
          <w:sz w:val="20"/>
        </w:rPr>
        <w:t>. The Company agrees to indemnify and hold harmless each Underwriter, its affiliates (as such term is defined in Rule 501(b) of the Securities Act Regulations (each, an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partners, selling agents, officers and directors and each person, if any, who controls any Underwriter within the meaning of Section 15 of the Securities Act or Section 20 of the Exchange Act as follows:</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of the Securities Act (“</w:t>
      </w:r>
      <w:r>
        <w:rPr>
          <w:rFonts w:ascii="Times New Roman;Times;Serif" w:hAnsi="Times New Roman;Times;Serif"/>
          <w:b/>
          <w:i w:val="false"/>
          <w:caps w:val="false"/>
          <w:smallCaps w:val="false"/>
          <w:sz w:val="20"/>
        </w:rPr>
        <w:t>Rule 430B</w:t>
      </w:r>
      <w:r>
        <w:rPr>
          <w:rFonts w:ascii="Times New Roman;Times;Serif" w:hAnsi="Times New Roman;Times;Serif"/>
          <w:b w:val="false"/>
          <w:i w:val="false"/>
          <w:caps w:val="false"/>
          <w:smallCaps w:val="false"/>
          <w:sz w:val="20"/>
        </w:rPr>
        <w:t>”),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any Issuer Free Writing Prospectus, the Pricing Disclosure Package or the Prospectus (or any amendment or supplement thereto), or the omission or alleged omission in any preliminary prospectus, any Issuer Free Writing Prospectus, the Pricing Disclosure Package or the Prospectus (or any amendment or supplement thereto) of a material fact necessary in order to make the statements therein, in the light of the circumstances under which they were made, not misleading;</w:t>
      </w:r>
    </w:p>
    <w:p>
      <w:pPr>
        <w:pStyle w:val="TextBody"/>
        <w:bidi w:val="0"/>
        <w:spacing w:before="0" w:after="0"/>
        <w:jc w:val="center"/>
        <w:rPr>
          <w:bdr w:val="single" w:sz="16" w:space="6" w:color="DCDCDC"/>
        </w:rPr>
      </w:pPr>
      <w:r>
        <w:rPr>
          <w:bdr w:val="single" w:sz="16" w:space="6" w:color="DCDCDC"/>
        </w:rPr>
        <w:t>30</w:t>
      </w:r>
    </w:p>
    <w:p>
      <w:pPr>
        <w:pStyle w:val="TextBody"/>
        <w:bidi w:val="0"/>
        <w:spacing w:before="120" w:after="240"/>
        <w:jc w:val="left"/>
        <w:rPr/>
      </w:pPr>
      <w:r>
        <w:rPr/>
        <w:t> </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8(d) hereof) any such settlement is effected with the written consent of the Company;</w:t>
      </w:r>
    </w:p>
    <w:p>
      <w:pPr>
        <w:pStyle w:val="TextBody"/>
        <w:bidi w:val="0"/>
        <w:spacing w:before="0" w:after="20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against any and all expense whatsoever, as incurred (including the fees and disbursements of counsel chosen by the Representative), reasonably incurred in investigating, preparing or defending against, or appearing as a witness or providing information or documents in connection with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this indemnity agreement shall not apply to any loss, liability, claim, damage or expense to the extent arising out of any untrue statement or omission or alleged untrue statement or omission made in the Registration Statement (or any amendment thereto), including any information deemed to be a part thereof pursuant to Rule 430B, or in any preliminary prospectus, any Issuer Free Writing Prospectus, the Pricing Disclosure Package or the Prospectus (or any amendment or supplement thereto) in reliance upon and in conformity with the Underwriter Information.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Indemnification of Company, Directors and Officers</w:t>
      </w:r>
      <w:r>
        <w:rPr>
          <w:rFonts w:ascii="Times New Roman;Times;Serif" w:hAnsi="Times New Roman;Times;Serif"/>
          <w:b w:val="false"/>
          <w:i w:val="false"/>
          <w:caps w:val="false"/>
          <w:smallCaps w:val="false"/>
          <w:sz w:val="20"/>
        </w:rPr>
        <w:t>. Each Underwriter severally agrees to indemnify and hold harmless the Company, its directors, each of its officers who signed the Registration Statement, and each person, if any, who controls the Company within the meaning of Section 15 of the Securities Act or Section 20 of the Exchange Act against any and all loss, liability, claim, damage and expense described in the indemnity contained in Section 8(a) hereof, as incurred, but only with respect to untrue statements or omissions, or alleged untrue statements or omissions, made in the Registration Statement (or any amendment thereto), including any information deemed to be a part thereof pursuant to Rule 430B, or in any preliminary prospectus, any Issuer Free Writing Prospectus, the Pricing Disclosure Package or the Prospectus (or any amendment or supplement thereto) in reliance upon and in conformity with the Underwriter Information.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Actions against Parties; Notification</w:t>
      </w:r>
      <w:r>
        <w:rPr>
          <w:rFonts w:ascii="Times New Roman;Times;Serif" w:hAnsi="Times New Roman;Times;Serif"/>
          <w:b w:val="false"/>
          <w:i w:val="false"/>
          <w:caps w:val="false"/>
          <w:smallCaps w:val="false"/>
          <w:sz w:val="20"/>
        </w:rPr>
        <w:t>.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8(a) hereof, counsel to the indemnified parties shall be selected by the Representative, and, in the case of parties indemnified pursuant to Section 8(b) hereof, counsel to the indemnified parties shall be selected by the Company. An indemnifying party may participate in such action and retain its own counsel at its own expense in the defense of any such action; provided, that counsel to the indemnifying party shall not (except with the prior written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8 or Section 9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pStyle w:val="TextBody"/>
        <w:bidi w:val="0"/>
        <w:spacing w:before="0" w:after="0"/>
        <w:jc w:val="center"/>
        <w:rPr>
          <w:bdr w:val="single" w:sz="16" w:space="6" w:color="DCDCDC"/>
        </w:rPr>
      </w:pPr>
      <w:r>
        <w:rPr>
          <w:bdr w:val="single" w:sz="16" w:space="6" w:color="DCDCDC"/>
        </w:rPr>
        <w:t>31</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Settlement without Consent if Failure to Reimburse</w:t>
      </w:r>
      <w:r>
        <w:rPr>
          <w:rFonts w:ascii="Times New Roman;Times;Serif" w:hAnsi="Times New Roman;Times;Serif"/>
          <w:b w:val="false"/>
          <w:i w:val="false"/>
          <w:caps w:val="false"/>
          <w:smallCaps w:val="false"/>
          <w:sz w:val="20"/>
        </w:rPr>
        <w:t>. If at any time an indemnified party shall have requested an indemnifying party to reimburse the indemnified party for fees and expenses of counsel, such indemnifying party agrees that it shall be liable for any settlement of the nature contemplated by Section 8(a)(ii) effected without its written consent if (i) such settlement is entered into more than 60 days after receipt by such indemnifying party of the aforesaid request, (ii) such indemnifying party shall have received notice of the terms of such settlement at least 45 days prior to such settlement being entered into and (iii) such indemnifying party shall not have reimbursed such indemnified party in accordance with such request prior to the date of such settlement.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w:t>
        <w:tab/>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Section 8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Shares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liabilities, claims, damages or expenses, as well as any other relevant equitable considerations.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benefits received by the Company, on the one hand, and the Underwriters, on the other hand, in connection with the offering of the Shares pursuant to this Agreement shall be deemed to be in the same respective proportions as the total net proceeds from the offering of the Shares pursuant to this Agreement (before deducting expenses) received by the Company, on the one hand, and the total underwriting discount received by the Underwriters, on the other hand, in each case as set forth on the cover of the Prospectus, bear to the aggregate public offering price of the Shares as set forth on the cover of the Prospectus.</w:t>
      </w:r>
    </w:p>
    <w:p>
      <w:pPr>
        <w:pStyle w:val="TextBody"/>
        <w:bidi w:val="0"/>
        <w:spacing w:before="0" w:after="0"/>
        <w:jc w:val="center"/>
        <w:rPr>
          <w:bdr w:val="single" w:sz="16" w:space="6" w:color="DCDCDC"/>
        </w:rPr>
      </w:pPr>
      <w:r>
        <w:rPr>
          <w:bdr w:val="single" w:sz="16" w:space="6" w:color="DCDCDC"/>
        </w:rPr>
        <w:t>32</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above in this Section 9. The aggregate amount of losses, liabilities, claims, damages and expenses incurred by an indemnified party and referred to above in this Section 9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9, no Underwriter shall be required to contribute any amount in excess of the underwriting discount received by such Underwriter in connection with the Shares underwritten by it and distributed to the public.</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person guilty of fraudulent misrepresentation (within the meaning of Section 11(f) of the Securities Act) shall be entitled to contribution from any person who was not guilty of such fraudulent misrepresentation. The Underwriters’ respective obligations to contribute pursuant to this Section 9 are several in proportion to the number of Firm Shares set forth opposite their respective names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and not joint.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9, each person, if any, who controls an Underwriter within the meaning of Section 15 of the Securities Act or Section 20 of the Exchange Act and each Underwriter’s Affiliates, officers, directors and selling agents shall have the same rights to contribution as such Underwriter,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Underwriter or Underwriters default in its or their obligations to purchase Shares hereunder on the Closing Date or any Option Closing Date and the aggregate number of Shares that such defaulting Underwriter or Underwriters agreed but failed to purchase does not exceed 10% of the total number of Shares that the Underwriters are obligated to purchase on such Closing Date or Option Closing Date, as the case may be, the Representative may make arrangements satisfactory to the Company for the purchase of such Shares by other persons, including any of the Underwriters, but if no such arrangements are made by such Closing Date or Option Closing Date, as the case may be, the non-defaulting Underwriters shall be obligated severally, in proportion to their respective commitments hereunder, to purchase the Shares that such defaulting Underwriters agreed but failed to purchase on such Closing Date or Option Closing Date, as the case may be. If any Underwriter or Underwriters so default and the aggregate number of Shares with respect to which such default or defaults occur exceeds 10% of the total number of Shares that the Underwriters are obligated to purchase on such Closing Date or Option Closing Date, as the case may be, and arrangements satisfactory to the Representative and the Company for the purchase of such Shares by other persons are not made within 36 hours after such default, this Agreement will terminate, subject to the provisions of Section 13, without liability on the part of any non-defaulting Underwriter or the Company, except as provided in Section 13. Nothing herein will relieve a defaulting Underwriter from liability for its default.</w:t>
      </w:r>
    </w:p>
    <w:p>
      <w:pPr>
        <w:pStyle w:val="TextBody"/>
        <w:bidi w:val="0"/>
        <w:spacing w:before="0" w:after="0"/>
        <w:jc w:val="center"/>
        <w:rPr>
          <w:bdr w:val="single" w:sz="16" w:space="6" w:color="DCDCDC"/>
        </w:rPr>
      </w:pPr>
      <w:r>
        <w:rPr>
          <w:bdr w:val="single" w:sz="16" w:space="6" w:color="DCDCDC"/>
        </w:rPr>
        <w:t>33</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of any such default which does not result in a termination of this Agreement, either the Representative or the Company shall have the right to postpone the Closing Date or the relevant Option Closing Date, as the case may be, for a period not exceeding seven days, in order to effect any required changes to the Registration Statement or Prospectus or any other documents or arrangements. As used in this Agreement, the term “Underwriter” includes any person substituted for an Underwriter under this Section 10.</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w:t>
        <w:tab/>
      </w:r>
      <w:r>
        <w:rPr>
          <w:rFonts w:ascii="Times New Roman;Times;Serif" w:hAnsi="Times New Roman;Times;Serif"/>
          <w:b w:val="false"/>
          <w:i w:val="false"/>
          <w:caps w:val="false"/>
          <w:smallCaps w:val="false"/>
          <w:sz w:val="20"/>
        </w:rPr>
        <w:t>[Reserved.]</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12. </w:t>
      </w:r>
      <w:r>
        <w:rPr>
          <w:rFonts w:ascii="Times New Roman;Times;Serif" w:hAnsi="Times New Roman;Times;Serif"/>
          <w:b w:val="false"/>
          <w:i w:val="false"/>
          <w:caps w:val="false"/>
          <w:smallCaps w:val="false"/>
          <w:sz w:val="20"/>
        </w:rPr>
        <w:t>Notwithstanding anything herein contained, this Agreement (or the obligations of the several Underwriters with respect to any Option Shares which have yet to be purchased) may be terminated, subject to the provisions of Section 13, in the absolute discretion of the Representative, by notice given to the Company, if after the execution and delivery of this Agreement and prior to the Closing Date or the Option Closing Date, as the case may be, (a) trading generally on the New York Stock Exchange or on Nasdaq shall have been suspended or materially limited, or minimum or maximum prices for trading have been fixed, or maximum ranges for prices have been required, by any of said exchanges or by such system or by order of the Commission, FINRA or any other governmental or regulatory authority, (b) trading of any securities of or guaranteed by the Company or any Subsidiary shall have been suspended on any exchange or in any over-the-counter market, (c) a general moratorium on commercial banking activities in New York shall have been declared by Federal or New York State authorities or a new restriction materially adversely affecting the distribution of the Firm Shares or the Option Shares, as the case may be, shall have become effective, (d)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or (e) there has occurred any other Material Adverse Effect, in each case the effect of which is such as to make it, in the judgment of the Representative, impracticable to market the Shares to be delivered on the Closing Date or Option Closing Date, as the case may be, or to enforce contracts for the sale of the Shares.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is terminated pursuant to this Section 12, such termination will be without liability of any party to any other party except as provided in Section 5 and Section 13 hereof; provided, that the provisions of Section 8 shall at all times be effective and shall survive such termination.</w:t>
      </w:r>
    </w:p>
    <w:p>
      <w:pPr>
        <w:pStyle w:val="TextBody"/>
        <w:bidi w:val="0"/>
        <w:spacing w:before="0" w:after="0"/>
        <w:jc w:val="center"/>
        <w:rPr>
          <w:bdr w:val="single" w:sz="16" w:space="6" w:color="DCDCDC"/>
        </w:rPr>
      </w:pPr>
      <w:r>
        <w:rPr>
          <w:bdr w:val="single" w:sz="16" w:space="6" w:color="DCDCDC"/>
        </w:rPr>
        <w:t>34</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respective indemnities, agreements, representations, warranties and other statements 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Shares.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this Agreement is terminated pursuant to Section 6, Section 10 or Section 12 or if for any reason the purchase of any of the Shares by the Underwriters is not consummated, the Company shall remain responsible for the expenses to be paid or reimbursed by them pursuant to Section 5, the respective obligations of the Company and the Underwriters pursuant to Section 8 and the provisions of Section 10 and Section 12 shall remain in effect and, if any Shares have been purchased hereunder, the representations and warranties in Section 1 and all obligations under Section 5, Section 6 and Section 8 shall also remain in effect.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this Agreement shall be terminated by the Underwriters, or any of them, under Section 6 or Section 12 or otherwise because of any failure or refusal on the part of the Company to comply with the terms or to fulfill any of the conditions of this Agreement, or if for any reason the Company shall be unable to perform its obligations under this Agreement or any condition of the Underwriters’ obligations cannot be fulfilled, the Company agrees to reimburse the Underwriters or such Underwriters as have so terminated this Agreement with respect to themselves, severally, for all out-of-pocket accountable expenses (including the fees and expenses of their counsel) actually reasonably incurred by the Underwriters in connection with this Agreement or the offering contemplated hereunder.</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14. </w:t>
      </w:r>
      <w:r>
        <w:rPr>
          <w:rFonts w:ascii="Times New Roman;Times;Serif" w:hAnsi="Times New Roman;Times;Serif"/>
          <w:b w:val="false"/>
          <w:i w:val="false"/>
          <w:caps w:val="false"/>
          <w:smallCaps w:val="false"/>
          <w:sz w:val="20"/>
        </w:rPr>
        <w:t>This Agreement shall inure to the benefit of and be binding upon the Company and the Underwriters, the indemnified parties referred to herein, any controlling persons referred to herein and their respective successors and assigns. Nothing expressed or mentioned in this Agreement is intended or shall be construed to give any other person, firm or corporation, other than the Underwriters, the Company and the indemnified parties referred to herein and their heirs and legal representatives, any legal or equitable right, remedy or claim under or in respect of this Agreement or any provision herein contained. No purchaser of Shares from any Underwriter shall be deemed to be a successor or assign by reason merely of such purchase.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15. </w:t>
      </w:r>
      <w:r>
        <w:rPr>
          <w:rFonts w:ascii="Times New Roman;Times;Serif" w:hAnsi="Times New Roman;Times;Serif"/>
          <w:b w:val="false"/>
          <w:i w:val="false"/>
          <w:caps w:val="false"/>
          <w:smallCaps w:val="false"/>
          <w:sz w:val="20"/>
        </w:rPr>
        <w:t>All notices and other communications hereunder shall be in writing and shall be deemed to have been duly given upon receipt thereof by the recipient if mailed, transmitted or electronically transmitted by any standard form of telecommunication. Notices to the Underwriters shall be given to the Representative, c/o Keefe, Bruyette &amp; Woods, Inc., 787 Seventh Avenue,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10019 (e-mail: kbwsyndicatedesk@kbw.com), Attention: Equity Capital Markets, with a copy (which shall not constitute notice) to Latham &amp; Watkins LLP, 10250 Constellation Boulevard, Suite 1100, Los Angeles, California 90067 (e-mail: Steven.Stokdyk@lw.com), Attention: Steven B. Stokdyk. Notices to the Company shall be given to it at Five Star Bancorp, 3100 Zinfandel Drive, Suite 100, Rancho Cordova, California 95670; Attention: Heather Luck, with a copy to (which shall not constitute notice): Covington &amp; Burling LLP, One CityCenter, 850 Tenth Street NW, Washington, DC 20001 (e-mail: cmay@cov.com, bbloodgood@cov.com), Attention: Charlotte May, Brianna M. Bloodgood.</w:t>
      </w:r>
    </w:p>
    <w:p>
      <w:pPr>
        <w:pStyle w:val="TextBody"/>
        <w:bidi w:val="0"/>
        <w:spacing w:before="0" w:after="0"/>
        <w:jc w:val="center"/>
        <w:rPr>
          <w:bdr w:val="single" w:sz="16" w:space="6" w:color="DCDCDC"/>
        </w:rPr>
      </w:pPr>
      <w:r>
        <w:rPr>
          <w:bdr w:val="single" w:sz="16" w:space="6" w:color="DCDCDC"/>
        </w:rPr>
        <w:t>35</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16. </w:t>
      </w:r>
      <w:r>
        <w:rPr>
          <w:rFonts w:ascii="Times New Roman;Times;Serif" w:hAnsi="Times New Roman;Times;Serif"/>
          <w:b w:val="false"/>
          <w:i w:val="false"/>
          <w:caps w:val="false"/>
          <w:smallCaps w:val="false"/>
          <w:sz w:val="20"/>
        </w:rPr>
        <w:t>This Agreement may be signed in counterparts, each of which shall be an original and all of which together shall constitute one and the same instrument. The exchange of copies of this Agreement and of signature pages by facsimile or other electronic means shall constitute effective execution and delivery of this Agreement by the parties hereto and may be used in lieu of the original signature pages to this Agreement for all purposes.</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17. </w:t>
      </w:r>
      <w:r>
        <w:rPr>
          <w:rFonts w:ascii="Times New Roman;Times;Serif" w:hAnsi="Times New Roman;Times;Serif"/>
          <w:b w:val="false"/>
          <w:i w:val="false"/>
          <w:caps w:val="false"/>
          <w:smallCaps w:val="false"/>
          <w:sz w:val="20"/>
        </w:rPr>
        <w:t>THIS AGREEMENT, ANY TRANSACTION CONTEMPLATED HEREUNDER AND ANY CLAIMS, CONTROVERSY OR DISPUTE ARISING UNDER OR RELATED TO THIS AGREEMENT SHALL BE GOVERNED BY AND CONSTRUED IN ACCORDANCE WITH THE LAWS OF THE STATE OF NEW YORK, WITHOUT REGARD TO SUCH STATE’S PRINCIPLES OF CONFLICTS OF LAWS THAT WOULD RESULT IN THE APPLICATION OF ANY LAW OTHER THAN THE LAWS OF THE STATE OF NEW YORK.</w:t>
      </w:r>
    </w:p>
    <w:p>
      <w:pPr>
        <w:pStyle w:val="TextBody"/>
        <w:bidi w:val="0"/>
        <w:spacing w:before="0" w:after="20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18.</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hereby submit to the jurisdiction of and venue in the state and federal courts located in the City of New York, New York, in connection with any dispute related to this Agreement including, without limitation, any suit or proceeding arising out of or relating to this Agreement, any transaction contemplated hereby, the Pricing Prospectus, the Prospectus, Registration Statement, the offering of the Shares or any other matter contemplated hereby. The Company irrevocably and unconditionally waives any objection to the laying of venue of any such suit or proceeding arising out of or relating to this Agreement, the Pricing Prospectus, the Prospectus, the Registration Statement, the offering of the Shares or any transactions contemplated hereby in a New York Court, and irrevocably and unconditionally waives and agrees not to plead or claim in any such court that any such suit or proceeding in any such court has been brought in an inconvenient forum.</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acknowledges and agrees that (i) the purchase and sale of the Shares pursuant to this Agreement, including the determination of the public offering price of the Shares and any related discounts and commissions,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or any of its shareholders, creditors, employees or any other party,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have rendered advisory services of any nature or respect, or owe a fiduciary or similar duty to the Company in connection with such transaction or the process leading thereto.</w:t>
      </w:r>
    </w:p>
    <w:p>
      <w:pPr>
        <w:pStyle w:val="TextBody"/>
        <w:bidi w:val="0"/>
        <w:spacing w:before="0" w:after="0"/>
        <w:jc w:val="center"/>
        <w:rPr>
          <w:bdr w:val="single" w:sz="16" w:space="6" w:color="DCDCDC"/>
        </w:rPr>
      </w:pPr>
      <w:r>
        <w:rPr>
          <w:bdr w:val="single" w:sz="16" w:space="6" w:color="DCDCDC"/>
        </w:rPr>
        <w:t>36</w:t>
      </w:r>
    </w:p>
    <w:p>
      <w:pPr>
        <w:pStyle w:val="TextBody"/>
        <w:bidi w:val="0"/>
        <w:spacing w:before="120" w:after="240"/>
        <w:jc w:val="left"/>
        <w:rPr/>
      </w:pPr>
      <w:r>
        <w:rPr/>
        <w:t> </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acknowledges that the Underwriters’ research 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Agreement supersedes all prior agreements and understandings (whether written or oral) between the Company and the Underwriters, or any of them, with respect to the subject matter hereof.</w:t>
      </w:r>
    </w:p>
    <w:p>
      <w:pPr>
        <w:pStyle w:val="TextBody"/>
        <w:bidi w:val="0"/>
        <w:spacing w:before="0" w:after="20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EACH OF THE UNDERWRITERS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Agreement may not be amended or modified unless in writing signed by all of the parties hereto, and no condition herein (express or implied) may be waived unless waived in writing by each party whom the condition is meant to benefit. The headings herein are for convenience only and shall not affect the construction hereof.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217" w:after="217"/>
        <w:ind w:left="217" w:right="217"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jc w:val="center"/>
        <w:rPr>
          <w:bdr w:val="single" w:sz="16" w:space="6" w:color="DCDCDC"/>
        </w:rPr>
      </w:pPr>
      <w:r>
        <w:rPr>
          <w:bdr w:val="single" w:sz="16" w:space="6" w:color="DCDCDC"/>
        </w:rPr>
        <w:t>37</w:t>
      </w:r>
    </w:p>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color w:val="232323"/>
          <w:sz w:val="20"/>
        </w:rPr>
      </w:pPr>
      <w:r>
        <w:rPr>
          <w:rFonts w:ascii="Times New Roman;Times;Serif" w:hAnsi="Times New Roman;Times;Serif"/>
          <w:b w:val="false"/>
          <w:i w:val="false"/>
          <w:caps w:val="false"/>
          <w:smallCaps w:val="false"/>
          <w:color w:val="232323"/>
          <w:sz w:val="20"/>
        </w:rPr>
        <w:t>The foregoing Underwriting Agreement is hereby confirmed and accepted by the Representative in New York, New York as of the date first above written.</w:t>
      </w:r>
    </w:p>
    <w:p>
      <w:pPr>
        <w:pStyle w:val="TextBody"/>
        <w:bidi w:val="0"/>
        <w:spacing w:before="219" w:after="219"/>
        <w:ind w:left="219" w:right="219"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KEEFE, BRUYETTE &amp; WOODS, INC.</w:t>
      </w:r>
    </w:p>
    <w:p>
      <w:pPr>
        <w:pStyle w:val="TextBody"/>
        <w:bidi w:val="0"/>
        <w:spacing w:before="9" w:after="9"/>
        <w:ind w:left="9" w:right="9"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themselves and as Representative of the other Underwriters named in Schedule I hereto</w:t>
      </w:r>
    </w:p>
    <w:p>
      <w:pPr>
        <w:pStyle w:val="TextBody"/>
        <w:bidi w:val="0"/>
        <w:spacing w:before="3" w:after="3"/>
        <w:ind w:left="3" w:right="3"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Keefe, Bruyette &amp; Woods, Inc.</w:t>
      </w:r>
    </w:p>
    <w:p>
      <w:pPr>
        <w:pStyle w:val="TextBody"/>
        <w:bidi w:val="0"/>
        <w:spacing w:before="9" w:after="9"/>
        <w:ind w:left="9" w:right="9"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Aaron J. Axton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tab/>
        <w:t>Aaron Axton</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tab/>
        <w:t>  Managing Director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the Underwriting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the Company a counterpart hereof, whereupon this instrument will become a binding agreement among the Company and the Underwriters.</w:t>
      </w:r>
    </w:p>
    <w:tbl>
      <w:tblPr>
        <w:tblW w:w="4990" w:type="dxa"/>
        <w:jc w:val="left"/>
        <w:tblInd w:w="0" w:type="dxa"/>
        <w:tblLayout w:type="fixed"/>
        <w:tblCellMar>
          <w:top w:w="0" w:type="dxa"/>
          <w:left w:w="0" w:type="dxa"/>
          <w:bottom w:w="0" w:type="dxa"/>
          <w:right w:w="0" w:type="dxa"/>
        </w:tblCellMar>
      </w:tblPr>
      <w:tblGrid>
        <w:gridCol w:w="75"/>
        <w:gridCol w:w="590"/>
        <w:gridCol w:w="43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FIVE STAR BANCORP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4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Heather Luck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Heather Luck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4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Financial Officer</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the Underwriting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jc w:val="center"/>
        <w:rPr>
          <w:caps w:val="false"/>
          <w:smallCaps w:val="false"/>
        </w:rPr>
      </w:pPr>
      <w:r>
        <w:rPr>
          <w:caps w:val="false"/>
          <w:smallCaps w:val="false"/>
        </w:rPr>
        <w:t> </w:t>
      </w:r>
    </w:p>
    <w:tbl>
      <w:tblPr>
        <w:tblW w:w="6504" w:type="dxa"/>
        <w:jc w:val="left"/>
        <w:tblInd w:w="0" w:type="dxa"/>
        <w:tblLayout w:type="fixed"/>
        <w:tblCellMar>
          <w:top w:w="0" w:type="dxa"/>
          <w:left w:w="0" w:type="dxa"/>
          <w:bottom w:w="28" w:type="dxa"/>
          <w:right w:w="0" w:type="dxa"/>
        </w:tblCellMar>
      </w:tblPr>
      <w:tblGrid>
        <w:gridCol w:w="3380"/>
        <w:gridCol w:w="540"/>
        <w:gridCol w:w="143"/>
        <w:gridCol w:w="2366"/>
        <w:gridCol w:w="75"/>
      </w:tblGrid>
      <w:tr>
        <w:trPr/>
        <w:tc>
          <w:tcPr>
            <w:tcW w:w="3380" w:type="dxa"/>
            <w:tcBorders>
              <w:bottom w:val="single" w:sz="8" w:space="0" w:color="000000"/>
            </w:tcBorders>
            <w:vAlign w:val="center"/>
          </w:tcPr>
          <w:p>
            <w:pPr>
              <w:pStyle w:val="TableContents"/>
              <w:bidi w:val="0"/>
              <w:spacing w:before="0" w:after="283"/>
              <w:jc w:val="left"/>
              <w:rPr>
                <w:b/>
              </w:rPr>
            </w:pPr>
            <w:r>
              <w:rPr>
                <w:b/>
              </w:rPr>
              <w:t>Name of Underwriter</w:t>
            </w:r>
          </w:p>
        </w:tc>
        <w:tc>
          <w:tcPr>
            <w:tcW w:w="540" w:type="dxa"/>
            <w:tcBorders/>
            <w:tcMar>
              <w:bottom w:w="0" w:type="dxa"/>
            </w:tcMar>
            <w:vAlign w:val="center"/>
          </w:tcPr>
          <w:p>
            <w:pPr>
              <w:pStyle w:val="TableContents"/>
              <w:bidi w:val="0"/>
              <w:spacing w:before="0" w:after="283"/>
              <w:jc w:val="left"/>
              <w:rPr/>
            </w:pPr>
            <w:r>
              <w:rPr/>
              <w:t> </w:t>
            </w:r>
          </w:p>
        </w:tc>
        <w:tc>
          <w:tcPr>
            <w:tcW w:w="2509" w:type="dxa"/>
            <w:gridSpan w:val="2"/>
            <w:tcBorders>
              <w:bottom w:val="single" w:sz="8" w:space="0" w:color="000000"/>
            </w:tcBorders>
            <w:vAlign w:val="center"/>
          </w:tcPr>
          <w:p>
            <w:pPr>
              <w:pStyle w:val="TableContents"/>
              <w:bidi w:val="0"/>
              <w:spacing w:before="0" w:after="283"/>
              <w:jc w:val="center"/>
              <w:rPr>
                <w:b/>
              </w:rPr>
            </w:pPr>
            <w:r>
              <w:rPr>
                <w:b/>
              </w:rPr>
              <w:t xml:space="preserve">Number of Firm Shares </w:t>
              <w:br/>
              <w:t>to be Purchased</w:t>
            </w:r>
          </w:p>
        </w:tc>
        <w:tc>
          <w:tcPr>
            <w:tcW w:w="75" w:type="dxa"/>
            <w:tcBorders/>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283"/>
              <w:jc w:val="left"/>
              <w:rPr/>
            </w:pPr>
            <w:r>
              <w:rPr/>
              <w:t>Keefe, Bruyette &amp; Woods, Inc.</w:t>
            </w:r>
          </w:p>
        </w:tc>
        <w:tc>
          <w:tcPr>
            <w:tcW w:w="54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2366" w:type="dxa"/>
            <w:tcBorders/>
            <w:shd w:fill="CCEEFF" w:val="clear"/>
            <w:tcMar>
              <w:bottom w:w="0" w:type="dxa"/>
            </w:tcMar>
            <w:vAlign w:val="center"/>
          </w:tcPr>
          <w:p>
            <w:pPr>
              <w:pStyle w:val="TableContents"/>
              <w:bidi w:val="0"/>
              <w:spacing w:before="0" w:after="283"/>
              <w:jc w:val="right"/>
              <w:rPr/>
            </w:pPr>
            <w:r>
              <w:rPr/>
              <w:t>1,771,250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Stephens Inc.</w:t>
            </w:r>
          </w:p>
        </w:tc>
        <w:tc>
          <w:tcPr>
            <w:tcW w:w="54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2366" w:type="dxa"/>
            <w:tcBorders/>
            <w:shd w:fill="FFFFFF" w:val="clear"/>
            <w:tcMar>
              <w:bottom w:w="0" w:type="dxa"/>
            </w:tcMar>
            <w:vAlign w:val="center"/>
          </w:tcPr>
          <w:p>
            <w:pPr>
              <w:pStyle w:val="TableContents"/>
              <w:bidi w:val="0"/>
              <w:spacing w:before="0" w:after="283"/>
              <w:jc w:val="right"/>
              <w:rPr/>
            </w:pPr>
            <w:r>
              <w:rPr/>
              <w:t>340,625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shd w:fill="CCEEFF" w:val="clear"/>
            <w:tcMar>
              <w:bottom w:w="0" w:type="dxa"/>
            </w:tcMar>
            <w:vAlign w:val="center"/>
          </w:tcPr>
          <w:p>
            <w:pPr>
              <w:pStyle w:val="TableContents"/>
              <w:bidi w:val="0"/>
              <w:spacing w:before="0" w:after="283"/>
              <w:jc w:val="left"/>
              <w:rPr/>
            </w:pPr>
            <w:r>
              <w:rPr/>
              <w:t>D.A. Davidson &amp; Co.</w:t>
            </w:r>
          </w:p>
        </w:tc>
        <w:tc>
          <w:tcPr>
            <w:tcW w:w="54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2366" w:type="dxa"/>
            <w:tcBorders/>
            <w:shd w:fill="CCEEFF" w:val="clear"/>
            <w:tcMar>
              <w:bottom w:w="0" w:type="dxa"/>
            </w:tcMar>
            <w:vAlign w:val="center"/>
          </w:tcPr>
          <w:p>
            <w:pPr>
              <w:pStyle w:val="TableContents"/>
              <w:bidi w:val="0"/>
              <w:spacing w:before="0" w:after="283"/>
              <w:jc w:val="right"/>
              <w:rPr/>
            </w:pPr>
            <w:r>
              <w:rPr/>
              <w:t>272,500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Raymond James &amp; Associates, Inc.</w:t>
            </w:r>
          </w:p>
        </w:tc>
        <w:tc>
          <w:tcPr>
            <w:tcW w:w="54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2366" w:type="dxa"/>
            <w:tcBorders/>
            <w:shd w:fill="FFFFFF" w:val="clear"/>
            <w:tcMar>
              <w:bottom w:w="0" w:type="dxa"/>
            </w:tcMar>
            <w:vAlign w:val="center"/>
          </w:tcPr>
          <w:p>
            <w:pPr>
              <w:pStyle w:val="TableContents"/>
              <w:bidi w:val="0"/>
              <w:spacing w:before="0" w:after="283"/>
              <w:jc w:val="right"/>
              <w:rPr/>
            </w:pPr>
            <w:r>
              <w:rPr/>
              <w:t>272,500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80" w:type="dxa"/>
            <w:tcBorders>
              <w:bottom w:val="single" w:sz="8" w:space="0" w:color="000000"/>
            </w:tcBorders>
            <w:shd w:fill="CCEEFF" w:val="clear"/>
            <w:vAlign w:val="center"/>
          </w:tcPr>
          <w:p>
            <w:pPr>
              <w:pStyle w:val="TableContents"/>
              <w:bidi w:val="0"/>
              <w:spacing w:before="0" w:after="283"/>
              <w:jc w:val="left"/>
              <w:rPr/>
            </w:pPr>
            <w:r>
              <w:rPr/>
              <w:t>Brean Capital, LLC</w:t>
            </w:r>
          </w:p>
        </w:tc>
        <w:tc>
          <w:tcPr>
            <w:tcW w:w="540" w:type="dxa"/>
            <w:tcBorders/>
            <w:shd w:fill="CCEEFF" w:val="clear"/>
            <w:tcMar>
              <w:bottom w:w="0" w:type="dxa"/>
            </w:tcMar>
            <w:vAlign w:val="center"/>
          </w:tcPr>
          <w:p>
            <w:pPr>
              <w:pStyle w:val="TableContents"/>
              <w:bidi w:val="0"/>
              <w:spacing w:before="0" w:after="283"/>
              <w:jc w:val="left"/>
              <w:rPr/>
            </w:pPr>
            <w:r>
              <w:rPr/>
              <w:t>         </w:t>
            </w:r>
          </w:p>
        </w:tc>
        <w:tc>
          <w:tcPr>
            <w:tcW w:w="143" w:type="dxa"/>
            <w:tcBorders>
              <w:bottom w:val="single" w:sz="8" w:space="0" w:color="000000"/>
            </w:tcBorders>
            <w:shd w:fill="CCEEFF" w:val="clear"/>
            <w:vAlign w:val="center"/>
          </w:tcPr>
          <w:p>
            <w:pPr>
              <w:pStyle w:val="TableContents"/>
              <w:bidi w:val="0"/>
              <w:spacing w:before="0" w:after="283"/>
              <w:jc w:val="left"/>
              <w:rPr/>
            </w:pPr>
            <w:r>
              <w:rPr/>
              <w:t> </w:t>
            </w:r>
          </w:p>
        </w:tc>
        <w:tc>
          <w:tcPr>
            <w:tcW w:w="2366" w:type="dxa"/>
            <w:tcBorders>
              <w:bottom w:val="single" w:sz="8" w:space="0" w:color="000000"/>
            </w:tcBorders>
            <w:shd w:fill="CCEEFF" w:val="clear"/>
            <w:vAlign w:val="center"/>
          </w:tcPr>
          <w:p>
            <w:pPr>
              <w:pStyle w:val="TableContents"/>
              <w:bidi w:val="0"/>
              <w:spacing w:before="0" w:after="283"/>
              <w:jc w:val="right"/>
              <w:rPr/>
            </w:pPr>
            <w:r>
              <w:rPr/>
              <w:t>68,125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80" w:type="dxa"/>
            <w:tcBorders/>
            <w:shd w:fill="FFFFFF" w:val="clear"/>
            <w:tcMar>
              <w:bottom w:w="0" w:type="dxa"/>
            </w:tcMar>
            <w:vAlign w:val="center"/>
          </w:tcPr>
          <w:p>
            <w:pPr>
              <w:pStyle w:val="TableContents"/>
              <w:bidi w:val="0"/>
              <w:spacing w:before="0" w:after="283"/>
              <w:jc w:val="left"/>
              <w:rPr/>
            </w:pPr>
            <w:r>
              <w:rPr/>
              <w:t>Total</w:t>
            </w:r>
          </w:p>
        </w:tc>
        <w:tc>
          <w:tcPr>
            <w:tcW w:w="54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2366" w:type="dxa"/>
            <w:tcBorders/>
            <w:shd w:fill="FFFFFF" w:val="clear"/>
            <w:tcMar>
              <w:bottom w:w="0" w:type="dxa"/>
            </w:tcMar>
            <w:vAlign w:val="center"/>
          </w:tcPr>
          <w:p>
            <w:pPr>
              <w:pStyle w:val="TableContents"/>
              <w:bidi w:val="0"/>
              <w:spacing w:before="0" w:after="283"/>
              <w:jc w:val="right"/>
              <w:rPr/>
            </w:pPr>
            <w:r>
              <w:rPr/>
              <w:t>2,725,000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Schedule 1</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Issuer Free Writing Prospectuses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Electronic Road Shows or Other Written Communications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Pricing Information Conveyed Orally to Investors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is $44.00.</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Firm Shares to be purchased by the Underwriters is 2,725,000.</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Option Shares to be purchased at the option of the Underwriters is up to 408,750.</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Schedule 2</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9" w:after="9"/>
        <w:ind w:left="9" w:right="9" w:hanging="0"/>
        <w:jc w:val="center"/>
        <w:rPr>
          <w:caps w:val="false"/>
          <w:smallCaps w:val="false"/>
        </w:rPr>
      </w:pPr>
      <w:r>
        <w:rPr>
          <w:caps w:val="false"/>
          <w:smallCaps w:val="false"/>
        </w:rPr>
        <w:t> </w:t>
      </w:r>
    </w:p>
    <w:p>
      <w:pPr>
        <w:pStyle w:val="TextBody"/>
        <w:bidi w:val="0"/>
        <w:spacing w:before="1" w:after="1"/>
        <w:ind w:left="1" w:right="1"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Permitted Written Testing-the-Waters Communications</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 Investor Presentation dated July 20,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Schedule 3</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Opinion Of Counsel To The Company</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Chief Financial Officer’s Certificate</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Lock-up Agreement</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C-1</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List of Persons Executing Lock-Up Agreements</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jc w:val="right"/>
        <w:rPr>
          <w:caps w:val="false"/>
          <w:smallCaps w:val="false"/>
        </w:rPr>
      </w:pPr>
      <w:bookmarkStart w:id="27" w:name="e26308_ex5-1.htm"/>
      <w:bookmarkStart w:id="28" w:name="kse26308_ex51"/>
      <w:bookmarkEnd w:id="27"/>
      <w:bookmarkEnd w:id="2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 </w:t>
      </w:r>
    </w:p>
    <w:p>
      <w:pPr>
        <w:pStyle w:val="TextBody"/>
        <w:bidi w:val="0"/>
        <w:spacing w:before="0" w:after="0"/>
        <w:jc w:val="right"/>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4800"/>
        <w:gridCol w:w="60"/>
        <w:gridCol w:w="2580"/>
      </w:tblGrid>
      <w:tr>
        <w:trPr/>
        <w:tc>
          <w:tcPr>
            <w:tcW w:w="4800" w:type="dxa"/>
            <w:tcBorders/>
            <w:vAlign w:val="center"/>
          </w:tcPr>
          <w:p>
            <w:pPr>
              <w:pStyle w:val="TableContents"/>
              <w:bidi w:val="0"/>
              <w:spacing w:before="0" w:after="283"/>
              <w:jc w:val="left"/>
              <w:rPr>
                <w:caps w:val="false"/>
                <w:smallCaps w:val="false"/>
              </w:rPr>
            </w:pPr>
            <w:r>
              <w:rPr>
                <w:caps w:val="false"/>
                <w:smallCaps w:val="false"/>
              </w:rPr>
              <w:t> </w:t>
            </w:r>
            <w:r>
              <w:rPr>
                <w:caps w:val="false"/>
                <w:smallCaps w:val="false"/>
              </w:rPr>
              <w:drawing>
                <wp:inline distT="0" distB="0" distL="0" distR="0">
                  <wp:extent cx="300037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0375" cy="685800"/>
                          </a:xfrm>
                          <a:prstGeom prst="rect">
                            <a:avLst/>
                          </a:prstGeom>
                        </pic:spPr>
                      </pic:pic>
                    </a:graphicData>
                  </a:graphic>
                </wp:inline>
              </w:drawing>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8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59067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90675" cy="676275"/>
                          </a:xfrm>
                          <a:prstGeom prst="rect">
                            <a:avLst/>
                          </a:prstGeom>
                        </pic:spPr>
                      </pic:pic>
                    </a:graphicData>
                  </a:graphic>
                </wp:inline>
              </w:drawing>
            </w:r>
            <w:r>
              <w:rPr>
                <w:caps w:val="false"/>
                <w:smallCaps w:val="false"/>
              </w:rPr>
              <w:t> </w:t>
            </w:r>
          </w:p>
        </w:tc>
      </w:tr>
    </w:tbl>
    <w:p>
      <w:pPr>
        <w:pStyle w:val="TextBody"/>
        <w:bidi w:val="0"/>
        <w:spacing w:before="0" w:after="0"/>
        <w:jc w:val="right"/>
        <w:rPr>
          <w:caps w:val="false"/>
          <w:smallCaps w:val="false"/>
        </w:rPr>
      </w:pPr>
      <w:r>
        <w:rPr>
          <w:caps w:val="false"/>
          <w:smallCaps w:val="false"/>
        </w:rPr>
        <w:t> </w:t>
      </w:r>
    </w:p>
    <w:p>
      <w:pPr>
        <w:pStyle w:val="TextBody"/>
        <w:bidi w:val="0"/>
        <w:spacing w:before="0" w:after="0"/>
        <w:ind w:left="57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p>
      <w:pPr>
        <w:pStyle w:val="TextBody"/>
        <w:bidi w:val="0"/>
        <w:spacing w:before="0" w:after="0"/>
        <w:ind w:left="648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3100 Zinfandel Drive, Suite 100</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Cordova, California 95670</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&amp; Gentlemen: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Five Star Bancorp, a California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are rendering this opinion in connection with the registration by the Company under the Securities Act of 1933 (the “</w:t>
      </w:r>
      <w:r>
        <w:rPr>
          <w:rFonts w:ascii="Times New Roman;Times;Serif" w:hAnsi="Times New Roman;Times;Serif"/>
          <w:b w:val="false"/>
          <w:i/>
          <w:caps w:val="false"/>
          <w:smallCaps w:val="false"/>
          <w:sz w:val="20"/>
        </w:rPr>
        <w:t>Securities Act</w:t>
      </w:r>
      <w:r>
        <w:rPr>
          <w:rFonts w:ascii="Times New Roman;Times;Serif" w:hAnsi="Times New Roman;Times;Serif"/>
          <w:b w:val="false"/>
          <w:i w:val="false"/>
          <w:caps w:val="false"/>
          <w:smallCaps w:val="false"/>
          <w:sz w:val="20"/>
        </w:rPr>
        <w:t>”) of the offer and sale of 3,133,750 shares (the “</w:t>
      </w:r>
      <w:r>
        <w:rPr>
          <w:rFonts w:ascii="Times New Roman;Times;Serif" w:hAnsi="Times New Roman;Times;Serif"/>
          <w:b w:val="false"/>
          <w:i/>
          <w:caps w:val="false"/>
          <w:smallCaps w:val="false"/>
          <w:sz w:val="20"/>
        </w:rPr>
        <w:t>Shares</w:t>
      </w:r>
      <w:r>
        <w:rPr>
          <w:rFonts w:ascii="Times New Roman;Times;Serif" w:hAnsi="Times New Roman;Times;Serif"/>
          <w:b w:val="false"/>
          <w:i w:val="false"/>
          <w:caps w:val="false"/>
          <w:smallCaps w:val="false"/>
          <w:sz w:val="20"/>
        </w:rPr>
        <w:t>”) of the Company’s common stock, no par value per share (the “</w:t>
      </w:r>
      <w:r>
        <w:rPr>
          <w:rFonts w:ascii="Times New Roman;Times;Serif" w:hAnsi="Times New Roman;Times;Serif"/>
          <w:b w:val="false"/>
          <w:i/>
          <w:caps w:val="false"/>
          <w:smallCaps w:val="false"/>
          <w:sz w:val="20"/>
        </w:rPr>
        <w:t>Common Stock</w:t>
      </w:r>
      <w:r>
        <w:rPr>
          <w:rFonts w:ascii="Times New Roman;Times;Serif" w:hAnsi="Times New Roman;Times;Serif"/>
          <w:b w:val="false"/>
          <w:i w:val="false"/>
          <w:caps w:val="false"/>
          <w:smallCaps w:val="false"/>
          <w:sz w:val="20"/>
        </w:rPr>
        <w:t>”), pursuant to the registration statement on Form S-3 (File No. 333-293089) filed with the Securities and Exchange Commission (the “</w:t>
      </w:r>
      <w:r>
        <w:rPr>
          <w:rFonts w:ascii="Times New Roman;Times;Serif" w:hAnsi="Times New Roman;Times;Serif"/>
          <w:b w:val="false"/>
          <w:i/>
          <w:caps w:val="false"/>
          <w:smallCaps w:val="false"/>
          <w:sz w:val="20"/>
        </w:rPr>
        <w:t>Commission</w:t>
      </w:r>
      <w:r>
        <w:rPr>
          <w:rFonts w:ascii="Times New Roman;Times;Serif" w:hAnsi="Times New Roman;Times;Serif"/>
          <w:b w:val="false"/>
          <w:i w:val="false"/>
          <w:caps w:val="false"/>
          <w:smallCaps w:val="false"/>
          <w:sz w:val="20"/>
        </w:rPr>
        <w:t>”) on January 30, 2026 (the “</w:t>
      </w:r>
      <w:r>
        <w:rPr>
          <w:rFonts w:ascii="Times New Roman;Times;Serif" w:hAnsi="Times New Roman;Times;Serif"/>
          <w:b w:val="false"/>
          <w:i/>
          <w:caps w:val="false"/>
          <w:smallCaps w:val="false"/>
          <w:sz w:val="20"/>
        </w:rPr>
        <w:t>Registration Statement</w:t>
      </w:r>
      <w:r>
        <w:rPr>
          <w:rFonts w:ascii="Times New Roman;Times;Serif" w:hAnsi="Times New Roman;Times;Serif"/>
          <w:b w:val="false"/>
          <w:i w:val="false"/>
          <w:caps w:val="false"/>
          <w:smallCaps w:val="false"/>
          <w:sz w:val="20"/>
        </w:rPr>
        <w: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719"/>
        <w:gridCol w:w="9350"/>
      </w:tblGrid>
      <w:tr>
        <w:trPr/>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3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w:t>
            </w:r>
          </w:p>
        </w:tc>
      </w:tr>
    </w:tbl>
    <w:p>
      <w:pPr>
        <w:pStyle w:val="TextBody"/>
        <w:bidi w:val="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dated July 22, 2026, by and between the Company and Keefe, Bruyette &amp; Woods, Inc., as representative of the several underwriters named therein (the “</w:t>
            </w:r>
            <w:r>
              <w:rPr>
                <w:rFonts w:ascii="Times New Roman;Times;Serif" w:hAnsi="Times New Roman;Times;Serif"/>
                <w:b w:val="false"/>
                <w:i/>
                <w:caps w:val="false"/>
                <w:smallCaps w:val="false"/>
                <w:sz w:val="20"/>
              </w:rPr>
              <w:t>Underwriting Agreement</w:t>
            </w:r>
            <w:r>
              <w:rPr>
                <w:rFonts w:ascii="Times New Roman;Times;Serif" w:hAnsi="Times New Roman;Times;Serif"/>
                <w:b w:val="false"/>
                <w:i w:val="false"/>
                <w:caps w:val="false"/>
                <w:smallCaps w:val="false"/>
                <w:sz w:val="20"/>
              </w:rPr>
              <w:t>”).</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 We have assumed that the Shares will be duly registered on the books of the transfer agent and registrar of the Common Stock and that the Company will comply with applicable notice requirements regarding uncertificated shares provided under the California Corporations Code. We have assumed further that, except as to legal conclusions expressly set forth in this opinion, the information and representations and warranties contained in the agreements, instruments, records, certificates and other documents we reviewed were true, accurate and complete as of their stated date and are true, accurate and complete as of the date of this letter.</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as to certain matters on information obtained from public officials, officers of the Company and other sources believed by us to be responsible.</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tbl>
      <w:tblPr>
        <w:tblW w:w="1785" w:type="dxa"/>
        <w:jc w:val="left"/>
        <w:tblInd w:w="0" w:type="dxa"/>
        <w:tblLayout w:type="fixed"/>
        <w:tblCellMar>
          <w:top w:w="0" w:type="dxa"/>
          <w:left w:w="0" w:type="dxa"/>
          <w:bottom w:w="0" w:type="dxa"/>
          <w:right w:w="0" w:type="dxa"/>
        </w:tblCellMar>
      </w:tblPr>
      <w:tblGrid>
        <w:gridCol w:w="1785"/>
      </w:tblGrid>
      <w:tr>
        <w:trPr/>
        <w:tc>
          <w:tcPr>
            <w:tcW w:w="178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076325" cy="123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76325" cy="123825"/>
                          </a:xfrm>
                          <a:prstGeom prst="rect">
                            <a:avLst/>
                          </a:prstGeom>
                        </pic:spPr>
                      </pic:pic>
                    </a:graphicData>
                  </a:graphic>
                </wp:inline>
              </w:drawing>
            </w:r>
            <w:r>
              <w:rPr>
                <w:caps w:val="false"/>
                <w:smallCaps w:val="false"/>
              </w:rPr>
              <w:t> </w:t>
            </w:r>
          </w:p>
        </w:tc>
      </w:tr>
      <w:tr>
        <w:trPr/>
        <w:tc>
          <w:tcPr>
            <w:tcW w:w="1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w:t>
            </w:r>
          </w:p>
        </w:tc>
      </w:tr>
      <w:tr>
        <w:trPr/>
        <w:tc>
          <w:tcPr>
            <w:tcW w:w="1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23, 2026</w:t>
            </w:r>
          </w:p>
        </w:tc>
      </w:tr>
      <w:tr>
        <w:trPr/>
        <w:tc>
          <w:tcPr>
            <w:tcW w:w="1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r>
    </w:tbl>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opinion that the Shares have been duly authorized and the Shares, when duly issued and sold as contemplated by the Underwriting Agreement, will be validly issued, fully paid and non-assessable.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 of the District of Columbia and the States of New York and California. We do not express any opinion herein on any laws other than the law of the State of California.</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Company’s Current Report on Form 8-K dated the date hereof related to the offering of the Shares, which is incorporated by reference into the Registration Statement. We also hereby consent to the reference to our firm under the heading “Legal Matters” in the prospectus constituting part of the Registration Statement</w:t>
      </w:r>
      <w:r>
        <w:rPr>
          <w:rFonts w:ascii="Times New Roman;Times;Serif" w:hAnsi="Times New Roman;Times;Serif"/>
          <w:b w:val="false"/>
          <w:i w:val="false"/>
          <w:caps w:val="false"/>
          <w:smallCaps w:val="false"/>
          <w:color w:val="000033"/>
          <w:sz w:val="20"/>
        </w:rPr>
        <w:t xml:space="preserve">. </w:t>
      </w:r>
      <w:r>
        <w:rPr>
          <w:rFonts w:ascii="Times New Roman;Times;Serif" w:hAnsi="Times New Roman;Times;Serif"/>
          <w:b w:val="false"/>
          <w:i w:val="false"/>
          <w:caps w:val="false"/>
          <w:smallCaps w:val="false"/>
          <w:sz w:val="20"/>
        </w:rPr>
        <w:t>In giving such consent, we do not thereby admit that we are in the category of persons whose consent is required under Section 7 of the Securities Act.</w:t>
      </w:r>
    </w:p>
    <w:p>
      <w:pPr>
        <w:pStyle w:val="TextBody"/>
        <w:bidi w:val="0"/>
        <w:ind w:left="0" w:right="0" w:firstLine="720"/>
        <w:jc w:val="both"/>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75"/>
        <w:gridCol w:w="24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Covington &amp; Burling LLP</w:t>
            </w:r>
          </w:p>
        </w:tc>
      </w:tr>
    </w:tbl>
    <w:p>
      <w:pPr>
        <w:pStyle w:val="TextBody"/>
        <w:bidi w:val="0"/>
        <w:spacing w:before="0" w:after="0"/>
        <w:ind w:left="0" w:right="0" w:hanging="0"/>
        <w:jc w:val="left"/>
        <w:rPr>
          <w:bdr w:val="single" w:sz="16" w:space="6" w:color="DCDCDC"/>
        </w:rPr>
      </w:pPr>
      <w:r>
        <w:rPr>
          <w:bdr w:val="single" w:sz="16" w:space="6" w:color="DCDCDC"/>
        </w:rPr>
        <w:t> </w:t>
      </w:r>
    </w:p>
    <w:p>
      <w:pPr>
        <w:pStyle w:val="TextBody"/>
        <w:bidi w:val="0"/>
        <w:jc w:val="right"/>
        <w:rPr>
          <w:caps w:val="false"/>
          <w:smallCaps w:val="false"/>
        </w:rPr>
      </w:pPr>
      <w:bookmarkStart w:id="29" w:name="e26308_ex99-1.htm"/>
      <w:bookmarkStart w:id="30" w:name="kse26308_ex991"/>
      <w:bookmarkEnd w:id="29"/>
      <w:bookmarkEnd w:id="30"/>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2133600"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133600" cy="457200"/>
                    </a:xfrm>
                    <a:prstGeom prst="rect">
                      <a:avLst/>
                    </a:prstGeom>
                  </pic:spPr>
                </pic:pic>
              </a:graphicData>
            </a:graphic>
          </wp:inline>
        </w:drawing>
      </w:r>
    </w:p>
    <w:p>
      <w:pPr>
        <w:pStyle w:val="TextBody"/>
        <w:bidi w:val="0"/>
        <w:spacing w:before="0" w:after="0"/>
        <w:jc w:val="righ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595"/>
        <w:gridCol w:w="2630"/>
      </w:tblGrid>
      <w:tr>
        <w:trPr/>
        <w:tc>
          <w:tcPr>
            <w:tcW w:w="15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PRESS RELEASE</w:t>
            </w:r>
          </w:p>
        </w:tc>
        <w:tc>
          <w:tcPr>
            <w:tcW w:w="263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263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22, 2026</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Five Star Bancorp Announces Launch of Common Stock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CORDOVA, CA, July 22, 2026 (GLOBE NEWSWIRE) – Five Star Bancorp (Nasdaq: FSBC) (“Five Star” or the “Company”), a holding company that operates through its wholly owned banking subsidiary, Five Star Bank (the “Bank”), announced today that it has launched an underwritten public offering of shares of its common stock. The Company intends to grant the underwriters a 30-day option to purchase additional shares of its common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Keefe, Bruyette &amp; Woods</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caps w:val="false"/>
          <w:smallCaps w:val="false"/>
          <w:sz w:val="20"/>
          <w:shd w:fill="FFFFFF" w:val="clear"/>
        </w:rPr>
        <w:t>A Stifel Company</w:t>
      </w:r>
      <w:r>
        <w:rPr>
          <w:rFonts w:ascii="Times New Roman;Times;Serif" w:hAnsi="Times New Roman;Times;Serif"/>
          <w:b w:val="false"/>
          <w:i w:val="false"/>
          <w:caps w:val="false"/>
          <w:smallCaps w:val="false"/>
          <w:sz w:val="20"/>
        </w:rPr>
        <w:t xml:space="preserve"> is serving as the bookrunner for the offering, and Stephens Inc., D.A. Davidson &amp; Co., Raymond James &amp; Associates, Inc., and Brean Capital are acting as co-managers.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of this offering for general corporate purposes and to support its continued growth, including through investments in the Bank to pursue growth opportunities, and for working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Regarding the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offering of common stock is being made pursuant to a registration statement on Form S-3 (File No. 333-293089) that was declared effective by the Securities and Exchange Commission (the “SEC”) on February 9, 2026. A preliminary prospectus supplement to which this communication relates has been filed with the SEC. Prospective investors should read the preliminary prospectus supplement and the accompanying prospectus and other documents the Company has filed with the SEC for more complete information about the Company and the offering. Copies of these documents are available at no charge by visiting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Copies of the preliminary prospectus supplement and accompanying prospectus related to the offering may be obtained by contacting Keefe, Bruyette &amp; Woods</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A Stifel Company</w:t>
      </w:r>
      <w:r>
        <w:rPr>
          <w:rFonts w:ascii="Times New Roman;Times;Serif" w:hAnsi="Times New Roman;Times;Serif"/>
          <w:b w:val="false"/>
          <w:i w:val="false"/>
          <w:caps w:val="false"/>
          <w:smallCaps w:val="false"/>
          <w:sz w:val="20"/>
        </w:rPr>
        <w:t xml:space="preserve"> by telephone at (800) 966-1559 or by e-mail at USCapitalMarkets@kbw.com.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jc w:val="both"/>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a solicitation of an offer to sell, or the solicitation of an offer to buy any securities. There will be no sale of securities in any jurisdiction in which such an offer, solicitation or sale would be unlawful prior to registration or qualification under the securities laws of any such jurisdiction.</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Five Star Bancorp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is a bank holding company headquartered in Rancho Cordova, California. Five Star operates through its wholly owned banking subsidiary, Five Star Bank. The Bank has ten branches in California, following the opening of a branch in Lodi in July 2026.</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Special Note Concerning 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forward-looking statements represent plans, estimates, objectives, goals, guidelines, expectations, intentions, projections, and statements of the Company’s beliefs concerning future events, business plans, objectives, expected operating results, and the assumptions upon which those statements are based. Forward-looking statements include, without limitation, statements regarding the intended use of proceeds from the offering, as well as any other statement that may predict, forecast, indicate, or imply future results, performance, or achievements, and are typically identified with words such as “may,” “could,” “should,” “will,” “would,” “believe,” “anticipate,” “estimate,” “expect,” “aim,” “intend,” “plan,” or words or phrases of similar meaning. The Company cautions that the forward-looking statements are based largely on the Company’s expectations and are subject to a number of known and unknown risks and uncertainties that are subject to change based on factors which are, in many instances, beyond the Company’s control. Such forward-looking statements are based on various assumptions (some of which may be beyond the Company’s control) and are subject to risks and uncertainties, which change over time, and other factors, which could cause actual results to differ materially from those currently anticipated. New risks and uncertainties may emerge from time to time, and it is not possible for the Company to predict their occurrence or how they will affect the Company. If one or more of the factors affecting the Company’s forward-looking information and statements proves incorrect, then the Company’s actual results, performance, or achievements could differ materially from those expressed in, or implied by, forward-looking information and statements contained in this press release. Therefore, the Company cautions you not to place undue reliance on the Company’s forward-looking information and statements. Important factors that could cause actual results to differ materially from those in the forward-looking statements are set forth in the Company’s Annual Report on Form 10-K for the year ended December 31, 2025 and Quarterly Report on Form 10-Q for the three months ended March 31, 2026, in each case under the section entitled “Risk Factors,” and other documents filed by the Company with the SEC from time to time.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disclaims any duty to revise or update the forward-looking statements, whether written or oral, to reflect actual results or changes in the factors affecting the forward-looking statements, except as specifically required by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Heather C. Luck, Chief Financial Officer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 626-5008</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hluck@fivestarbank.com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Shelley R. Wetton, Chief Marketing Officer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 284-7827</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swetton@fivestarbank.com</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jc w:val="right"/>
        <w:rPr>
          <w:caps w:val="false"/>
          <w:smallCaps w:val="false"/>
        </w:rPr>
      </w:pPr>
      <w:bookmarkStart w:id="31" w:name="e26308_ex99-2.htm"/>
      <w:bookmarkStart w:id="32" w:name="kse26308_ex992"/>
      <w:bookmarkEnd w:id="31"/>
      <w:bookmarkEnd w:id="32"/>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133600"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133600" cy="457200"/>
                    </a:xfrm>
                    <a:prstGeom prst="rect">
                      <a:avLst/>
                    </a:prstGeom>
                  </pic:spPr>
                </pic:pic>
              </a:graphicData>
            </a:graphic>
          </wp:inline>
        </w:drawing>
      </w:r>
      <w:r>
        <w:rPr>
          <w:caps w:val="false"/>
          <w:smallCaps w:val="false"/>
        </w:rPr>
        <w:t> </w:t>
      </w:r>
    </w:p>
    <w:p>
      <w:pPr>
        <w:pStyle w:val="TextBody"/>
        <w:bidi w:val="0"/>
        <w:spacing w:before="0" w:after="0"/>
        <w:jc w:val="righ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595"/>
        <w:gridCol w:w="2630"/>
      </w:tblGrid>
      <w:tr>
        <w:trPr/>
        <w:tc>
          <w:tcPr>
            <w:tcW w:w="15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PRESS RELEASE</w:t>
            </w:r>
          </w:p>
        </w:tc>
        <w:tc>
          <w:tcPr>
            <w:tcW w:w="263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263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22, 2026</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Five Star Bancorp Announces Pricing of Common Stock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CORDOVA, CA, July 22, 2026 (GLOBE NEWSWIRE) – Five Star Bancorp (Nasdaq: FSBC) (“Five Star” or the “Company”), a holding company that operates through its wholly owned banking subsidiary, Five Star Bank (the “Bank”), announced today the pricing of the previously announced underwritten public offering of 2,725,000 shares of its common stock at a public offering price of $44.00 per share. The expected proceeds to the Company, after deducting underwriting discounts and commissions but before deducting offering expenses payable by the Company, are approximately $113.6 million. In addition, the Company has granted the underwriters a 30-day option to purchase up to an additional 408,750 shares of Company common stock at the public offering price, less underwriting discounts and commissions.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Keefe, Bruyette &amp; Woods</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caps w:val="false"/>
          <w:smallCaps w:val="false"/>
          <w:sz w:val="20"/>
          <w:shd w:fill="FFFFFF" w:val="clear"/>
        </w:rPr>
        <w:t>A Stifel Company</w:t>
      </w:r>
      <w:r>
        <w:rPr>
          <w:rFonts w:ascii="Times New Roman;Times;Serif" w:hAnsi="Times New Roman;Times;Serif"/>
          <w:b w:val="false"/>
          <w:i w:val="false"/>
          <w:caps w:val="false"/>
          <w:smallCaps w:val="false"/>
          <w:sz w:val="20"/>
        </w:rPr>
        <w:t xml:space="preserve"> is acting as the bookrunner for the offering. Stephens Inc., D.A. Davidson &amp; Co., Raymond James &amp; Associates, Inc., and Brean Capital are acting as co-managers.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of this offering for general corporate purposes and to support its continued growth, including through investments in the Bank to pursue growth opportunities, and for working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close the offering, subject to customary conditions, on or about July 24,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Additional Information Regarding the Offering</w:t>
      </w:r>
    </w:p>
    <w:p>
      <w:pPr>
        <w:pStyle w:val="TextBody"/>
        <w:bidi w:val="0"/>
        <w:jc w:val="both"/>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common stock is being made pursuant to a registration statement on Form S-3 (File No. 333-263089) that was declared effective by the Securities and Exchange Commission (“SEC”) on February 9, 2026. A preliminary prospectus supplement to which this communication relates has been filed with the SEC. A final prospectus supplement and accompanying prospectus will be filed with the SEC. Prospective investors should read the final prospectus supplement and the accompanying prospectus and other documents the Company has filed with the SEC for more complete information about the Company and the offering. Copies of these documents are available at no charge by visiting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When available, copies of the final prospectus supplement and the accompanying prospectus related to the offering may be obtained by contacting: Keefe, Bruyette &amp; Woods</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caps w:val="false"/>
          <w:smallCaps w:val="false"/>
          <w:sz w:val="20"/>
          <w:shd w:fill="FFFFFF" w:val="clear"/>
        </w:rPr>
        <w:t xml:space="preserve">A Stifel Company </w:t>
      </w:r>
      <w:r>
        <w:rPr>
          <w:rFonts w:ascii="Times New Roman;Times;Serif" w:hAnsi="Times New Roman;Times;Serif"/>
          <w:b w:val="false"/>
          <w:i w:val="false"/>
          <w:caps w:val="false"/>
          <w:smallCaps w:val="false"/>
          <w:sz w:val="20"/>
        </w:rPr>
        <w:t>by telephone at (800) 966-1559 or by e-mail at USCapitalMarkets@kbw.com.</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 Offer or Solicitation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a solicitation of an offer to sell, or the solicitation of an offer to buy any securities. There will be no sale of securities in any jurisdiction in which such an offer, solicitation or sale would be unlawful prior to registration or qualification under the securities laws of any such jurisdiction.</w:t>
      </w:r>
    </w:p>
    <w:p>
      <w:pPr>
        <w:pStyle w:val="TextBody"/>
        <w:bidi w:val="0"/>
        <w:spacing w:before="0" w:after="0"/>
        <w:ind w:left="0" w:right="0" w:hanging="0"/>
        <w:jc w:val="left"/>
        <w:rPr>
          <w:bdr w:val="single" w:sz="16" w:space="6" w:color="DCDCDC"/>
        </w:rPr>
      </w:pPr>
      <w:r>
        <w:rPr>
          <w:bdr w:val="single" w:sz="16" w:space="6" w:color="DCDCDC"/>
        </w:rPr>
        <w:t> </w:t>
      </w:r>
    </w:p>
    <w:p>
      <w:pPr>
        <w:pStyle w:val="TextBody"/>
        <w:bidi w:val="0"/>
        <w:spacing w:before="120" w:after="240"/>
        <w:jc w:val="left"/>
        <w:rPr/>
      </w:pPr>
      <w:r>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Five Star Bancorp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is a bank holding company headquartered in Rancho Cordova, California. Five Star operates through its wholly owned banking subsidiary, Five Star Bank. The Bank has ten branches in California, following the opening of a branch in Lodi in July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Special Note Concerning Forward-Looking Statements</w:t>
      </w:r>
    </w:p>
    <w:p>
      <w:pPr>
        <w:pStyle w:val="TextBody"/>
        <w:bidi w:val="0"/>
        <w:jc w:val="both"/>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forward-looking statements represent plans, estimates, objectives, goals, guidelines, expectations, intentions, projections, and statements of the Company’s beliefs concerning future events, business plans, objectives, expected operating results, and the assumptions upon which those statements are based. Forward-looking statements include, without limitation, statements regarding the expected use of proceeds of the offering, the Company’s expectation of the completion and timing of the closing of the offering and the anticipated proceeds from the offering, as well as any other statement that may predict, forecast, indicate, or imply future results, performance, or achievements, and are typically identified with words such as “may,” “could,” “should,” “will,” “would,” “believe,” “anticipate,” “estimate,” “expect,” “aim,” “intend,” “plan,” or words or phrases of similar meaning. The Company cautions that the forward-looking statements are based largely on the Company’s expectations and are subject to a number of known and unknown risks and uncertainties that are subject to change based on factors which are, in many instances, beyond the Company’s control. Such forward-looking statements are based on various assumptions (some of which may be beyond the Company’s control) and are subject to risks and uncertainties, which change over time, and other factors, which could cause actual results to differ materially from those currently anticipated. New risks and uncertainties may emerge from time to time, and it is not possible for the Company to predict their occurrence or how they will affect the Company. If one or more of the factors affecting the Company’s forward-looking information and statements proves incorrect, then the Company’s actual results, performance, or achievements could differ materially from those expressed in, or implied by, forward-looking information and statements contained in this press release. Therefore, the Company cautions you not to place undue reliance on the Company’s forward-looking information and statements. Important factors that could cause actual results to differ materially from those in the forward-looking statements are set forth in the Company’s Annual Report on Form 10-K for the year ended December 31, 2025 and Quarterly Report on Form 10-Q for the three months ended March 31, 2026, in each case under the section entitled “Risk Factors,” and other documents filed by the Company with the SEC from time to time.</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disclaims any duty to revise or update the forward-looking statements, whether written or oral, to reflect actual results or changes in the factors affecting the forward-looking statements, except as specifically required by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Heather C. Luck, Chief Financial Officer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 626-5008</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hluck@fivestarbank.com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Shelley R. Wetton, Chief Marketing Officer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Five Star Bancorp</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 284-7827</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swetton@fivestarbank.com</w:t>
      </w:r>
    </w:p>
    <w:p>
      <w:pPr>
        <w:pStyle w:val="TextBody"/>
        <w:bidi w:val="0"/>
        <w:spacing w:before="0" w:after="0"/>
        <w:ind w:left="0" w:right="0" w:hanging="0"/>
        <w:jc w:val="left"/>
        <w:rPr>
          <w:bdr w:val="single" w:sz="16" w:space="6" w:color="DCDCDC"/>
        </w:rPr>
      </w:pPr>
      <w:r>
        <w:rPr>
          <w:bdr w:val="single" w:sz="16" w:space="6" w:color="DCDCDC"/>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25446</Words>
  <Characters>136691</Characters>
  <CharactersWithSpaces>163589</CharactersWithSpaces>
  <Paragraphs>692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