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caps w:val="false"/>
          <w:smallCaps w:val="false"/>
        </w:rPr>
      </w:pPr>
      <w:bookmarkStart w:id="0" w:name="e26307_fsbc-424b5.htm"/>
      <w:bookmarkStart w:id="1" w:name="kse26307_fsbc424b5"/>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333-293089</w:t>
      </w:r>
    </w:p>
    <w:p>
      <w:pPr>
        <w:pStyle w:val="TextBody"/>
        <w:bidi w:val="0"/>
        <w:jc w:val="both"/>
        <w:rPr>
          <w:caps w:val="false"/>
          <w:smallCaps w:val="false"/>
          <w:color w:val="FF0000"/>
        </w:rPr>
      </w:pPr>
      <w:r>
        <w:rPr>
          <w:caps w:val="false"/>
          <w:smallCaps w:val="false"/>
          <w:color w:val="FF0000"/>
        </w:rPr>
        <w:t> </w:t>
      </w:r>
    </w:p>
    <w:p>
      <w:pPr>
        <w:pStyle w:val="TextBody"/>
        <w:bidi w:val="0"/>
        <w:jc w:val="center"/>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SUPPLEMENT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February 9, 2026)</w:t>
      </w:r>
    </w:p>
    <w:p>
      <w:pPr>
        <w:pStyle w:val="TextBody"/>
        <w:bidi w:val="0"/>
        <w:jc w:val="left"/>
        <w:rPr>
          <w:caps w:val="false"/>
          <w:smallCaps w:val="false"/>
        </w:rPr>
      </w:pPr>
      <w:r>
        <w:rPr>
          <w:caps w:val="false"/>
          <w:smallCaps w:val="false"/>
        </w:rPr>
        <w:t> </w:t>
      </w:r>
    </w:p>
    <w:p>
      <w:pPr>
        <w:pStyle w:val="TextBody"/>
        <w:bidi w:val="0"/>
        <w:spacing w:before="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2,725,000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w:t>
      </w:r>
    </w:p>
    <w:p>
      <w:pPr>
        <w:pStyle w:val="TextBody"/>
        <w:bidi w:val="0"/>
        <w:jc w:val="center"/>
        <w:rPr>
          <w:caps w:val="false"/>
          <w:smallCaps w:val="false"/>
        </w:rPr>
      </w:pPr>
      <w:r>
        <w:rPr>
          <w:caps w:val="false"/>
          <w:smallCaps w:val="false"/>
        </w:rPr>
        <w:drawing>
          <wp:inline distT="0" distB="0" distL="0" distR="0">
            <wp:extent cx="30765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581025"/>
                    </a:xfrm>
                    <a:prstGeom prst="rect">
                      <a:avLst/>
                    </a:prstGeom>
                  </pic:spPr>
                </pic:pic>
              </a:graphicData>
            </a:graphic>
          </wp:inline>
        </w:drawing>
      </w:r>
      <w:r>
        <w:rPr>
          <w:caps w:val="false"/>
          <w:smallCaps w:val="false"/>
        </w:rPr>
        <w:t> </w:t>
      </w:r>
    </w:p>
    <w:p>
      <w:pPr>
        <w:pStyle w:val="TextBody"/>
        <w:bidi w:val="0"/>
        <w:spacing w:before="77" w:after="77"/>
        <w:ind w:left="191" w:right="24" w:hanging="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ind w:left="0" w:right="0" w:hanging="0"/>
        <w:jc w:val="left"/>
        <w:rPr>
          <w:bdr w:val="single" w:sz="8" w:space="1" w:color="000000"/>
        </w:rPr>
      </w:pPr>
      <w:r>
        <w:rPr>
          <w:bdr w:val="single" w:sz="8" w:space="1" w:color="000000"/>
        </w:rPr>
        <w:t> </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2,725,000 shares of our common stock, no par value per share.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or Nasdaq, under the symbol “FSBC.” The last reported closing price of our common stock on Nasdaq on July 21, 2026 was $49.33 per share.</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as a result, are subject to reduced public company disclosure standards. See the section entitled “Prospectus Supplement Summary—Implications of Being an Emerging Growth Company.”</w:t>
      </w:r>
    </w:p>
    <w:p>
      <w:pPr>
        <w:pStyle w:val="TextBody"/>
        <w:bidi w:val="0"/>
        <w:spacing w:before="0" w:after="0"/>
        <w:ind w:left="0" w:right="0" w:firstLine="720"/>
        <w:jc w:val="left"/>
        <w:rPr/>
      </w:pPr>
      <w:r>
        <w:rPr>
          <w:rFonts w:ascii="Times New Roman;Times;Serif" w:hAnsi="Times New Roman;Times;Serif"/>
          <w:b/>
          <w:i w:val="false"/>
          <w:caps w:val="false"/>
          <w:smallCaps w:val="false"/>
          <w:sz w:val="20"/>
        </w:rPr>
        <w:t xml:space="preserve">Investing in our common stock involves risks. Before investing in our common stock, you should consider the information under the heading “Risk Factors” beginning on page S-14 of this prospectus supplement, on page 2 of the accompanying prospectus and under the heading “Part I. Item 1A. Risk Factors” in our Annual Report on </w:t>
      </w:r>
      <w:hyperlink r:id="rId3">
        <w:r>
          <w:rPr>
            <w:rStyle w:val="InternetLink"/>
            <w:rFonts w:ascii="Times New Roman;Times;Serif" w:hAnsi="Times New Roman;Times;Serif"/>
            <w:b/>
            <w:i w:val="false"/>
            <w:caps w:val="false"/>
            <w:smallCaps w:val="false"/>
            <w:sz w:val="20"/>
          </w:rPr>
          <w:t>Form 10-K</w:t>
        </w:r>
      </w:hyperlink>
      <w:r>
        <w:rPr>
          <w:rFonts w:ascii="Times New Roman;Times;Serif" w:hAnsi="Times New Roman;Times;Serif"/>
          <w:b/>
          <w:i w:val="false"/>
          <w:caps w:val="false"/>
          <w:smallCaps w:val="false"/>
          <w:sz w:val="20"/>
        </w:rPr>
        <w:t xml:space="preserve"> for the year ended December 31, 2025, as well as in each subsequently filed Quarterly Report on Form 10-Q, and other filings we may make with the U.S. Securities and Exchange Commission, or the SEC, which are incorporated herein by reference.</w:t>
      </w:r>
    </w:p>
    <w:tbl>
      <w:tblPr>
        <w:tblW w:w="6775" w:type="dxa"/>
        <w:jc w:val="left"/>
        <w:tblInd w:w="0" w:type="dxa"/>
        <w:tblLayout w:type="fixed"/>
        <w:tblCellMar>
          <w:top w:w="0" w:type="dxa"/>
          <w:left w:w="0" w:type="dxa"/>
          <w:bottom w:w="0" w:type="dxa"/>
          <w:right w:w="0" w:type="dxa"/>
        </w:tblCellMar>
      </w:tblPr>
      <w:tblGrid>
        <w:gridCol w:w="4160"/>
        <w:gridCol w:w="60"/>
        <w:gridCol w:w="140"/>
        <w:gridCol w:w="560"/>
        <w:gridCol w:w="60"/>
        <w:gridCol w:w="60"/>
        <w:gridCol w:w="140"/>
        <w:gridCol w:w="1520"/>
        <w:gridCol w:w="75"/>
      </w:tblGrid>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119,900,000.00</w:t>
            </w:r>
          </w:p>
        </w:tc>
        <w:tc>
          <w:tcPr>
            <w:tcW w:w="75"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Underwriting discounts and commissions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6,294,750.00</w:t>
            </w:r>
          </w:p>
        </w:tc>
        <w:tc>
          <w:tcPr>
            <w:tcW w:w="7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113,605,250.00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0"/>
        <w:jc w:val="left"/>
        <w:rPr>
          <w:bdr w:val="single" w:sz="8" w:space="1" w:color="000000"/>
        </w:rPr>
      </w:pPr>
      <w:r>
        <w:rPr>
          <w:bdr w:val="single" w:sz="8" w:space="1" w:color="000000"/>
        </w:rPr>
        <w:t> </w:t>
      </w:r>
    </w:p>
    <w:tbl>
      <w:tblPr>
        <w:tblW w:w="7975" w:type="dxa"/>
        <w:jc w:val="left"/>
        <w:tblInd w:w="0" w:type="dxa"/>
        <w:tblLayout w:type="fixed"/>
        <w:tblCellMar>
          <w:top w:w="0" w:type="dxa"/>
          <w:left w:w="0" w:type="dxa"/>
          <w:bottom w:w="0" w:type="dxa"/>
          <w:right w:w="0" w:type="dxa"/>
        </w:tblCellMar>
      </w:tblPr>
      <w:tblGrid>
        <w:gridCol w:w="260"/>
        <w:gridCol w:w="77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no exercise of the underwriters’ option to purchase additional shares described below.</w:t>
            </w:r>
          </w:p>
        </w:tc>
      </w:tr>
    </w:tbl>
    <w:tbl>
      <w:tblPr>
        <w:tblW w:w="9775" w:type="dxa"/>
        <w:jc w:val="left"/>
        <w:tblInd w:w="0" w:type="dxa"/>
        <w:tblLayout w:type="fixed"/>
        <w:tblCellMar>
          <w:top w:w="0" w:type="dxa"/>
          <w:left w:w="0" w:type="dxa"/>
          <w:bottom w:w="0" w:type="dxa"/>
          <w:right w:w="0" w:type="dxa"/>
        </w:tblCellMar>
      </w:tblPr>
      <w:tblGrid>
        <w:gridCol w:w="260"/>
        <w:gridCol w:w="95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will also be reimbursed for certain expenses incurred in this offering. See “Underwriting” for details.</w:t>
            </w:r>
          </w:p>
        </w:tc>
      </w:tr>
    </w:tbl>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exercisable not later than 30 days after the date of this prospectus supplement, to purchase up to an additional 408,750 shares of common stock from us on the same terms and conditions set forth above.</w:t>
      </w:r>
    </w:p>
    <w:p>
      <w:pPr>
        <w:pStyle w:val="TextBody"/>
        <w:bidi w:val="0"/>
        <w:ind w:left="0" w:right="0" w:hanging="0"/>
        <w:jc w:val="left"/>
        <w:rPr>
          <w:bdr w:val="single" w:sz="8" w:space="1" w:color="000000"/>
        </w:rPr>
      </w:pPr>
      <w:r>
        <w:rPr>
          <w:bdr w:val="single" w:sz="8" w:space="1" w:color="000000"/>
        </w:rPr>
        <w:t> </w:t>
      </w:r>
    </w:p>
    <w:p>
      <w:pPr>
        <w:pStyle w:val="TextBody"/>
        <w:bidi w:val="0"/>
        <w:spacing w:before="200" w:after="200"/>
        <w:ind w:left="200" w:right="20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the Federal Deposit Insurance Corporation, or the FDIC, the Board of Governors of the Federal Reserve System, or the Federal Reserve, the California Department of Financial Protection and Innovation, or the DFPI, or any other regulatory authority has approved or disapproved of these securities or determined if this prospectus supplement or the accompanying prospectus is truthful or complete. Any representation to the contrary is a criminal offense.</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our common stock are not savings accounts, deposits or other obligations of any bank or non-bank subsidiary of Five Star Bancorp and are not insured or guaranteed by the FDIC or any other governmental agency.</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our common stock as set forth in the “Underwriting” section of this prospectus supplement. The underwriters expect to deliver the shares of common stock in book-entry form only through the facilities of The Depository Trust Company, against payment on or about July 24,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315" w:type="dxa"/>
        <w:jc w:val="left"/>
        <w:tblInd w:w="0" w:type="dxa"/>
        <w:tblLayout w:type="fixed"/>
        <w:tblCellMar>
          <w:top w:w="0" w:type="dxa"/>
          <w:left w:w="0" w:type="dxa"/>
          <w:bottom w:w="0" w:type="dxa"/>
          <w:right w:w="0" w:type="dxa"/>
        </w:tblCellMar>
      </w:tblPr>
      <w:tblGrid>
        <w:gridCol w:w="75"/>
        <w:gridCol w:w="2165"/>
        <w:gridCol w:w="75"/>
      </w:tblGrid>
      <w:tr>
        <w:trPr/>
        <w:tc>
          <w:tcPr>
            <w:tcW w:w="23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Bookrunner</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Keefe, Bruyette &amp; Woods</w:t>
              <w:br/>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 Stifel Company</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1400"/>
        <w:gridCol w:w="2195"/>
        <w:gridCol w:w="1715"/>
        <w:gridCol w:w="1475"/>
      </w:tblGrid>
      <w:tr>
        <w:trPr/>
        <w:tc>
          <w:tcPr>
            <w:tcW w:w="140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center"/>
              <w:rPr>
                <w:i/>
              </w:rPr>
            </w:pPr>
            <w:r>
              <w:rPr>
                <w:i/>
              </w:rPr>
              <w:t>Co-Managers</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b/>
              </w:rPr>
            </w:pPr>
            <w:r>
              <w:rPr>
                <w:b/>
              </w:rPr>
              <w:t>Stephens Inc.</w:t>
            </w:r>
          </w:p>
        </w:tc>
        <w:tc>
          <w:tcPr>
            <w:tcW w:w="2195" w:type="dxa"/>
            <w:tcBorders/>
            <w:vAlign w:val="center"/>
          </w:tcPr>
          <w:p>
            <w:pPr>
              <w:pStyle w:val="TableContents"/>
              <w:bidi w:val="0"/>
              <w:spacing w:before="0" w:after="283"/>
              <w:jc w:val="center"/>
              <w:rPr>
                <w:b/>
              </w:rPr>
            </w:pPr>
            <w:r>
              <w:rPr>
                <w:b/>
              </w:rPr>
              <w:t>D.A. Davidson &amp; Co.</w:t>
            </w:r>
          </w:p>
        </w:tc>
        <w:tc>
          <w:tcPr>
            <w:tcW w:w="1715" w:type="dxa"/>
            <w:tcBorders/>
            <w:vAlign w:val="center"/>
          </w:tcPr>
          <w:p>
            <w:pPr>
              <w:pStyle w:val="TableContents"/>
              <w:bidi w:val="0"/>
              <w:spacing w:before="0" w:after="283"/>
              <w:jc w:val="center"/>
              <w:rPr>
                <w:b/>
              </w:rPr>
            </w:pPr>
            <w:r>
              <w:rPr>
                <w:b/>
              </w:rPr>
              <w:t>Raymond James</w:t>
            </w:r>
          </w:p>
        </w:tc>
        <w:tc>
          <w:tcPr>
            <w:tcW w:w="1475" w:type="dxa"/>
            <w:tcBorders/>
            <w:vAlign w:val="center"/>
          </w:tcPr>
          <w:p>
            <w:pPr>
              <w:pStyle w:val="TableContents"/>
              <w:bidi w:val="0"/>
              <w:spacing w:before="0" w:after="283"/>
              <w:jc w:val="center"/>
              <w:rPr>
                <w:b/>
              </w:rPr>
            </w:pPr>
            <w:r>
              <w:rPr>
                <w:b/>
              </w:rPr>
              <w:t>Brean Capital</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July 22, 2026.</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7825" w:type="dxa"/>
        <w:jc w:val="left"/>
        <w:tblInd w:w="0" w:type="dxa"/>
        <w:tblLayout w:type="fixed"/>
        <w:tblCellMar>
          <w:top w:w="0" w:type="dxa"/>
          <w:left w:w="0" w:type="dxa"/>
          <w:bottom w:w="0" w:type="dxa"/>
          <w:right w:w="0" w:type="dxa"/>
        </w:tblCellMar>
      </w:tblPr>
      <w:tblGrid>
        <w:gridCol w:w="7415"/>
        <w:gridCol w:w="410"/>
      </w:tblGrid>
      <w:tr>
        <w:trPr/>
        <w:tc>
          <w:tcPr>
            <w:tcW w:w="7415" w:type="dxa"/>
            <w:tcBorders/>
            <w:vAlign w:val="center"/>
          </w:tcPr>
          <w:p>
            <w:pPr>
              <w:pStyle w:val="TableContents"/>
              <w:bidi w:val="0"/>
              <w:spacing w:before="0" w:after="283"/>
              <w:jc w:val="left"/>
              <w:rPr/>
            </w:pPr>
            <w:hyperlink w:anchor="e26304a_001">
              <w:r>
                <w:rPr>
                  <w:rStyle w:val="InternetLink"/>
                  <w:rFonts w:ascii="Times New Roman;Times;Serif" w:hAnsi="Times New Roman;Times;Serif"/>
                  <w:b w:val="false"/>
                  <w:i w:val="false"/>
                  <w:caps w:val="false"/>
                  <w:smallCaps w:val="false"/>
                  <w:sz w:val="20"/>
                </w:rPr>
                <w:t>ABOUT THIS PROSPECTUS SUPPLEMENT AND THE ACCOMPANYING PROSPECTUS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415" w:type="dxa"/>
            <w:tcBorders/>
            <w:vAlign w:val="center"/>
          </w:tcPr>
          <w:p>
            <w:pPr>
              <w:pStyle w:val="TableContents"/>
              <w:bidi w:val="0"/>
              <w:spacing w:before="0" w:after="283"/>
              <w:jc w:val="left"/>
              <w:rPr/>
            </w:pPr>
            <w:hyperlink w:anchor="e26304a_002">
              <w:r>
                <w:rPr>
                  <w:rStyle w:val="InternetLink"/>
                  <w:rFonts w:ascii="Times New Roman;Times;Serif" w:hAnsi="Times New Roman;Times;Serif"/>
                  <w:b w:val="false"/>
                  <w:i w:val="false"/>
                  <w:caps w:val="false"/>
                  <w:smallCaps w:val="false"/>
                  <w:sz w:val="20"/>
                </w:rPr>
                <w:t>WHERE YOU CAN FIND MORE INFORMATION</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7415" w:type="dxa"/>
            <w:tcBorders/>
            <w:vAlign w:val="center"/>
          </w:tcPr>
          <w:p>
            <w:pPr>
              <w:pStyle w:val="TableContents"/>
              <w:bidi w:val="0"/>
              <w:spacing w:before="0" w:after="283"/>
              <w:jc w:val="left"/>
              <w:rPr/>
            </w:pPr>
            <w:hyperlink w:anchor="e26304a_003">
              <w:r>
                <w:rPr>
                  <w:rStyle w:val="InternetLink"/>
                  <w:rFonts w:ascii="Times New Roman;Times;Serif" w:hAnsi="Times New Roman;Times;Serif"/>
                  <w:b w:val="false"/>
                  <w:i w:val="false"/>
                  <w:caps w:val="false"/>
                  <w:smallCaps w:val="false"/>
                  <w:sz w:val="20"/>
                </w:rPr>
                <w:t>INCORPORATION OF CERTAIN DOCUMENTS BY REFERENCE</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7415" w:type="dxa"/>
            <w:tcBorders/>
            <w:vAlign w:val="center"/>
          </w:tcPr>
          <w:p>
            <w:pPr>
              <w:pStyle w:val="TableContents"/>
              <w:bidi w:val="0"/>
              <w:spacing w:before="0" w:after="283"/>
              <w:jc w:val="left"/>
              <w:rPr/>
            </w:pPr>
            <w:hyperlink w:anchor="e26304a_004">
              <w:r>
                <w:rPr>
                  <w:rStyle w:val="InternetLink"/>
                  <w:rFonts w:ascii="Times New Roman;Times;Serif" w:hAnsi="Times New Roman;Times;Serif"/>
                  <w:b w:val="false"/>
                  <w:i w:val="false"/>
                  <w:caps w:val="false"/>
                  <w:smallCaps w:val="false"/>
                  <w:sz w:val="20"/>
                </w:rPr>
                <w:t>SPECIAL CAUTIONARY NOTE REGARDING FORWARD-LOOKING STATEMENTS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7415" w:type="dxa"/>
            <w:tcBorders/>
            <w:vAlign w:val="center"/>
          </w:tcPr>
          <w:p>
            <w:pPr>
              <w:pStyle w:val="TableContents"/>
              <w:bidi w:val="0"/>
              <w:spacing w:before="0" w:after="283"/>
              <w:jc w:val="left"/>
              <w:rPr/>
            </w:pPr>
            <w:hyperlink w:anchor="e26304a_005">
              <w:r>
                <w:rPr>
                  <w:rStyle w:val="InternetLink"/>
                  <w:rFonts w:ascii="Times New Roman;Times;Serif" w:hAnsi="Times New Roman;Times;Serif"/>
                  <w:b w:val="false"/>
                  <w:i w:val="false"/>
                  <w:caps w:val="false"/>
                  <w:smallCaps w:val="false"/>
                  <w:sz w:val="20"/>
                </w:rPr>
                <w:t>PROSPECTUS SUPPLEMENT SUMMARY</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7415" w:type="dxa"/>
            <w:tcBorders/>
            <w:vAlign w:val="center"/>
          </w:tcPr>
          <w:p>
            <w:pPr>
              <w:pStyle w:val="TableContents"/>
              <w:bidi w:val="0"/>
              <w:spacing w:before="0" w:after="283"/>
              <w:jc w:val="left"/>
              <w:rPr/>
            </w:pPr>
            <w:hyperlink w:anchor="e26304a_006">
              <w:r>
                <w:rPr>
                  <w:rStyle w:val="InternetLink"/>
                  <w:rFonts w:ascii="Times New Roman;Times;Serif" w:hAnsi="Times New Roman;Times;Serif"/>
                  <w:b w:val="false"/>
                  <w:i w:val="false"/>
                  <w:caps w:val="false"/>
                  <w:smallCaps w:val="false"/>
                  <w:sz w:val="20"/>
                </w:rPr>
                <w:t>THE OFFERING</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7415" w:type="dxa"/>
            <w:tcBorders/>
            <w:vAlign w:val="center"/>
          </w:tcPr>
          <w:p>
            <w:pPr>
              <w:pStyle w:val="TableContents"/>
              <w:bidi w:val="0"/>
              <w:spacing w:before="0" w:after="283"/>
              <w:jc w:val="left"/>
              <w:rPr/>
            </w:pPr>
            <w:hyperlink w:anchor="e26304a_007">
              <w:r>
                <w:rPr>
                  <w:rStyle w:val="InternetLink"/>
                  <w:rFonts w:ascii="Times New Roman;Times;Serif" w:hAnsi="Times New Roman;Times;Serif"/>
                  <w:b w:val="false"/>
                  <w:i w:val="false"/>
                  <w:caps w:val="false"/>
                  <w:smallCaps w:val="false"/>
                  <w:sz w:val="20"/>
                </w:rPr>
                <w:t>RISK FACTORS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7415" w:type="dxa"/>
            <w:tcBorders/>
            <w:vAlign w:val="center"/>
          </w:tcPr>
          <w:p>
            <w:pPr>
              <w:pStyle w:val="TableContents"/>
              <w:bidi w:val="0"/>
              <w:spacing w:before="0" w:after="283"/>
              <w:jc w:val="left"/>
              <w:rPr/>
            </w:pPr>
            <w:hyperlink w:anchor="e26304a_008">
              <w:r>
                <w:rPr>
                  <w:rStyle w:val="InternetLink"/>
                  <w:rFonts w:ascii="Times New Roman;Times;Serif" w:hAnsi="Times New Roman;Times;Serif"/>
                  <w:b w:val="false"/>
                  <w:i w:val="false"/>
                  <w:caps w:val="false"/>
                  <w:smallCaps w:val="false"/>
                  <w:sz w:val="20"/>
                </w:rPr>
                <w:t>USE OF PROCEEDS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7415" w:type="dxa"/>
            <w:tcBorders/>
            <w:vAlign w:val="center"/>
          </w:tcPr>
          <w:p>
            <w:pPr>
              <w:pStyle w:val="TableContents"/>
              <w:bidi w:val="0"/>
              <w:spacing w:before="0" w:after="283"/>
              <w:jc w:val="left"/>
              <w:rPr/>
            </w:pPr>
            <w:hyperlink w:anchor="e26304a_009">
              <w:r>
                <w:rPr>
                  <w:rStyle w:val="InternetLink"/>
                  <w:rFonts w:ascii="Times New Roman;Times;Serif" w:hAnsi="Times New Roman;Times;Serif"/>
                  <w:b w:val="false"/>
                  <w:i w:val="false"/>
                  <w:caps w:val="false"/>
                  <w:smallCaps w:val="false"/>
                  <w:sz w:val="20"/>
                </w:rPr>
                <w:t>CAPITALIZATION</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7415" w:type="dxa"/>
            <w:tcBorders/>
            <w:vAlign w:val="center"/>
          </w:tcPr>
          <w:p>
            <w:pPr>
              <w:pStyle w:val="TableContents"/>
              <w:bidi w:val="0"/>
              <w:spacing w:before="0" w:after="283"/>
              <w:jc w:val="left"/>
              <w:rPr/>
            </w:pPr>
            <w:hyperlink w:anchor="e26304a_010">
              <w:r>
                <w:rPr>
                  <w:rStyle w:val="InternetLink"/>
                  <w:rFonts w:ascii="Times New Roman;Times;Serif" w:hAnsi="Times New Roman;Times;Serif"/>
                  <w:b w:val="false"/>
                  <w:i w:val="false"/>
                  <w:caps w:val="false"/>
                  <w:smallCaps w:val="false"/>
                  <w:sz w:val="20"/>
                </w:rPr>
                <w:t>MATERIAL U.S. FEDERAL INCOME TAX CONSIDERATIONS TO NON-U.S. HOLDERS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S-21</w:t>
            </w:r>
          </w:p>
        </w:tc>
      </w:tr>
      <w:tr>
        <w:trPr/>
        <w:tc>
          <w:tcPr>
            <w:tcW w:w="7415" w:type="dxa"/>
            <w:tcBorders/>
            <w:vAlign w:val="center"/>
          </w:tcPr>
          <w:p>
            <w:pPr>
              <w:pStyle w:val="TableContents"/>
              <w:bidi w:val="0"/>
              <w:spacing w:before="0" w:after="283"/>
              <w:jc w:val="left"/>
              <w:rPr/>
            </w:pPr>
            <w:hyperlink w:anchor="e26304a_011">
              <w:r>
                <w:rPr>
                  <w:rStyle w:val="InternetLink"/>
                  <w:rFonts w:ascii="Times New Roman;Times;Serif" w:hAnsi="Times New Roman;Times;Serif"/>
                  <w:b w:val="false"/>
                  <w:i w:val="false"/>
                  <w:caps w:val="false"/>
                  <w:smallCaps w:val="false"/>
                  <w:sz w:val="20"/>
                </w:rPr>
                <w:t>UNDERWRITING</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S-26</w:t>
            </w:r>
          </w:p>
        </w:tc>
      </w:tr>
      <w:tr>
        <w:trPr/>
        <w:tc>
          <w:tcPr>
            <w:tcW w:w="7415" w:type="dxa"/>
            <w:tcBorders/>
            <w:vAlign w:val="center"/>
          </w:tcPr>
          <w:p>
            <w:pPr>
              <w:pStyle w:val="TableContents"/>
              <w:bidi w:val="0"/>
              <w:spacing w:before="0" w:after="283"/>
              <w:jc w:val="left"/>
              <w:rPr/>
            </w:pPr>
            <w:hyperlink w:anchor="e26304a_012">
              <w:r>
                <w:rPr>
                  <w:rStyle w:val="InternetLink"/>
                  <w:rFonts w:ascii="Times New Roman;Times;Serif" w:hAnsi="Times New Roman;Times;Serif"/>
                  <w:b w:val="false"/>
                  <w:i w:val="false"/>
                  <w:caps w:val="false"/>
                  <w:smallCaps w:val="false"/>
                  <w:sz w:val="20"/>
                </w:rPr>
                <w:t>LEGAL MATTERS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S-31</w:t>
            </w:r>
          </w:p>
        </w:tc>
      </w:tr>
      <w:tr>
        <w:trPr/>
        <w:tc>
          <w:tcPr>
            <w:tcW w:w="7415" w:type="dxa"/>
            <w:tcBorders/>
            <w:vAlign w:val="center"/>
          </w:tcPr>
          <w:p>
            <w:pPr>
              <w:pStyle w:val="TableContents"/>
              <w:bidi w:val="0"/>
              <w:spacing w:before="0" w:after="283"/>
              <w:jc w:val="left"/>
              <w:rPr/>
            </w:pPr>
            <w:hyperlink w:anchor="e26304a_013">
              <w:r>
                <w:rPr>
                  <w:rStyle w:val="InternetLink"/>
                  <w:rFonts w:ascii="Times New Roman;Times;Serif" w:hAnsi="Times New Roman;Times;Serif"/>
                  <w:b w:val="false"/>
                  <w:i w:val="false"/>
                  <w:caps w:val="false"/>
                  <w:smallCaps w:val="false"/>
                  <w:sz w:val="20"/>
                </w:rPr>
                <w:t>EXPERTS</w:t>
              </w:r>
            </w:hyperlink>
          </w:p>
        </w:tc>
        <w:tc>
          <w:tcPr>
            <w:tcW w:w="4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S-31</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915"/>
        <w:gridCol w:w="245"/>
      </w:tblGrid>
      <w:tr>
        <w:trPr/>
        <w:tc>
          <w:tcPr>
            <w:tcW w:w="5915" w:type="dxa"/>
            <w:tcBorders/>
            <w:vAlign w:val="center"/>
          </w:tcPr>
          <w:p>
            <w:pPr>
              <w:pStyle w:val="TableContents"/>
              <w:bidi w:val="0"/>
              <w:spacing w:before="0" w:after="283"/>
              <w:jc w:val="left"/>
              <w:rPr/>
            </w:pPr>
            <w:hyperlink w:anchor="e26030_001">
              <w:r>
                <w:rPr>
                  <w:rStyle w:val="InternetLink"/>
                  <w:rFonts w:ascii="Times New Roman;Times;Serif" w:hAnsi="Times New Roman;Times;Serif"/>
                  <w:b w:val="false"/>
                  <w:i w:val="false"/>
                  <w:caps w:val="false"/>
                  <w:smallCaps w:val="false"/>
                  <w:sz w:val="20"/>
                </w:rPr>
                <w:t>ABOUT THIS PROSPECTUS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915" w:type="dxa"/>
            <w:tcBorders/>
            <w:vAlign w:val="center"/>
          </w:tcPr>
          <w:p>
            <w:pPr>
              <w:pStyle w:val="TableContents"/>
              <w:bidi w:val="0"/>
              <w:spacing w:before="0" w:after="283"/>
              <w:jc w:val="left"/>
              <w:rPr/>
            </w:pPr>
            <w:hyperlink w:anchor="e26030_00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5915" w:type="dxa"/>
            <w:tcBorders/>
            <w:vAlign w:val="center"/>
          </w:tcPr>
          <w:p>
            <w:pPr>
              <w:pStyle w:val="TableContents"/>
              <w:bidi w:val="0"/>
              <w:spacing w:before="0" w:after="283"/>
              <w:jc w:val="left"/>
              <w:rPr/>
            </w:pPr>
            <w:hyperlink w:anchor="e26030_003">
              <w:r>
                <w:rPr>
                  <w:rStyle w:val="InternetLink"/>
                  <w:rFonts w:ascii="Times New Roman;Times;Serif" w:hAnsi="Times New Roman;Times;Serif"/>
                  <w:b w:val="false"/>
                  <w:i w:val="false"/>
                  <w:caps w:val="false"/>
                  <w:smallCaps w:val="false"/>
                  <w:sz w:val="20"/>
                </w:rPr>
                <w:t>FORWARD-LOOKING STATEMENTS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5915" w:type="dxa"/>
            <w:tcBorders/>
            <w:vAlign w:val="center"/>
          </w:tcPr>
          <w:p>
            <w:pPr>
              <w:pStyle w:val="TableContents"/>
              <w:bidi w:val="0"/>
              <w:spacing w:before="0" w:after="283"/>
              <w:jc w:val="left"/>
              <w:rPr/>
            </w:pPr>
            <w:hyperlink w:anchor="e26030_004">
              <w:r>
                <w:rPr>
                  <w:rStyle w:val="InternetLink"/>
                  <w:rFonts w:ascii="Times New Roman;Times;Serif" w:hAnsi="Times New Roman;Times;Serif"/>
                  <w:b w:val="false"/>
                  <w:i w:val="false"/>
                  <w:caps w:val="false"/>
                  <w:smallCaps w:val="false"/>
                  <w:sz w:val="20"/>
                </w:rPr>
                <w:t>THE COMPANY</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915" w:type="dxa"/>
            <w:tcBorders/>
            <w:vAlign w:val="center"/>
          </w:tcPr>
          <w:p>
            <w:pPr>
              <w:pStyle w:val="TableContents"/>
              <w:bidi w:val="0"/>
              <w:spacing w:before="0" w:after="283"/>
              <w:jc w:val="left"/>
              <w:rPr/>
            </w:pPr>
            <w:hyperlink w:anchor="e26030_005">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915" w:type="dxa"/>
            <w:tcBorders/>
            <w:vAlign w:val="center"/>
          </w:tcPr>
          <w:p>
            <w:pPr>
              <w:pStyle w:val="TableContents"/>
              <w:bidi w:val="0"/>
              <w:spacing w:before="0" w:after="283"/>
              <w:jc w:val="left"/>
              <w:rPr/>
            </w:pPr>
            <w:hyperlink w:anchor="e26030_006">
              <w:r>
                <w:rPr>
                  <w:rStyle w:val="InternetLink"/>
                  <w:rFonts w:ascii="Times New Roman;Times;Serif" w:hAnsi="Times New Roman;Times;Serif"/>
                  <w:b w:val="false"/>
                  <w:i w:val="false"/>
                  <w:caps w:val="false"/>
                  <w:smallCaps w:val="false"/>
                  <w:sz w:val="20"/>
                </w:rPr>
                <w:t>USE OF PROCEEDS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915" w:type="dxa"/>
            <w:tcBorders/>
            <w:vAlign w:val="center"/>
          </w:tcPr>
          <w:p>
            <w:pPr>
              <w:pStyle w:val="TableContents"/>
              <w:bidi w:val="0"/>
              <w:spacing w:before="0" w:after="283"/>
              <w:jc w:val="left"/>
              <w:rPr/>
            </w:pPr>
            <w:hyperlink w:anchor="e26030_007">
              <w:r>
                <w:rPr>
                  <w:rStyle w:val="InternetLink"/>
                  <w:rFonts w:ascii="Times New Roman;Times;Serif" w:hAnsi="Times New Roman;Times;Serif"/>
                  <w:b w:val="false"/>
                  <w:i w:val="false"/>
                  <w:caps w:val="false"/>
                  <w:smallCaps w:val="false"/>
                  <w:sz w:val="20"/>
                </w:rPr>
                <w:t>DESCRIPTION OF SECURITIES WE MAY OFFER</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15" w:type="dxa"/>
            <w:tcBorders/>
            <w:vAlign w:val="center"/>
          </w:tcPr>
          <w:p>
            <w:pPr>
              <w:pStyle w:val="TableContents"/>
              <w:bidi w:val="0"/>
              <w:spacing w:before="0" w:after="283"/>
              <w:jc w:val="left"/>
              <w:rPr/>
            </w:pPr>
            <w:hyperlink w:anchor="e26030_008">
              <w:r>
                <w:rPr>
                  <w:rStyle w:val="InternetLink"/>
                  <w:rFonts w:ascii="Times New Roman;Times;Serif" w:hAnsi="Times New Roman;Times;Serif"/>
                  <w:b w:val="false"/>
                  <w:i w:val="false"/>
                  <w:caps w:val="false"/>
                  <w:smallCaps w:val="false"/>
                  <w:sz w:val="20"/>
                </w:rPr>
                <w:t>DESCRIPTION OF COMMON STOCK</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15" w:type="dxa"/>
            <w:tcBorders/>
            <w:vAlign w:val="center"/>
          </w:tcPr>
          <w:p>
            <w:pPr>
              <w:pStyle w:val="TableContents"/>
              <w:bidi w:val="0"/>
              <w:spacing w:before="0" w:after="283"/>
              <w:jc w:val="left"/>
              <w:rPr/>
            </w:pPr>
            <w:hyperlink w:anchor="e26030_009">
              <w:r>
                <w:rPr>
                  <w:rStyle w:val="InternetLink"/>
                  <w:rFonts w:ascii="Times New Roman;Times;Serif" w:hAnsi="Times New Roman;Times;Serif"/>
                  <w:b w:val="false"/>
                  <w:i w:val="false"/>
                  <w:caps w:val="false"/>
                  <w:smallCaps w:val="false"/>
                  <w:sz w:val="20"/>
                </w:rPr>
                <w:t>DESCRIPTION OF PREFERRED STOCK</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915" w:type="dxa"/>
            <w:tcBorders/>
            <w:vAlign w:val="center"/>
          </w:tcPr>
          <w:p>
            <w:pPr>
              <w:pStyle w:val="TableContents"/>
              <w:bidi w:val="0"/>
              <w:spacing w:before="0" w:after="283"/>
              <w:jc w:val="left"/>
              <w:rPr/>
            </w:pPr>
            <w:hyperlink w:anchor="e26030_010">
              <w:r>
                <w:rPr>
                  <w:rStyle w:val="InternetLink"/>
                  <w:rFonts w:ascii="Times New Roman;Times;Serif" w:hAnsi="Times New Roman;Times;Serif"/>
                  <w:b w:val="false"/>
                  <w:i w:val="false"/>
                  <w:caps w:val="false"/>
                  <w:smallCaps w:val="false"/>
                  <w:sz w:val="20"/>
                </w:rPr>
                <w:t>DESCRIPTION OF DEBT SECURITIES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915" w:type="dxa"/>
            <w:tcBorders/>
            <w:vAlign w:val="center"/>
          </w:tcPr>
          <w:p>
            <w:pPr>
              <w:pStyle w:val="TableContents"/>
              <w:bidi w:val="0"/>
              <w:spacing w:before="0" w:after="283"/>
              <w:jc w:val="left"/>
              <w:rPr/>
            </w:pPr>
            <w:hyperlink w:anchor="e26030_011">
              <w:r>
                <w:rPr>
                  <w:rStyle w:val="InternetLink"/>
                  <w:rFonts w:ascii="Times New Roman;Times;Serif" w:hAnsi="Times New Roman;Times;Serif"/>
                  <w:b w:val="false"/>
                  <w:i w:val="false"/>
                  <w:caps w:val="false"/>
                  <w:smallCaps w:val="false"/>
                  <w:sz w:val="20"/>
                </w:rPr>
                <w:t>DESCRIPTION OF DEPOSITARY SHARES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915" w:type="dxa"/>
            <w:tcBorders/>
            <w:vAlign w:val="center"/>
          </w:tcPr>
          <w:p>
            <w:pPr>
              <w:pStyle w:val="TableContents"/>
              <w:bidi w:val="0"/>
              <w:spacing w:before="0" w:after="283"/>
              <w:jc w:val="left"/>
              <w:rPr/>
            </w:pPr>
            <w:hyperlink w:anchor="e26030_012">
              <w:r>
                <w:rPr>
                  <w:rStyle w:val="InternetLink"/>
                  <w:rFonts w:ascii="Times New Roman;Times;Serif" w:hAnsi="Times New Roman;Times;Serif"/>
                  <w:b w:val="false"/>
                  <w:i w:val="false"/>
                  <w:caps w:val="false"/>
                  <w:smallCaps w:val="false"/>
                  <w:sz w:val="20"/>
                </w:rPr>
                <w:t>DESCRIPTION OF WARRANTS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915" w:type="dxa"/>
            <w:tcBorders/>
            <w:vAlign w:val="center"/>
          </w:tcPr>
          <w:p>
            <w:pPr>
              <w:pStyle w:val="TableContents"/>
              <w:bidi w:val="0"/>
              <w:spacing w:before="0" w:after="283"/>
              <w:jc w:val="left"/>
              <w:rPr/>
            </w:pPr>
            <w:hyperlink w:anchor="e26030_013">
              <w:r>
                <w:rPr>
                  <w:rStyle w:val="InternetLink"/>
                  <w:rFonts w:ascii="Times New Roman;Times;Serif" w:hAnsi="Times New Roman;Times;Serif"/>
                  <w:b w:val="false"/>
                  <w:i w:val="false"/>
                  <w:caps w:val="false"/>
                  <w:smallCaps w:val="false"/>
                  <w:sz w:val="20"/>
                </w:rPr>
                <w:t>DESCRIPTION OF PURCHASE CONTRACTS AND PURCHASE UNITS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915" w:type="dxa"/>
            <w:tcBorders/>
            <w:vAlign w:val="center"/>
          </w:tcPr>
          <w:p>
            <w:pPr>
              <w:pStyle w:val="TableContents"/>
              <w:bidi w:val="0"/>
              <w:spacing w:before="0" w:after="283"/>
              <w:jc w:val="left"/>
              <w:rPr/>
            </w:pPr>
            <w:hyperlink w:anchor="e26030_014">
              <w:r>
                <w:rPr>
                  <w:rStyle w:val="InternetLink"/>
                  <w:rFonts w:ascii="Times New Roman;Times;Serif" w:hAnsi="Times New Roman;Times;Serif"/>
                  <w:b w:val="false"/>
                  <w:i w:val="false"/>
                  <w:caps w:val="false"/>
                  <w:smallCaps w:val="false"/>
                  <w:sz w:val="20"/>
                </w:rPr>
                <w:t>DESCRIPTION OF SUBSCRIPTION RIGHTS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915" w:type="dxa"/>
            <w:tcBorders/>
            <w:vAlign w:val="center"/>
          </w:tcPr>
          <w:p>
            <w:pPr>
              <w:pStyle w:val="TableContents"/>
              <w:bidi w:val="0"/>
              <w:spacing w:before="0" w:after="283"/>
              <w:jc w:val="left"/>
              <w:rPr/>
            </w:pPr>
            <w:hyperlink w:anchor="e26030_015">
              <w:r>
                <w:rPr>
                  <w:rStyle w:val="InternetLink"/>
                  <w:rFonts w:ascii="Times New Roman;Times;Serif" w:hAnsi="Times New Roman;Times;Serif"/>
                  <w:b w:val="false"/>
                  <w:i w:val="false"/>
                  <w:caps w:val="false"/>
                  <w:smallCaps w:val="false"/>
                  <w:sz w:val="20"/>
                </w:rPr>
                <w:t>DESCRIPTION OF UNITS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915" w:type="dxa"/>
            <w:tcBorders/>
            <w:vAlign w:val="center"/>
          </w:tcPr>
          <w:p>
            <w:pPr>
              <w:pStyle w:val="TableContents"/>
              <w:bidi w:val="0"/>
              <w:spacing w:before="0" w:after="283"/>
              <w:jc w:val="left"/>
              <w:rPr/>
            </w:pPr>
            <w:hyperlink w:anchor="e26030_016">
              <w:r>
                <w:rPr>
                  <w:rStyle w:val="InternetLink"/>
                  <w:rFonts w:ascii="Times New Roman;Times;Serif" w:hAnsi="Times New Roman;Times;Serif"/>
                  <w:b w:val="false"/>
                  <w:i w:val="false"/>
                  <w:caps w:val="false"/>
                  <w:smallCaps w:val="false"/>
                  <w:sz w:val="20"/>
                </w:rPr>
                <w:t>PLAN OF DISTRIBUTION</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915" w:type="dxa"/>
            <w:tcBorders/>
            <w:vAlign w:val="center"/>
          </w:tcPr>
          <w:p>
            <w:pPr>
              <w:pStyle w:val="TableContents"/>
              <w:bidi w:val="0"/>
              <w:spacing w:before="0" w:after="283"/>
              <w:jc w:val="left"/>
              <w:rPr/>
            </w:pPr>
            <w:hyperlink w:anchor="e26030_017">
              <w:r>
                <w:rPr>
                  <w:rStyle w:val="InternetLink"/>
                  <w:rFonts w:ascii="Times New Roman;Times;Serif" w:hAnsi="Times New Roman;Times;Serif"/>
                  <w:b w:val="false"/>
                  <w:i w:val="false"/>
                  <w:caps w:val="false"/>
                  <w:smallCaps w:val="false"/>
                  <w:sz w:val="20"/>
                </w:rPr>
                <w:t>LEGAL MATTERS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915" w:type="dxa"/>
            <w:tcBorders/>
            <w:vAlign w:val="center"/>
          </w:tcPr>
          <w:p>
            <w:pPr>
              <w:pStyle w:val="TableContents"/>
              <w:bidi w:val="0"/>
              <w:spacing w:before="0" w:after="283"/>
              <w:jc w:val="left"/>
              <w:rPr/>
            </w:pPr>
            <w:hyperlink w:anchor="e26030_018">
              <w:r>
                <w:rPr>
                  <w:rStyle w:val="InternetLink"/>
                  <w:rFonts w:ascii="Times New Roman;Times;Serif" w:hAnsi="Times New Roman;Times;Serif"/>
                  <w:b w:val="false"/>
                  <w:i w:val="false"/>
                  <w:caps w:val="false"/>
                  <w:smallCaps w:val="false"/>
                  <w:sz w:val="20"/>
                </w:rPr>
                <w:t>EXPERTS</w:t>
              </w:r>
            </w:hyperlink>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6" w:color="DCDCDC"/>
        </w:rPr>
      </w:pPr>
      <w:r>
        <w:rPr>
          <w:bdr w:val="single" w:sz="16" w:space="6" w:color="DCDCDC"/>
        </w:rPr>
        <w:t>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2" w:name="e26304a_001"/>
      <w:bookmarkEnd w:id="2"/>
      <w:r>
        <w:rPr>
          <w:rFonts w:ascii="Times New Roman;Times;Serif" w:hAnsi="Times New Roman;Times;Serif"/>
          <w:b/>
          <w:i w:val="false"/>
          <w:caps w:val="false"/>
          <w:smallCaps w:val="false"/>
          <w:sz w:val="20"/>
        </w:rPr>
        <w:t>ABOUT THIS PROSPECTUS SUPPLEMENT AND THE ACCOMPANYING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composed of two parts. The first part is this prospectus supplement, which describes the specific terms of this offering of common stock, including the price, the number of shares of our common stock being offered, the risks of investing in this offering of our common stock and certain other matters relating to us and our financial condition. This prospectus supplement also adds to and updates information contained in the accompanying prospectus and the documents incorporated by reference into this prospectus supplement and the accompanying prospectus. The second part of this document is the accompanying prospectus, dated February 9, 2026, which is included as part of our shelf registration statement on Form S-3 (File No. 333-293089). That registration statement and the accompanying prospectus provide more general information about securities that we may offer from time to time, some of which may not apply to this offering. It is important for you to read and consider carefully all information contained or incorporated by reference in this prospectus supplement, the accompanying prospectus and any permitted free writing prospectuses we have authorized for use with respect to this offering before investing in our common stock. See “Where You Can Find More Information” and “Incorporation of Certain Documents by Reference” for additional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information incorporated by reference in this prospectus supplement, may add, update or change information in the accompanying prospectus. If information in this prospectus supplement is inconsistent with the accompanying prospectus, this prospectus supplement will supersede the information in the accompanying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various places in this prospectus supplement and the accompanying prospectus, we refer you to sections of other documents for additional information by indicating the caption heading of the other sections. All cross-references in this prospectus supplement are to captions contained in this prospectus supplement and not in the accompanying prospectus, unless otherwise indicated.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“we,” “our,” “us,” “Five Star Bancorp” or “the Company” refer to Five Star Bancorp, a California corporation, and our banking subsidiary, Five Star Bank, a California state-chartered bank, unless the context indicates that we refer only to the parent company, Five Star Bancorp. In this prospectus supplement, the “Bank” refers to Five Star Bank. Unless otherwise indicated, information presented in this prospectus supplement assumes the underwriters’ option to purchase additional shares from us is not exercised.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our financial results in accordance with United States generally accepted accounting principles. All financial data in this prospectus supplement for the three and six months ended June 30, 2026 is preliminary. These preliminary results are not a comprehensive statement of our financial position for the three and six months ended June 30, 2026 and are based on information available as of the date of this prospectus supplement. The actual amounts that we report will be subject to any final adjustments that may be made prior to the time our financial results for the three and six months ended June 30, 2026 are finalized and filed with the SEC in our Quarterly Report on Form 10-Q for the quarter ended June 30, 2026.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results included in this prospectus supplement have been prepared by, and are the responsibility of, our management. Baker Tilly US, LLP has not audited, reviewed, examined, compiled, or applied agreed upon procedures with respect to the preliminary results. Accordingly, Baker Tilly US, LLP does not express an opinion or any other form of assurance with respect thereto.</w:t>
      </w:r>
    </w:p>
    <w:p>
      <w:pPr>
        <w:pStyle w:val="TextBody"/>
        <w:bidi w:val="0"/>
        <w:spacing w:before="0" w:after="0"/>
        <w:jc w:val="center"/>
        <w:rPr>
          <w:bdr w:val="single" w:sz="16" w:space="6" w:color="DCDCDC"/>
        </w:rPr>
      </w:pPr>
      <w:r>
        <w:rPr>
          <w:bdr w:val="single" w:sz="16" w:space="6" w:color="DCDCDC"/>
        </w:rPr>
        <w:t>ii</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Company nor the underwriters have authorized anyone to provide you with any information other than that contained or incorporated by reference in this prospectus supplement, the accompanying prospectus or in any free writing prospectus prepared by or on behalf of, the Company, or to which the Company has referred you. Neither the Company nor the underwriters take any responsibility for, or can provide any assurance as to the reliability of, any information that others may give you. If any information in this prospectus supplement is inconsistent with the accompanying prospectus or any document incorporated by reference in this prospectus supplement or the accompanying prospectus, you should rely on the information in this prospectus supplement. You should not assume that the information provided in this prospectus supplement, the accompanying prospectus or the documents incorporated by reference in this prospectus supplement and in the accompanying prospectus is accurate as of any date other than the date of this prospectus supplement or the date of the document in which that information is contained. Our business, financial condition, liquidity, results of operations and prospects may have changed since the date of any document in which such information is contained.</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Company nor the underwriters are offering to sell nor seeking an offer to buy our common stock in any jurisdiction where such offers and sales are not permitted. The distribution of this prospectus supplement and the accompanying prospectus and the offering of our common stock in certain jurisdictions may be restricted by law.</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for or in connection with, an offer or solicitation by any person in any jurisdiction in which such offer or solicitation is not authorized or in which the person making such offer or solicitation is not authorized or is not qualified to do so or to any person to whom it is unlawful to make such offer or solicitation, and this prospectus supplement and the accompanying prospectus may not be delivered to any person to whom it is unlawful to make such offer or solicitation. See “Underwriting” in this prospectus supplement.</w:t>
      </w:r>
    </w:p>
    <w:p>
      <w:pPr>
        <w:pStyle w:val="TextBody"/>
        <w:bidi w:val="0"/>
        <w:spacing w:before="0" w:after="0"/>
        <w:jc w:val="center"/>
        <w:rPr>
          <w:bdr w:val="single" w:sz="16" w:space="6" w:color="DCDCDC"/>
        </w:rPr>
      </w:pPr>
      <w:r>
        <w:rPr>
          <w:bdr w:val="single" w:sz="16" w:space="6" w:color="DCDCDC"/>
        </w:rPr>
        <w:t>iii</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3" w:name="e26304a_002"/>
      <w:bookmarkEnd w:id="3"/>
      <w:r>
        <w:rPr>
          <w:rFonts w:ascii="Times New Roman;Times;Serif" w:hAnsi="Times New Roman;Times;Serif"/>
          <w:b/>
          <w:i w:val="false"/>
          <w:caps w:val="false"/>
          <w:smallCaps w:val="false"/>
          <w:sz w:val="20"/>
        </w:rPr>
        <w:t>WHERE YOU CAN FIND MORE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filings with the SEC are also available to the public through the SEC’s website at www.sec.gov.</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quarterly and current reports and any amendments to those reports are also available over the Internet on our website at www.fivestarbank.com. All internet addresses provided in this prospectus supplement or the accompanying prospectus are for informational purposes only and are not intended to be hyperlinks. In addition, the information on, or accessible through, our website, or any other website described herein, is not a part of, and is not incorporated or deemed to be incorporated by reference in, this prospectus supplement or the accompanying prospectus or other offering materials.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shelf registration statement (File No. 333-293089) with the SEC registering the offering of various of our securities, including the shares of our common stock offered by this prospectus supplement and the accompanying prospectus. This prospectus supplement and the accompanying prospectus are part of that registration statement. The registration statement may contain additional information that may be important to you.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You may obtain from the SEC copies of the registration statement and the related exhibits that we filed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i w:val="false"/>
          <w:caps w:val="false"/>
          <w:smallCaps w:val="false"/>
          <w:sz w:val="20"/>
        </w:rPr>
      </w:pPr>
      <w:bookmarkStart w:id="4" w:name="e26304a_003"/>
      <w:bookmarkEnd w:id="4"/>
      <w:r>
        <w:rPr>
          <w:rFonts w:ascii="Times New Roman;Times;Serif" w:hAnsi="Times New Roman;Times;Serif"/>
          <w:b/>
          <w:i w:val="false"/>
          <w:caps w:val="false"/>
          <w:smallCaps w:val="false"/>
          <w:sz w:val="20"/>
        </w:rPr>
        <w:t>INCORPORATION OF CERTAIN DOCUMENTS BY REFERENCE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and the accompanying prospectus. This means that we can disclose important information to you by referring you to another document. Any information incorporated by reference into this prospectus supplement and the accompanying prospectus is considered a part of the information contained herein and therein. We are incorporating by reference in this prospectus supplement, and have incorporated by reference in the accompanying prospectus, the documents listed below, which we have already filed with the SEC, and any future filings we make with the SEC under Sections 13(a), 13(c), 14 or 15(d) of the Securities Exchange Act of 1934, as amended, or the Exchange Act, except in each case as to any portion of any report or document that is deemed furnished to the SEC and not deemed filed under such provisions:</w:t>
      </w:r>
    </w:p>
    <w:tbl>
      <w:tblPr>
        <w:tblW w:w="9408" w:type="dxa"/>
        <w:jc w:val="left"/>
        <w:tblInd w:w="0" w:type="dxa"/>
        <w:tblLayout w:type="fixed"/>
        <w:tblCellMar>
          <w:top w:w="0" w:type="dxa"/>
          <w:left w:w="0" w:type="dxa"/>
          <w:bottom w:w="0" w:type="dxa"/>
          <w:right w:w="0" w:type="dxa"/>
        </w:tblCellMar>
      </w:tblPr>
      <w:tblGrid>
        <w:gridCol w:w="38"/>
        <w:gridCol w:w="11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2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February 27, 2026</w:t>
            </w:r>
            <w:r>
              <w:rPr>
                <w:rFonts w:ascii="Times New Roman;Times;Serif" w:hAnsi="Times New Roman;Times;Serif"/>
                <w:b w:val="false"/>
                <w:i w:val="false"/>
                <w:caps w:val="false"/>
                <w:smallCaps w:val="false"/>
                <w:color w:val="0000ED"/>
                <w:sz w:val="20"/>
              </w:rPr>
              <w:t>;</w:t>
            </w:r>
          </w:p>
        </w:tc>
      </w:tr>
    </w:tbl>
    <w:tbl>
      <w:tblPr>
        <w:tblW w:w="9063" w:type="dxa"/>
        <w:jc w:val="left"/>
        <w:tblInd w:w="0" w:type="dxa"/>
        <w:tblLayout w:type="fixed"/>
        <w:tblCellMar>
          <w:top w:w="0" w:type="dxa"/>
          <w:left w:w="0" w:type="dxa"/>
          <w:bottom w:w="0" w:type="dxa"/>
          <w:right w:w="0" w:type="dxa"/>
        </w:tblCellMar>
      </w:tblPr>
      <w:tblGrid>
        <w:gridCol w:w="38"/>
        <w:gridCol w:w="11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7,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information specifically incorporated by reference into our Annual Report on Form 10-K for the year ended December 31, 2025 from our Definitive Proxy Statement on </w:t>
            </w:r>
            <w:hyperlink r:id="rId6">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March 30, 2026;</w:t>
            </w:r>
          </w:p>
        </w:tc>
      </w:tr>
    </w:tbl>
    <w:tbl>
      <w:tblPr>
        <w:tblW w:w="6198" w:type="dxa"/>
        <w:jc w:val="left"/>
        <w:tblInd w:w="0" w:type="dxa"/>
        <w:tblLayout w:type="fixed"/>
        <w:tblCellMar>
          <w:top w:w="0" w:type="dxa"/>
          <w:left w:w="0" w:type="dxa"/>
          <w:bottom w:w="0" w:type="dxa"/>
          <w:right w:w="0" w:type="dxa"/>
        </w:tblCellMar>
      </w:tblPr>
      <w:tblGrid>
        <w:gridCol w:w="38"/>
        <w:gridCol w:w="11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 on Form 8-K, filed with the SEC on </w:t>
            </w:r>
            <w:hyperlink r:id="rId7">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description of our common stock contained in </w:t>
            </w:r>
            <w:hyperlink r:id="rId8">
              <w:r>
                <w:rPr>
                  <w:rStyle w:val="InternetLink"/>
                  <w:rFonts w:ascii="Times New Roman;Times;Serif" w:hAnsi="Times New Roman;Times;Serif"/>
                  <w:b w:val="false"/>
                  <w:i w:val="false"/>
                  <w:caps w:val="false"/>
                  <w:smallCaps w:val="false"/>
                  <w:sz w:val="20"/>
                </w:rPr>
                <w:t>Exhibit 4.4</w:t>
              </w:r>
            </w:hyperlink>
            <w:r>
              <w:rPr>
                <w:rFonts w:ascii="Times New Roman;Times;Serif" w:hAnsi="Times New Roman;Times;Serif"/>
                <w:b w:val="false"/>
                <w:i w:val="false"/>
                <w:caps w:val="false"/>
                <w:smallCaps w:val="false"/>
                <w:sz w:val="20"/>
              </w:rPr>
              <w:t xml:space="preserve"> to our Annual Report on Form 10-K for the year ended December 31, 2021, filed with the SEC on February 25, 2022</w:t>
            </w:r>
            <w:r>
              <w:rPr>
                <w:rFonts w:ascii="Times New Roman;Times;Serif" w:hAnsi="Times New Roman;Times;Serif"/>
                <w:b w:val="false"/>
                <w:i w:val="false"/>
                <w:caps w:val="false"/>
                <w:smallCaps w:val="false"/>
                <w:color w:val="0000ED"/>
                <w:sz w:val="20"/>
              </w:rPr>
              <w:t>.</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prospectus supplement and the accompanying prospectus will be updated and supplemented by the information contained in the filings we make with the SEC in the future and that are incorporated by reference into this prospectus supplement and the accompanying prospectus as described above. The information contained in those future filings will be considered to be part of this prospectus supplement and the accompanying prospectus and will automatically update and supersede, as appropriate, the information contained in this prospectus supplement and the accompanying prospectus and contained in the filings previously filed with the SEC that are incorporated by reference into this prospectus supplement and the accompanying prospectus.</w:t>
      </w:r>
    </w:p>
    <w:p>
      <w:pPr>
        <w:pStyle w:val="TextBody"/>
        <w:bidi w:val="0"/>
        <w:spacing w:before="0" w:after="0"/>
        <w:jc w:val="center"/>
        <w:rPr>
          <w:bdr w:val="single" w:sz="16" w:space="6" w:color="DCDCDC"/>
        </w:rPr>
      </w:pPr>
      <w:r>
        <w:rPr>
          <w:bdr w:val="single" w:sz="16" w:space="6" w:color="DCDCDC"/>
        </w:rPr>
        <w:t>S-1</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to whom a copy of this prospectus supplement and the accompanying prospectus is delivered a copy of the documents incorporated by reference into this prospectus supplement and the accompanying prospectus. You may request a free copy of these filings by writing or telephoning us at the following address: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Heather Luck</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 Zinfandel Drive, Suite 100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Cordova, California 95670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(916) 626-5008</w:t>
      </w:r>
    </w:p>
    <w:p>
      <w:pPr>
        <w:pStyle w:val="TextBody"/>
        <w:bidi w:val="0"/>
        <w:spacing w:before="0" w:after="0"/>
        <w:jc w:val="center"/>
        <w:rPr>
          <w:bdr w:val="single" w:sz="16" w:space="6" w:color="DCDCDC"/>
        </w:rPr>
      </w:pPr>
      <w:r>
        <w:rPr>
          <w:bdr w:val="single" w:sz="16" w:space="6" w:color="DCDCDC"/>
        </w:rPr>
        <w:t>S-2</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5" w:name="e26304a_004"/>
      <w:bookmarkEnd w:id="5"/>
      <w:r>
        <w:rPr>
          <w:rFonts w:ascii="Times New Roman;Times;Serif" w:hAnsi="Times New Roman;Times;Serif"/>
          <w:b/>
          <w:i w:val="false"/>
          <w:caps w:val="false"/>
          <w:smallCaps w:val="false"/>
          <w:sz w:val="20"/>
        </w:rPr>
        <w:t>SPECIAL CAUTIONARY NOTE REGARDING FORWARD-LOOKING STATEMENTS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include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concentration of our business in California, and specifically within Northern California, including risks associated with any downturn in the real estate sector;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interest rates that affect the pricing of our loans and deposits, our net interest income, and our borrowers’ ability to repay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U.S. economy, including an economic slowdown, recession, inflation, deflation, tariffs, housing prices, employment levels, rate of growth, and general business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market conditions and economic trends nationally, regionally, and particularly in Northern California and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recent and future legislative and regulatory changes, including changes in banking, securities, and tax laws and regulations and their application by our regulators;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from a wide variety of local, regional, national, and other providers of financial and investment services;</w:t>
            </w:r>
          </w:p>
        </w:tc>
      </w:tr>
    </w:tbl>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our loan portfolios, and specifically with our commercial real estate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adequate liquidity and to maintain capital necessary to fund our growth strategy and operations and to satisfy minimum regulatory capital levels;</w:t>
            </w:r>
          </w:p>
        </w:tc>
      </w:tr>
    </w:tbl>
    <w:tbl>
      <w:tblPr>
        <w:tblW w:w="6873" w:type="dxa"/>
        <w:jc w:val="left"/>
        <w:tblInd w:w="0" w:type="dxa"/>
        <w:tblLayout w:type="fixed"/>
        <w:tblCellMar>
          <w:top w:w="0" w:type="dxa"/>
          <w:left w:w="0" w:type="dxa"/>
          <w:bottom w:w="0" w:type="dxa"/>
          <w:right w:w="0" w:type="dxa"/>
        </w:tblCellMar>
      </w:tblPr>
      <w:tblGrid>
        <w:gridCol w:w="38"/>
        <w:gridCol w:w="11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strategic focus on lending to small to medium-sized businesses;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the assumptions and estimates we make in establishing reserves for potential credit losses and the value of loan collateral and securities;</w:t>
            </w:r>
          </w:p>
        </w:tc>
      </w:tr>
    </w:tbl>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of nonperforming assets and the costs associated with resolving problem loans, if any;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various governmental and regulatory requirements applicable to financial institutions, including supervisory actions by federal and state banking agencies;</w:t>
            </w:r>
          </w:p>
        </w:tc>
      </w:tr>
    </w:tbl>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monetary and fiscal policies, including the policies of the Federal Reserve;</w:t>
            </w:r>
          </w:p>
        </w:tc>
      </w:tr>
    </w:tbl>
    <w:p>
      <w:pPr>
        <w:pStyle w:val="TextBody"/>
        <w:bidi w:val="0"/>
        <w:spacing w:before="0" w:after="0"/>
        <w:jc w:val="center"/>
        <w:rPr>
          <w:bdr w:val="single" w:sz="16" w:space="6" w:color="DCDCDC"/>
        </w:rPr>
      </w:pPr>
      <w:r>
        <w:rPr>
          <w:bdr w:val="single" w:sz="16" w:space="6" w:color="DCDCDC"/>
        </w:rPr>
        <w:t>S-3</w:t>
      </w:r>
    </w:p>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unauthorized access, cybersecurity breaches, cyber-crime, and other threats and disruptions to data security;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maintain, and improve an effective risk management framework, disclosure controls and procedures, and internal controls over financial reporting;</w:t>
            </w:r>
          </w:p>
        </w:tc>
      </w:tr>
    </w:tbl>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adopt and successfully integrate new initiatives or technologies into our business in a strategic manner;</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executive officers and key employees and their customer and community relationships;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future U.S. federal government shutdown and uncertainty regarding the U.S. federal government’s debt limit and credit rating;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or impact of climate change or natural or man-made disasters or calamities, such as wildfires, droughts, mudslides, floods, and earthquakes, and particularly in California, and specifically Northern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and impact of local, regional, and global business, economic, and political conditions and geopolitical events, such as pandemics, civil unrest, wars, and acts of terrorism;</w:t>
            </w:r>
          </w:p>
        </w:tc>
      </w:tr>
    </w:tbl>
    <w:tbl>
      <w:tblPr>
        <w:tblW w:w="4203" w:type="dxa"/>
        <w:jc w:val="left"/>
        <w:tblInd w:w="0" w:type="dxa"/>
        <w:tblLayout w:type="fixed"/>
        <w:tblCellMar>
          <w:top w:w="0" w:type="dxa"/>
          <w:left w:w="0" w:type="dxa"/>
          <w:bottom w:w="0" w:type="dxa"/>
          <w:right w:w="0" w:type="dxa"/>
        </w:tblCellMar>
      </w:tblPr>
      <w:tblGrid>
        <w:gridCol w:w="38"/>
        <w:gridCol w:w="11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the net proceeds from this offering; and</w:t>
            </w:r>
          </w:p>
        </w:tc>
      </w:tr>
    </w:tbl>
    <w:tbl>
      <w:tblPr>
        <w:tblW w:w="5748" w:type="dxa"/>
        <w:jc w:val="left"/>
        <w:tblInd w:w="0" w:type="dxa"/>
        <w:tblLayout w:type="fixed"/>
        <w:tblCellMar>
          <w:top w:w="0" w:type="dxa"/>
          <w:left w:w="0" w:type="dxa"/>
          <w:bottom w:w="0" w:type="dxa"/>
          <w:right w:w="0" w:type="dxa"/>
        </w:tblCellMar>
      </w:tblPr>
      <w:tblGrid>
        <w:gridCol w:w="38"/>
        <w:gridCol w:w="11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are discussed in the section entitled “Risk Factors.”</w:t>
            </w:r>
          </w:p>
        </w:tc>
      </w:tr>
    </w:tbl>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could cause results or performance to materially differ from those expressed in our forward-looking statements, should not be considered exhaustive, and should be read together with other cautionary statements that are included in this prospectus supplement, in the accompanying prospectus and in the documents incorporated herein by reference, including in our Annual Report on Form 10-K for the year ended December 31, 2025, as well as in each subsequently filed Quarterly Report on Form 10-Q,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prospectus supplement.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pStyle w:val="TextBody"/>
        <w:bidi w:val="0"/>
        <w:spacing w:before="0" w:after="0"/>
        <w:jc w:val="center"/>
        <w:rPr>
          <w:bdr w:val="single" w:sz="16" w:space="6" w:color="DCDCDC"/>
        </w:rPr>
      </w:pPr>
      <w:r>
        <w:rPr>
          <w:bdr w:val="single" w:sz="16" w:space="6" w:color="DCDCDC"/>
        </w:rPr>
        <w:t>S-4</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bdr w:val="single" w:sz="2" w:space="6" w:color="000000"/>
        </w:rPr>
      </w:pPr>
      <w:bookmarkStart w:id="6" w:name="e26304a_005"/>
      <w:bookmarkEnd w:id="6"/>
      <w:r>
        <w:rPr>
          <w:rFonts w:ascii="Times New Roman;Times;Serif" w:hAnsi="Times New Roman;Times;Serif"/>
          <w:b/>
          <w:i w:val="false"/>
          <w:caps w:val="false"/>
          <w:smallCaps w:val="false"/>
          <w:sz w:val="20"/>
          <w:bdr w:val="single" w:sz="2" w:space="6" w:color="000000"/>
        </w:rPr>
        <w:t>PROSPECTUS SUPPLEMENT SUMMARY</w:t>
      </w:r>
    </w:p>
    <w:p>
      <w:pPr>
        <w:pStyle w:val="TextBody"/>
        <w:bidi w:val="0"/>
        <w:spacing w:before="0" w:after="200"/>
        <w:ind w:left="0" w:right="0" w:firstLine="72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The following summary provides a brief overview of certain information appearing elsewhere in this prospectus supplement and the documents incorporated by reference herein, which are described under “Incorporation of Certain Documents by Reference.” Because it is a summary, it does not contain all the information that may be important to you. Before making an investment decision, you should read this entire prospectus supplement and the accompanying prospectus carefully, including the section entitled “Risk Factors” in this prospectus supplement, and the documents incorporated by reference herein and in the accompanying prospectus, including the financial statements and the accompanying notes contained in such documents.</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Five Star Bancorp</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with a tenth branch opening in July 2026.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2026, we had total assets of $5.0 billion, total loans held for investment of $4.2 billion, and total deposits of $4.5 billion.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are regulated by the FDIC, the Federal Reserve, the DFPI, and other regulatory agencies. See the section entitled “Supervision and Regulation” in our Annual Report on Form 10-K for the year ended December 31, 2025 for more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Our principal executive office is located at 3100 Zinfandel Drive, Suite 100, Rancho Cordova, CA 95670, and our telephone number is (916) 626-5000. Our common stock is traded on Nasdaq under the symbol “FSBC”. Additional information about us and our subsidiaries may be found in the documents incorporated by reference into this prospectus supplement. See “Where You Can Find More Information.”</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Recent Developments</w:t>
      </w:r>
    </w:p>
    <w:p>
      <w:pPr>
        <w:pStyle w:val="TextBody"/>
        <w:bidi w:val="0"/>
        <w:spacing w:before="0" w:after="20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Financial Highlights for the Second Quarter 2026</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On July 22, 2026, we reported unaudited preliminary consolidated financial results for the quarter ended June 30, 2026, including the below.</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information is only a summary and is not intended to be a comprehensive statement of the Company’s financial results. The following financial results are preliminary and unaudited and may be revised as a result of management’s further review of our results. Our independent registered public accounting firm, Baker Tilly US, LLP, has not audited, reviewed, compiled or performed any procedures on the following preliminary financial information. During the course of the preparation of our quarterly financial statements and related notes, we may identify items that would require the Company to make adjustments to the preliminary financial information presented below. Accordingly, these preliminary results should not be viewed as a substitute for financial statements prepared in accordance with accounting principles generally accepted in the United States, and you should not place undue reliance on these preliminary results. We assume no duty to update these preliminary results, except as required by law. The following should be read in conjunction with our consolidated financial statements and related notes, as well as management’s discussion and analysis of financial condition and results of operations, in our filings with the SEC that are incorporated by reference herein and the sections entitled “Cautionary Note Regarding Forward-Looking Statements” and “Risk Factors” in this prospectus supplement and similar sections in filings with the SEC that are incorporated by reference herein. Financial statements as of and for the quarter ended June 30, 2026 will be included in our Quarterly Report on Form 10-Q to be filed with the SEC.</w:t>
      </w:r>
    </w:p>
    <w:p>
      <w:pPr>
        <w:pStyle w:val="TextBody"/>
        <w:bidi w:val="0"/>
        <w:spacing w:before="0" w:after="0"/>
        <w:jc w:val="center"/>
        <w:rPr>
          <w:bdr w:val="single" w:sz="16" w:space="6" w:color="DCDCDC"/>
        </w:rPr>
      </w:pPr>
      <w:r>
        <w:rPr>
          <w:bdr w:val="single" w:sz="16" w:space="6" w:color="DCDCDC"/>
        </w:rPr>
        <w:t>S-5</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reported net income of $19.4 million for the three months ended June 30, 2026, as compared to $18.6 million for the three months ended March 31, 2026 and $14.5 million for the three months ended June 30, 2025.</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presents highlights of the Company’s unaudited preliminary consolidated financial results and other developments for the Company for the periods indicated:</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Financial Results (unaudited)</w:t>
      </w:r>
    </w:p>
    <w:p>
      <w:pPr>
        <w:pStyle w:val="TextBody"/>
        <w:bidi w:val="0"/>
        <w:jc w:val="left"/>
        <w:rPr>
          <w:caps w:val="false"/>
          <w:smallCaps w:val="false"/>
          <w:bdr w:val="single" w:sz="2" w:space="6" w:color="000000"/>
        </w:rPr>
      </w:pPr>
      <w:r>
        <w:rPr>
          <w:caps w:val="false"/>
          <w:smallCaps w:val="false"/>
          <w:bdr w:val="single" w:sz="2" w:space="6" w:color="000000"/>
        </w:rPr>
        <w:t> </w:t>
      </w:r>
    </w:p>
    <w:tbl>
      <w:tblPr>
        <w:tblW w:w="9695" w:type="dxa"/>
        <w:jc w:val="left"/>
        <w:tblInd w:w="0" w:type="dxa"/>
        <w:tblLayout w:type="fixed"/>
        <w:tblCellMar>
          <w:top w:w="0" w:type="dxa"/>
          <w:left w:w="0" w:type="dxa"/>
          <w:bottom w:w="0" w:type="dxa"/>
          <w:right w:w="0" w:type="dxa"/>
        </w:tblCellMar>
      </w:tblPr>
      <w:tblGrid>
        <w:gridCol w:w="5135"/>
        <w:gridCol w:w="60"/>
        <w:gridCol w:w="140"/>
        <w:gridCol w:w="1100"/>
        <w:gridCol w:w="215"/>
        <w:gridCol w:w="60"/>
        <w:gridCol w:w="140"/>
        <w:gridCol w:w="1100"/>
        <w:gridCol w:w="215"/>
        <w:gridCol w:w="60"/>
        <w:gridCol w:w="140"/>
        <w:gridCol w:w="1100"/>
        <w:gridCol w:w="230"/>
      </w:tblGrid>
      <w:tr>
        <w:trPr/>
        <w:tc>
          <w:tcPr>
            <w:tcW w:w="5135" w:type="dxa"/>
            <w:tcBorders/>
            <w:vAlign w:val="center"/>
          </w:tcPr>
          <w:p>
            <w:pPr>
              <w:pStyle w:val="TableContents"/>
              <w:bidi w:val="0"/>
              <w:spacing w:before="0" w:after="283"/>
              <w:ind w:left="0" w:right="0" w:hanging="173"/>
              <w:jc w:val="center"/>
              <w:rPr/>
            </w:pPr>
            <w:r>
              <w:rPr/>
              <w:t> </w:t>
            </w:r>
          </w:p>
        </w:tc>
        <w:tc>
          <w:tcPr>
            <w:tcW w:w="60" w:type="dxa"/>
            <w:tcBorders/>
            <w:vAlign w:val="center"/>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230" w:type="dxa"/>
            <w:tcBorders/>
            <w:vAlign w:val="center"/>
          </w:tcPr>
          <w:p>
            <w:pPr>
              <w:pStyle w:val="TableContents"/>
              <w:bidi w:val="0"/>
              <w:spacing w:before="0" w:after="283"/>
              <w:ind w:left="0" w:right="0" w:hanging="173"/>
              <w:jc w:val="left"/>
              <w:rPr/>
            </w:pPr>
            <w:r>
              <w:rPr/>
              <w:t> </w:t>
            </w:r>
          </w:p>
        </w:tc>
      </w:tr>
      <w:tr>
        <w:trPr/>
        <w:tc>
          <w:tcPr>
            <w:tcW w:w="5135" w:type="dxa"/>
            <w:tcBorders/>
            <w:vAlign w:val="center"/>
          </w:tcPr>
          <w:p>
            <w:pPr>
              <w:pStyle w:val="TableContents"/>
              <w:bidi w:val="0"/>
              <w:spacing w:before="0" w:after="283"/>
              <w:jc w:val="left"/>
              <w:rPr>
                <w:i/>
              </w:rPr>
            </w:pPr>
            <w:r>
              <w:rPr>
                <w:i/>
              </w:rPr>
              <w:t>(in thousands, except per share and share data)</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June 30,</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March 31,</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23" w:after="20"/>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2025</w:t>
            </w:r>
          </w:p>
        </w:tc>
        <w:tc>
          <w:tcPr>
            <w:tcW w:w="230" w:type="dxa"/>
            <w:tcBorders/>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Selected operating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Net 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46,083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43,457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36,515</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Non-interest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1,810</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Non-interest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15,726</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Pre-tax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26,089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20,099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5,591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19,399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18,621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14,508</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0.87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0.68</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0.68</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Weighted average basic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21,273,902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21,253,085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21,225,831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Weighted average diluted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21,338,903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21,313,078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21,269,265</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Shares outstanding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21,402,864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21,376,153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21,360,991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Performance and other financial ratios: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5135" w:type="dxa"/>
            <w:tcBorders/>
            <w:shd w:fill="FFFFFF" w:val="clear"/>
            <w:vAlign w:val="center"/>
          </w:tcPr>
          <w:p>
            <w:pPr>
              <w:pStyle w:val="TableContents"/>
              <w:bidi w:val="0"/>
              <w:spacing w:before="0" w:after="283"/>
              <w:jc w:val="left"/>
              <w:rPr/>
            </w:pPr>
            <w:r>
              <w:rPr/>
              <w:t>Return on average assets (“ROAA”)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1.37</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pPr>
            <w:r>
              <w:rPr/>
              <w:t>Return on average equity (“ROAE”)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14.17</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Tangible book value per share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22.14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21.45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19.51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5135" w:type="dxa"/>
            <w:tcBorders/>
            <w:shd w:fill="CCEEFF" w:val="clear"/>
            <w:vAlign w:val="center"/>
          </w:tcPr>
          <w:p>
            <w:pPr>
              <w:pStyle w:val="TableContents"/>
              <w:bidi w:val="0"/>
              <w:spacing w:before="0" w:after="283"/>
              <w:jc w:val="left"/>
              <w:rPr/>
            </w:pPr>
            <w:r>
              <w:rPr/>
              <w:t>Net interest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Average loan yield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pPr>
            <w:r>
              <w:rPr/>
              <w:t>Average cost of interest-bearing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3.31</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Average cost of total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cost of funds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2.53</w:t>
            </w:r>
          </w:p>
        </w:tc>
        <w:tc>
          <w:tcPr>
            <w:tcW w:w="230" w:type="dxa"/>
            <w:tcBorders/>
            <w:shd w:fill="CCEEFF" w:val="clear"/>
            <w:vAlign w:val="center"/>
          </w:tcPr>
          <w:p>
            <w:pPr>
              <w:pStyle w:val="TableContents"/>
              <w:bidi w:val="0"/>
              <w:spacing w:before="0" w:after="283"/>
              <w:ind w:left="0" w:right="0" w:hanging="173"/>
              <w:jc w:val="left"/>
              <w:rPr/>
            </w:pPr>
            <w:r>
              <w:rPr/>
              <w:t>%</w:t>
            </w:r>
          </w:p>
        </w:tc>
      </w:tr>
      <w:tr>
        <w:trPr/>
        <w:tc>
          <w:tcPr>
            <w:tcW w:w="5135" w:type="dxa"/>
            <w:tcBorders/>
            <w:shd w:fill="FFFFFF" w:val="clear"/>
            <w:vAlign w:val="center"/>
          </w:tcPr>
          <w:p>
            <w:pPr>
              <w:pStyle w:val="TableContents"/>
              <w:bidi w:val="0"/>
              <w:spacing w:before="0" w:after="283"/>
              <w:jc w:val="left"/>
              <w:rPr/>
            </w:pPr>
            <w:r>
              <w:rPr/>
              <w:t>Efficiency ratio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38.57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41.03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book value per share is equal to book value per share calculated in accordance with U.S.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funds reflects the average cost of all funding sources, including both interest-bearing and non-interest-bearing deposits and borrowings.</w:t>
            </w:r>
          </w:p>
        </w:tc>
      </w:tr>
    </w:tbl>
    <w:p>
      <w:pPr>
        <w:pStyle w:val="TextBody"/>
        <w:bidi w:val="0"/>
        <w:spacing w:before="0" w:after="0"/>
        <w:jc w:val="center"/>
        <w:rPr>
          <w:bdr w:val="single" w:sz="16" w:space="6" w:color="DCDCDC"/>
        </w:rPr>
      </w:pPr>
      <w:r>
        <w:rPr>
          <w:bdr w:val="single" w:sz="16" w:space="6" w:color="DCDCDC"/>
        </w:rPr>
        <w:t>S-6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Balance Sheet Summary (unaudited)</w:t>
      </w:r>
    </w:p>
    <w:tbl>
      <w:tblPr>
        <w:tblW w:w="8069" w:type="dxa"/>
        <w:jc w:val="left"/>
        <w:tblInd w:w="0" w:type="dxa"/>
        <w:tblLayout w:type="fixed"/>
        <w:tblCellMar>
          <w:top w:w="0" w:type="dxa"/>
          <w:left w:w="0" w:type="dxa"/>
          <w:bottom w:w="0" w:type="dxa"/>
          <w:right w:w="0" w:type="dxa"/>
        </w:tblCellMar>
      </w:tblPr>
      <w:tblGrid>
        <w:gridCol w:w="3815"/>
        <w:gridCol w:w="60"/>
        <w:gridCol w:w="140"/>
        <w:gridCol w:w="980"/>
        <w:gridCol w:w="215"/>
        <w:gridCol w:w="60"/>
        <w:gridCol w:w="140"/>
        <w:gridCol w:w="980"/>
        <w:gridCol w:w="215"/>
        <w:gridCol w:w="60"/>
        <w:gridCol w:w="146"/>
        <w:gridCol w:w="1028"/>
        <w:gridCol w:w="230"/>
      </w:tblGrid>
      <w:tr>
        <w:trPr/>
        <w:tc>
          <w:tcPr>
            <w:tcW w:w="3815"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June 30,</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March 31,</w:t>
            </w:r>
            <w:r>
              <w:rPr>
                <w:rFonts w:ascii="Times New Roman;Times;Serif" w:hAnsi="Times New Roman;Times;Serif"/>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December 31,</w:t>
            </w:r>
            <w:r>
              <w:rPr>
                <w:sz w:val="20"/>
              </w:rPr>
              <w:br/>
            </w:r>
            <w:r>
              <w:rPr>
                <w:rFonts w:ascii="Times New Roman;Times;Serif" w:hAnsi="Times New Roman;Times;Serif"/>
                <w:b/>
                <w:sz w:val="20"/>
              </w:rPr>
              <w:t>2025</w:t>
            </w:r>
          </w:p>
        </w:tc>
        <w:tc>
          <w:tcPr>
            <w:tcW w:w="230" w:type="dxa"/>
            <w:tcBorders/>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Selected financial condition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5,377,062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5,031,751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028" w:type="dxa"/>
            <w:tcBorders/>
            <w:shd w:fill="FFFFFF" w:val="clear"/>
            <w:vAlign w:val="center"/>
          </w:tcPr>
          <w:p>
            <w:pPr>
              <w:pStyle w:val="TableContents"/>
              <w:bidi w:val="0"/>
              <w:spacing w:before="0" w:after="283"/>
              <w:jc w:val="right"/>
              <w:rPr/>
            </w:pPr>
            <w:r>
              <w:rPr/>
              <w:t>4,754,861</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685,074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644,359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506,851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loans held for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4,519,681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4,213,393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4,074,929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Total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92,719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93,850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96,889</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4,903,291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4,573,232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4,309,029</w:t>
            </w:r>
          </w:p>
        </w:tc>
        <w:tc>
          <w:tcPr>
            <w:tcW w:w="230" w:type="dxa"/>
            <w:tcBorders/>
            <w:shd w:fill="FFFFFF" w:val="clear"/>
            <w:vAlign w:val="center"/>
          </w:tcPr>
          <w:p>
            <w:pPr>
              <w:pStyle w:val="TableContents"/>
              <w:bidi w:val="0"/>
              <w:spacing w:before="0" w:after="283"/>
              <w:ind w:left="0" w:right="0" w:hanging="173"/>
              <w:jc w:val="left"/>
              <w:rPr/>
            </w:pPr>
            <w:r>
              <w:rPr/>
              <w:t> </w:t>
            </w:r>
          </w:p>
        </w:tc>
      </w:tr>
      <w:tr>
        <w:trPr/>
        <w:tc>
          <w:tcPr>
            <w:tcW w:w="3815" w:type="dxa"/>
            <w:tcBorders/>
            <w:shd w:fill="CCEEFF" w:val="clear"/>
            <w:vAlign w:val="center"/>
          </w:tcPr>
          <w:p>
            <w:pPr>
              <w:pStyle w:val="TableContents"/>
              <w:bidi w:val="0"/>
              <w:spacing w:before="0" w:after="283"/>
              <w:jc w:val="left"/>
              <w:rPr/>
            </w:pPr>
            <w:r>
              <w:rPr/>
              <w:t>Total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4,799,383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4,469,353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4,201,084</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securities to interest-earning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2.09</w:t>
            </w:r>
          </w:p>
        </w:tc>
        <w:tc>
          <w:tcPr>
            <w:tcW w:w="230" w:type="dxa"/>
            <w:tcBorders/>
            <w:shd w:fill="FFFFFF" w:val="clear"/>
            <w:vAlign w:val="center"/>
          </w:tcPr>
          <w:p>
            <w:pPr>
              <w:pStyle w:val="TableContents"/>
              <w:bidi w:val="0"/>
              <w:spacing w:before="0" w:after="283"/>
              <w:ind w:left="0" w:right="0" w:hanging="173"/>
              <w:jc w:val="left"/>
              <w:rPr/>
            </w:pPr>
            <w:r>
              <w:rPr/>
              <w:t>%</w:t>
            </w:r>
          </w:p>
        </w:tc>
      </w:tr>
      <w:tr>
        <w:trPr/>
        <w:tc>
          <w:tcPr>
            <w:tcW w:w="3815" w:type="dxa"/>
            <w:tcBorders/>
            <w:shd w:fill="CCEEFF" w:val="clear"/>
            <w:vAlign w:val="center"/>
          </w:tcPr>
          <w:p>
            <w:pPr>
              <w:pStyle w:val="TableContents"/>
              <w:bidi w:val="0"/>
              <w:spacing w:before="0" w:after="283"/>
              <w:jc w:val="left"/>
              <w:rPr/>
            </w:pPr>
            <w:r>
              <w:rPr/>
              <w:t>Subordinated notes,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74,114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74,077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74,041</w:t>
            </w:r>
          </w:p>
        </w:tc>
        <w:tc>
          <w:tcPr>
            <w:tcW w:w="230" w:type="dxa"/>
            <w:tcBorders/>
            <w:shd w:fill="CCEEFF" w:val="clear"/>
            <w:vAlign w:val="center"/>
          </w:tcPr>
          <w:p>
            <w:pPr>
              <w:pStyle w:val="TableContents"/>
              <w:bidi w:val="0"/>
              <w:spacing w:before="0" w:after="283"/>
              <w:ind w:left="0" w:right="0" w:hanging="173"/>
              <w:jc w:val="left"/>
              <w:rPr/>
            </w:pPr>
            <w:r>
              <w:rPr/>
              <w:t> </w:t>
            </w:r>
          </w:p>
        </w:tc>
      </w:tr>
      <w:tr>
        <w:trPr/>
        <w:tc>
          <w:tcPr>
            <w:tcW w:w="3815"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473,771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458,519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445,832</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Insured and collateralized deposits were approximately $3.2 billion, representing 65.80% of total deposits, as of June 30, 2026, as compared to 65.55% as of March 31, 2026. Net uninsured and uncollateralized deposits were approximately $1.6 billion as of June 30, 2026, increasing from $1.5 billion at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Non-wholesale deposit balances constituted 94.79% of total deposits as of June 30, 2026, as compared to 91.43% as of March 31, 2026. Deposit relationships of greater than $5 million represented 63.88% of total deposits as of June 30, 2026, as compared to 60.67% as of March 31, 2026, and had an average age of approximately 7.39 years as of June 30, 2026, as compared to 7.98 years as of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Total deposits as of June 30, 2026 were $4.8 billion, an increase of $330.0 million, or 7.38%, from March 31, 2026, comprised of an increase in interest-bearing deposits, partially offset by a decrease in non-interest-bearing deposits. Non-interest-bearing deposits represented 27.6% of total deposits as of March 31, 2026, and declined to 24.5% of total deposits as of June 30, 2026. See below for further detail on our interest-bearing deposits.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Annualized deposit growth was 29.5% in the second quarter of 2026. Annualized non-time deposit growth was 47.5% in the second quarter of 2026. Annualized loan growth was 29.1% in the second quarter of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Total liquidity (consisting of cash and cash equivalents as well as unused and immediately available borrowing capacity as set forth below) was approximately $2.3 billion as of June 30, 2026, as compared to $2.2 billion at March 31, 2026.</w:t>
      </w:r>
    </w:p>
    <w:p>
      <w:pPr>
        <w:pStyle w:val="TextBody"/>
        <w:bidi w:val="0"/>
        <w:ind w:left="0" w:right="0" w:firstLine="720"/>
        <w:jc w:val="both"/>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4710"/>
        <w:gridCol w:w="60"/>
        <w:gridCol w:w="169"/>
        <w:gridCol w:w="1186"/>
        <w:gridCol w:w="60"/>
        <w:gridCol w:w="60"/>
        <w:gridCol w:w="162"/>
        <w:gridCol w:w="1140"/>
        <w:gridCol w:w="60"/>
        <w:gridCol w:w="60"/>
        <w:gridCol w:w="427"/>
        <w:gridCol w:w="793"/>
        <w:gridCol w:w="60"/>
        <w:gridCol w:w="60"/>
        <w:gridCol w:w="140"/>
        <w:gridCol w:w="980"/>
        <w:gridCol w:w="78"/>
      </w:tblGrid>
      <w:tr>
        <w:trPr/>
        <w:tc>
          <w:tcPr>
            <w:tcW w:w="4710" w:type="dxa"/>
            <w:tcBorders/>
            <w:vAlign w:val="center"/>
          </w:tcPr>
          <w:p>
            <w:pPr>
              <w:pStyle w:val="TableContents"/>
              <w:bidi w:val="0"/>
              <w:spacing w:before="0" w:after="283"/>
              <w:ind w:left="0" w:right="0" w:hanging="173"/>
              <w:jc w:val="center"/>
              <w:rPr/>
            </w:pPr>
            <w:r>
              <w:rPr/>
              <w:t> </w:t>
            </w:r>
          </w:p>
        </w:tc>
        <w:tc>
          <w:tcPr>
            <w:tcW w:w="60" w:type="dxa"/>
            <w:tcBorders/>
            <w:vAlign w:val="center"/>
          </w:tcPr>
          <w:p>
            <w:pPr>
              <w:pStyle w:val="TableContents"/>
              <w:bidi w:val="0"/>
              <w:spacing w:before="0" w:after="283"/>
              <w:jc w:val="left"/>
              <w:rPr/>
            </w:pPr>
            <w:r>
              <w:rPr/>
              <w:t> </w:t>
            </w:r>
          </w:p>
        </w:tc>
        <w:tc>
          <w:tcPr>
            <w:tcW w:w="53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8" w:type="dxa"/>
            <w:tcBorders/>
            <w:vAlign w:val="center"/>
          </w:tcPr>
          <w:p>
            <w:pPr>
              <w:pStyle w:val="TableContents"/>
              <w:bidi w:val="0"/>
              <w:spacing w:before="0" w:after="283"/>
              <w:ind w:left="0" w:right="0" w:hanging="173"/>
              <w:jc w:val="left"/>
              <w:rPr/>
            </w:pPr>
            <w:r>
              <w:rPr/>
              <w:t> </w:t>
            </w:r>
          </w:p>
        </w:tc>
      </w:tr>
      <w:tr>
        <w:trPr/>
        <w:tc>
          <w:tcPr>
            <w:tcW w:w="4710"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Line of Credit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Letters of </w:t>
              <w:br/>
              <w:t>Credit 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Borrowings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Available</w:t>
            </w:r>
          </w:p>
        </w:tc>
        <w:tc>
          <w:tcPr>
            <w:tcW w:w="78" w:type="dxa"/>
            <w:tcBorders/>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Federal Home Loan Bank of San Francisco (“FHLB”) advances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1,629,065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1,297,500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331,565</w:t>
            </w:r>
          </w:p>
        </w:tc>
        <w:tc>
          <w:tcPr>
            <w:tcW w:w="78" w:type="dxa"/>
            <w:tcBorders/>
            <w:shd w:fill="CCEEFF" w:val="clear"/>
            <w:vAlign w:val="center"/>
          </w:tcPr>
          <w:p>
            <w:pPr>
              <w:pStyle w:val="TableContents"/>
              <w:bidi w:val="0"/>
              <w:spacing w:before="0" w:after="283"/>
              <w:ind w:left="0" w:right="0" w:hanging="173"/>
              <w:jc w:val="left"/>
              <w:rPr/>
            </w:pPr>
            <w:r>
              <w:rPr/>
              <w:t> </w:t>
            </w:r>
          </w:p>
        </w:tc>
      </w:tr>
      <w:tr>
        <w:trPr/>
        <w:tc>
          <w:tcPr>
            <w:tcW w:w="4710" w:type="dxa"/>
            <w:tcBorders/>
            <w:shd w:fill="FFFFFF" w:val="clear"/>
            <w:vAlign w:val="center"/>
          </w:tcPr>
          <w:p>
            <w:pPr>
              <w:pStyle w:val="TableContents"/>
              <w:bidi w:val="0"/>
              <w:spacing w:before="0" w:after="283"/>
              <w:jc w:val="left"/>
              <w:rPr/>
            </w:pPr>
            <w:r>
              <w:rPr/>
              <w:t>Federal Reserve Discount Window</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1,074,577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1,074,577</w:t>
            </w:r>
          </w:p>
        </w:tc>
        <w:tc>
          <w:tcPr>
            <w:tcW w:w="78" w:type="dxa"/>
            <w:tcBorders/>
            <w:shd w:fill="FFFFFF" w:val="clear"/>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Correspondent bank lines of credit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185,000</w:t>
            </w:r>
          </w:p>
        </w:tc>
        <w:tc>
          <w:tcPr>
            <w:tcW w:w="78" w:type="dxa"/>
            <w:tcBorders/>
            <w:shd w:fill="CCEEFF" w:val="clear"/>
            <w:vAlign w:val="center"/>
          </w:tcPr>
          <w:p>
            <w:pPr>
              <w:pStyle w:val="TableContents"/>
              <w:bidi w:val="0"/>
              <w:spacing w:before="0" w:after="283"/>
              <w:ind w:left="0" w:right="0" w:hanging="173"/>
              <w:jc w:val="left"/>
              <w:rPr/>
            </w:pPr>
            <w:r>
              <w:rPr/>
              <w:t> </w:t>
            </w:r>
          </w:p>
        </w:tc>
      </w:tr>
      <w:tr>
        <w:trPr/>
        <w:tc>
          <w:tcPr>
            <w:tcW w:w="47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685,074</w:t>
            </w:r>
          </w:p>
        </w:tc>
        <w:tc>
          <w:tcPr>
            <w:tcW w:w="78" w:type="dxa"/>
            <w:tcBorders/>
            <w:shd w:fill="FFFFFF" w:val="clear"/>
            <w:vAlign w:val="center"/>
          </w:tcPr>
          <w:p>
            <w:pPr>
              <w:pStyle w:val="TableContents"/>
              <w:bidi w:val="0"/>
              <w:spacing w:before="0" w:after="283"/>
              <w:ind w:left="0" w:right="0" w:hanging="173"/>
              <w:jc w:val="left"/>
              <w:rPr/>
            </w:pPr>
            <w:r>
              <w:rPr/>
              <w:t> </w:t>
            </w:r>
          </w:p>
        </w:tc>
      </w:tr>
      <w:tr>
        <w:trPr/>
        <w:tc>
          <w:tcPr>
            <w:tcW w:w="47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jc w:val="right"/>
              <w:rPr/>
            </w:pPr>
            <w:r>
              <w:rPr/>
              <w:t>2,888,642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t>1,297,500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2,276,216</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position w:val="8"/>
          <w:sz w:val="19"/>
          <w:bdr w:val="single" w:sz="2" w:space="6" w:color="000000"/>
        </w:rPr>
      </w:pPr>
      <w:r>
        <w:rPr>
          <w:caps w:val="false"/>
          <w:smallCaps w:val="false"/>
          <w:position w:val="8"/>
          <w:sz w:val="19"/>
          <w:bdr w:val="single" w:sz="2" w:space="6"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Other comprehensive income was $0.7 million during the three months ended June 30, 2026. Unrealized losses, net of tax effect, on available-for-sale securities were $9.4 million as of June 30, 2026. Total carrying value of held-to-maturity and available-for-sale securities represented 0.04% and 1.72% of total interest-earning assets, respectively, as of June 30, 2026.</w:t>
      </w:r>
    </w:p>
    <w:p>
      <w:pPr>
        <w:pStyle w:val="TextBody"/>
        <w:bidi w:val="0"/>
        <w:spacing w:before="0" w:after="0"/>
        <w:jc w:val="center"/>
        <w:rPr>
          <w:bdr w:val="single" w:sz="16" w:space="6" w:color="DCDCDC"/>
        </w:rPr>
      </w:pPr>
      <w:r>
        <w:rPr>
          <w:bdr w:val="single" w:sz="16" w:space="6" w:color="DCDCDC"/>
        </w:rPr>
        <w:t>S-7</w:t>
      </w:r>
    </w:p>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Company’s Tier 1 leverage ratio was 9.21% and 9.56% as of June 30, 2026 and March 31, 2026, respectively. The Company’s common equity Tier 1 capital to risk weighted assets and Tier 1 capital to risk weighted assets were both 9.98% and 10.45% as of June 30, 2026 and March 31, 2026, respectively. The Company’s total capital to risk weighted assets was 12.51% and 13.17% as of June 30, 2026 and March 31, 2026, respectively.</w:t>
      </w:r>
    </w:p>
    <w:p>
      <w:pPr>
        <w:pStyle w:val="TextBody"/>
        <w:bidi w:val="0"/>
        <w:spacing w:before="0" w:after="20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Net Interest Income and Net Interest Margin</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is a summary of the components of net interest income for the periods indicated:</w:t>
      </w:r>
    </w:p>
    <w:tbl>
      <w:tblPr>
        <w:tblW w:w="5648" w:type="dxa"/>
        <w:jc w:val="left"/>
        <w:tblInd w:w="0" w:type="dxa"/>
        <w:tblLayout w:type="fixed"/>
        <w:tblCellMar>
          <w:top w:w="0" w:type="dxa"/>
          <w:left w:w="0" w:type="dxa"/>
          <w:bottom w:w="0" w:type="dxa"/>
          <w:right w:w="0" w:type="dxa"/>
        </w:tblCellMar>
      </w:tblPr>
      <w:tblGrid>
        <w:gridCol w:w="2225"/>
        <w:gridCol w:w="60"/>
        <w:gridCol w:w="140"/>
        <w:gridCol w:w="680"/>
        <w:gridCol w:w="215"/>
        <w:gridCol w:w="60"/>
        <w:gridCol w:w="151"/>
        <w:gridCol w:w="738"/>
        <w:gridCol w:w="215"/>
        <w:gridCol w:w="60"/>
        <w:gridCol w:w="149"/>
        <w:gridCol w:w="725"/>
        <w:gridCol w:w="23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Interest and fee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72,327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67,347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60,580</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26,244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23,890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24,065</w:t>
            </w:r>
          </w:p>
        </w:tc>
        <w:tc>
          <w:tcPr>
            <w:tcW w:w="23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Net 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46,083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43,457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36,515</w:t>
            </w:r>
          </w:p>
        </w:tc>
        <w:tc>
          <w:tcPr>
            <w:tcW w:w="23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Net interest margin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3.63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3.70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3.53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Loans</w:t>
      </w:r>
      <w:r>
        <w:rPr>
          <w:rFonts w:ascii="Times New Roman;Times;Serif" w:hAnsi="Times New Roman;Times;Serif"/>
          <w:b w:val="false"/>
          <w:i w:val="false"/>
          <w:caps w:val="false"/>
          <w:smallCaps w:val="false"/>
          <w:sz w:val="20"/>
          <w:bdr w:val="single" w:sz="2" w:space="6" w:color="000000"/>
        </w:rPr>
        <w:t xml:space="preserve"> </w:t>
      </w:r>
      <w:r>
        <w:rPr>
          <w:rFonts w:ascii="Times New Roman;Times;Serif" w:hAnsi="Times New Roman;Times;Serif"/>
          <w:b w:val="false"/>
          <w:i/>
          <w:caps w:val="false"/>
          <w:smallCaps w:val="false"/>
          <w:sz w:val="20"/>
          <w:bdr w:val="single" w:sz="2" w:space="6" w:color="000000"/>
        </w:rPr>
        <w:t>by Type</w:t>
      </w:r>
    </w:p>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provides loan balances, excluding deferred loan fees, by type as of the dates shown:</w:t>
      </w:r>
    </w:p>
    <w:tbl>
      <w:tblPr>
        <w:tblW w:w="6683" w:type="dxa"/>
        <w:jc w:val="left"/>
        <w:tblInd w:w="0" w:type="dxa"/>
        <w:tblLayout w:type="fixed"/>
        <w:tblCellMar>
          <w:top w:w="0" w:type="dxa"/>
          <w:left w:w="0" w:type="dxa"/>
          <w:bottom w:w="0" w:type="dxa"/>
          <w:right w:w="0" w:type="dxa"/>
        </w:tblCellMar>
      </w:tblPr>
      <w:tblGrid>
        <w:gridCol w:w="3335"/>
        <w:gridCol w:w="60"/>
        <w:gridCol w:w="176"/>
        <w:gridCol w:w="1238"/>
        <w:gridCol w:w="95"/>
        <w:gridCol w:w="60"/>
        <w:gridCol w:w="201"/>
        <w:gridCol w:w="1408"/>
        <w:gridCol w:w="110"/>
      </w:tblGrid>
      <w:tr>
        <w:trPr/>
        <w:tc>
          <w:tcPr>
            <w:tcW w:w="3335"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3,597,173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408" w:type="dxa"/>
            <w:tcBorders/>
            <w:shd w:fill="FFFFFF" w:val="clear"/>
            <w:vAlign w:val="center"/>
          </w:tcPr>
          <w:p>
            <w:pPr>
              <w:pStyle w:val="TableContents"/>
              <w:bidi w:val="0"/>
              <w:spacing w:before="0" w:after="283"/>
              <w:jc w:val="right"/>
              <w:rPr/>
            </w:pPr>
            <w:r>
              <w:rPr/>
              <w:t>3,421,902</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 land and development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2,519</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 construction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124,053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108,179</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Residential construction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21,809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17,808</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Residential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41,874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43,195</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Farmland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59,900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61,090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Secured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258,736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243,140</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Unsecured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41,263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41,971</w:t>
            </w:r>
          </w:p>
        </w:tc>
        <w:tc>
          <w:tcPr>
            <w:tcW w:w="110"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Consumer and other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374,614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275,891</w:t>
            </w:r>
          </w:p>
        </w:tc>
        <w:tc>
          <w:tcPr>
            <w:tcW w:w="110"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Net deferred loan fees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(2,302</w:t>
            </w:r>
          </w:p>
        </w:tc>
        <w:tc>
          <w:tcPr>
            <w:tcW w:w="110" w:type="dxa"/>
            <w:tcBorders/>
            <w:shd w:fill="FFFFFF" w:val="clear"/>
            <w:vAlign w:val="center"/>
          </w:tcPr>
          <w:p>
            <w:pPr>
              <w:pStyle w:val="TableContents"/>
              <w:bidi w:val="0"/>
              <w:spacing w:before="0" w:after="283"/>
              <w:ind w:left="0" w:right="0" w:hanging="173"/>
              <w:jc w:val="left"/>
              <w:rPr/>
            </w:pPr>
            <w:r>
              <w:rPr/>
              <w:t>)</w:t>
            </w:r>
          </w:p>
        </w:tc>
      </w:tr>
      <w:tr>
        <w:trPr/>
        <w:tc>
          <w:tcPr>
            <w:tcW w:w="3335" w:type="dxa"/>
            <w:tcBorders/>
            <w:shd w:fill="CCEEFF" w:val="clear"/>
            <w:vAlign w:val="center"/>
          </w:tcPr>
          <w:p>
            <w:pPr>
              <w:pStyle w:val="TableContents"/>
              <w:bidi w:val="0"/>
              <w:spacing w:before="0" w:after="283"/>
              <w:jc w:val="left"/>
              <w:rPr/>
            </w:pPr>
            <w:r>
              <w:rPr/>
              <w:t>Total loans held for investment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4,519,681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4,213,393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bdr w:val="single" w:sz="16" w:space="6" w:color="DCDCDC"/>
        </w:rPr>
      </w:pPr>
      <w:r>
        <w:rPr>
          <w:bdr w:val="single" w:sz="16" w:space="6" w:color="DCDCDC"/>
        </w:rPr>
        <w:t>S-8</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Interest-bearing Deposits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provides interest-bearing deposit balances by type as of the dates shown:</w:t>
      </w:r>
    </w:p>
    <w:tbl>
      <w:tblPr>
        <w:tblW w:w="6748" w:type="dxa"/>
        <w:jc w:val="left"/>
        <w:tblInd w:w="0" w:type="dxa"/>
        <w:tblLayout w:type="fixed"/>
        <w:tblCellMar>
          <w:top w:w="0" w:type="dxa"/>
          <w:left w:w="0" w:type="dxa"/>
          <w:bottom w:w="0" w:type="dxa"/>
          <w:right w:w="0" w:type="dxa"/>
        </w:tblCellMar>
      </w:tblPr>
      <w:tblGrid>
        <w:gridCol w:w="3470"/>
        <w:gridCol w:w="60"/>
        <w:gridCol w:w="176"/>
        <w:gridCol w:w="1238"/>
        <w:gridCol w:w="60"/>
        <w:gridCol w:w="60"/>
        <w:gridCol w:w="201"/>
        <w:gridCol w:w="1408"/>
        <w:gridCol w:w="75"/>
      </w:tblGrid>
      <w:tr>
        <w:trPr/>
        <w:tc>
          <w:tcPr>
            <w:tcW w:w="3470" w:type="dxa"/>
            <w:tcBorders/>
            <w:vAlign w:val="center"/>
          </w:tcPr>
          <w:p>
            <w:pPr>
              <w:pStyle w:val="TableContents"/>
              <w:bidi w:val="0"/>
              <w:spacing w:before="0" w:after="283"/>
              <w:ind w:left="0" w:right="0" w:hanging="17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75" w:type="dxa"/>
            <w:tcBorders/>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Interest-bearing transaction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500,256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349,138</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470" w:type="dxa"/>
            <w:tcBorders/>
            <w:shd w:fill="FFFFFF" w:val="clear"/>
            <w:vAlign w:val="center"/>
          </w:tcPr>
          <w:p>
            <w:pPr>
              <w:pStyle w:val="TableContents"/>
              <w:bidi w:val="0"/>
              <w:spacing w:before="0" w:after="283"/>
              <w:jc w:val="left"/>
              <w:rPr/>
            </w:pPr>
            <w:r>
              <w:rPr/>
              <w:t>Savings accounts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147,435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141,961</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Money market accounts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2,669,295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2,291,215</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470" w:type="dxa"/>
            <w:tcBorders/>
            <w:shd w:fill="FFFFFF" w:val="clear"/>
            <w:vAlign w:val="center"/>
          </w:tcPr>
          <w:p>
            <w:pPr>
              <w:pStyle w:val="TableContents"/>
              <w:bidi w:val="0"/>
              <w:spacing w:before="0" w:after="283"/>
              <w:jc w:val="left"/>
              <w:rPr/>
            </w:pPr>
            <w:r>
              <w:rPr/>
              <w:t>Time accounts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307,991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454,343</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470" w:type="dxa"/>
            <w:tcBorders/>
            <w:shd w:fill="CCEEFF" w:val="clear"/>
            <w:vAlign w:val="center"/>
          </w:tcPr>
          <w:p>
            <w:pPr>
              <w:pStyle w:val="TableContents"/>
              <w:bidi w:val="0"/>
              <w:spacing w:before="0" w:after="283"/>
              <w:jc w:val="left"/>
              <w:rPr/>
            </w:pPr>
            <w:r>
              <w:rPr/>
              <w:t>Total interest-bearing deposits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3,624,977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3,236,657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bdr w:val="single" w:sz="2" w:space="6" w:color="000000"/>
        </w:rPr>
      </w:pPr>
      <w:r>
        <w:rPr>
          <w:caps w:val="false"/>
          <w:smallCaps w:val="false"/>
          <w:bdr w:val="single" w:sz="2" w:space="6" w:color="000000"/>
        </w:rPr>
        <w:t> </w:t>
      </w:r>
    </w:p>
    <w:p>
      <w:pPr>
        <w:pStyle w:val="TextBody"/>
        <w:bidi w:val="0"/>
        <w:spacing w:before="0" w:after="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Asset Quality</w:t>
      </w:r>
    </w:p>
    <w:p>
      <w:pPr>
        <w:pStyle w:val="TextBody"/>
        <w:bidi w:val="0"/>
        <w:spacing w:before="0" w:after="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At June 30, 2026, the Company’s allowance for credit losses was $47.3 million, as compared to $44.4 million at December 31, 2025. The $2.9 million increase in the allowance is due to a $4.6 million provision for credit losses recorded during the six months ended June 30, 2026, partially offset by net charge-offs of $1.6 million, primarily attributable to commercial and industrial loans, during the same period. The Company’s nonperforming loans increased from $3.1 million to $13.4 million between December 31, 2025 and June 30, 2026, increasing the ratio of nonperforming loans to loans held for investment from 0.08% at December 31, 2025 to 0.30% at June 30, 2026. This increase was due to one Community Reinvestment Act loan that was placed on non-accrual status during the period.</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Loans designated as watch increased from $101.9 million to $154.6 million between December 31, 2025 and June 30, 2026. Loans designated as special mention increased from $37.5 million to $44.9 million between December 31, 2025 and June 30, 2026. Loans designated as substandard decreased from $22.3 million to $20.3 million between December 31, 2025 and June 30, 2026. There were no loans with doubtful risk grades at June 30, 2026 or December 31, 2025.</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 summary of the allowance for credit losses by loan class is as follows:</w:t>
      </w:r>
    </w:p>
    <w:tbl>
      <w:tblPr>
        <w:tblW w:w="6837" w:type="dxa"/>
        <w:jc w:val="left"/>
        <w:tblInd w:w="0" w:type="dxa"/>
        <w:tblLayout w:type="fixed"/>
        <w:tblCellMar>
          <w:top w:w="0" w:type="dxa"/>
          <w:left w:w="0" w:type="dxa"/>
          <w:bottom w:w="0" w:type="dxa"/>
          <w:right w:w="0" w:type="dxa"/>
        </w:tblCellMar>
      </w:tblPr>
      <w:tblGrid>
        <w:gridCol w:w="3335"/>
        <w:gridCol w:w="60"/>
        <w:gridCol w:w="225"/>
        <w:gridCol w:w="1093"/>
        <w:gridCol w:w="96"/>
        <w:gridCol w:w="60"/>
        <w:gridCol w:w="307"/>
        <w:gridCol w:w="1494"/>
        <w:gridCol w:w="167"/>
      </w:tblGrid>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19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3335" w:type="dxa"/>
            <w:tcBorders>
              <w:bottom w:val="single" w:sz="8" w:space="0" w:color="000000"/>
            </w:tcBorders>
            <w:tcMar>
              <w:bottom w:w="28" w:type="dxa"/>
            </w:tcMar>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1968" w:type="dxa"/>
            <w:gridSpan w:val="3"/>
            <w:tcBorders>
              <w:bottom w:val="single" w:sz="8" w:space="0" w:color="000000"/>
            </w:tcBorders>
            <w:tcMar>
              <w:bottom w:w="28" w:type="dxa"/>
            </w:tcMar>
            <w:vAlign w:val="center"/>
          </w:tcPr>
          <w:p>
            <w:pPr>
              <w:pStyle w:val="TableContents"/>
              <w:bidi w:val="0"/>
              <w:spacing w:before="0" w:after="283"/>
              <w:ind w:left="0" w:right="0" w:hanging="173"/>
              <w:jc w:val="center"/>
              <w:rPr>
                <w:b/>
              </w:rPr>
            </w:pPr>
            <w:r>
              <w:rPr>
                <w:b/>
              </w:rPr>
              <w:t>Amount</w:t>
            </w:r>
          </w:p>
        </w:tc>
      </w:tr>
      <w:tr>
        <w:trPr/>
        <w:tc>
          <w:tcPr>
            <w:tcW w:w="333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3" w:type="dxa"/>
            <w:tcBorders/>
            <w:shd w:fill="FFFFFF" w:val="clear"/>
            <w:vAlign w:val="center"/>
          </w:tcPr>
          <w:p>
            <w:pPr>
              <w:pStyle w:val="TableContents"/>
              <w:bidi w:val="0"/>
              <w:spacing w:before="0" w:after="283"/>
              <w:jc w:val="right"/>
              <w:rPr/>
            </w:pPr>
            <w:r>
              <w:rPr/>
              <w:t>28,371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w:t>
            </w:r>
          </w:p>
        </w:tc>
        <w:tc>
          <w:tcPr>
            <w:tcW w:w="1494" w:type="dxa"/>
            <w:tcBorders/>
            <w:shd w:fill="FFFFFF" w:val="clear"/>
            <w:vAlign w:val="center"/>
          </w:tcPr>
          <w:p>
            <w:pPr>
              <w:pStyle w:val="TableContents"/>
              <w:bidi w:val="0"/>
              <w:spacing w:before="0" w:after="283"/>
              <w:jc w:val="right"/>
              <w:rPr/>
            </w:pPr>
            <w:r>
              <w:rPr/>
              <w:t>25,219</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 land and development</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56</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Commercial construction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4,444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4,050</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Residential construction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213</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Residential</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419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362</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Farmland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468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467</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34,325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FFFFFF" w:val="clear"/>
            <w:tcMar>
              <w:bottom w:w="28" w:type="dxa"/>
            </w:tcMar>
            <w:vAlign w:val="center"/>
          </w:tcPr>
          <w:p>
            <w:pPr>
              <w:pStyle w:val="TableContents"/>
              <w:bidi w:val="0"/>
              <w:spacing w:before="0" w:after="283"/>
              <w:jc w:val="right"/>
              <w:rPr/>
            </w:pPr>
            <w:r>
              <w:rPr/>
              <w:t>30,367</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 </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Secured</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9,594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11,204</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Unsecured</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486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482</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10,080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494" w:type="dxa"/>
            <w:tcBorders/>
            <w:shd w:fill="FFFFFF" w:val="clear"/>
            <w:vAlign w:val="center"/>
          </w:tcPr>
          <w:p>
            <w:pPr>
              <w:pStyle w:val="TableContents"/>
              <w:bidi w:val="0"/>
              <w:spacing w:before="0" w:after="283"/>
              <w:jc w:val="right"/>
              <w:rPr/>
            </w:pPr>
            <w:r>
              <w:rPr/>
              <w:t>11,686</w:t>
            </w:r>
          </w:p>
        </w:tc>
        <w:tc>
          <w:tcPr>
            <w:tcW w:w="167" w:type="dxa"/>
            <w:tcBorders/>
            <w:shd w:fill="FFFFFF" w:val="clear"/>
            <w:vAlign w:val="center"/>
          </w:tcPr>
          <w:p>
            <w:pPr>
              <w:pStyle w:val="TableContents"/>
              <w:bidi w:val="0"/>
              <w:spacing w:before="0" w:after="283"/>
              <w:ind w:left="0" w:right="0" w:hanging="173"/>
              <w:jc w:val="left"/>
              <w:rPr/>
            </w:pPr>
            <w:r>
              <w:rPr/>
              <w:t> </w:t>
            </w:r>
          </w:p>
        </w:tc>
      </w:tr>
      <w:tr>
        <w:trPr/>
        <w:tc>
          <w:tcPr>
            <w:tcW w:w="3335" w:type="dxa"/>
            <w:tcBorders/>
            <w:shd w:fill="CCEEFF" w:val="clear"/>
            <w:vAlign w:val="center"/>
          </w:tcPr>
          <w:p>
            <w:pPr>
              <w:pStyle w:val="TableContents"/>
              <w:bidi w:val="0"/>
              <w:spacing w:before="0" w:after="283"/>
              <w:jc w:val="left"/>
              <w:rPr/>
            </w:pPr>
            <w:r>
              <w:rPr/>
              <w:t>Consumer and other</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2,930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pPr>
            <w:r>
              <w:rPr/>
              <w:t>2,356</w:t>
            </w:r>
          </w:p>
        </w:tc>
        <w:tc>
          <w:tcPr>
            <w:tcW w:w="167" w:type="dxa"/>
            <w:tcBorders/>
            <w:shd w:fill="CCEEFF" w:val="clear"/>
            <w:vAlign w:val="center"/>
          </w:tcPr>
          <w:p>
            <w:pPr>
              <w:pStyle w:val="TableContents"/>
              <w:bidi w:val="0"/>
              <w:spacing w:before="0" w:after="283"/>
              <w:ind w:left="0" w:right="0" w:hanging="173"/>
              <w:jc w:val="left"/>
              <w:rPr/>
            </w:pPr>
            <w:r>
              <w:rPr/>
              <w:t> </w:t>
            </w:r>
          </w:p>
        </w:tc>
      </w:tr>
      <w:tr>
        <w:trPr/>
        <w:tc>
          <w:tcPr>
            <w:tcW w:w="3335" w:type="dxa"/>
            <w:tcBorders/>
            <w:shd w:fill="FFFFFF" w:val="clear"/>
            <w:vAlign w:val="center"/>
          </w:tcPr>
          <w:p>
            <w:pPr>
              <w:pStyle w:val="TableContents"/>
              <w:bidi w:val="0"/>
              <w:spacing w:before="0" w:after="283"/>
              <w:jc w:val="left"/>
              <w:rPr/>
            </w:pPr>
            <w:r>
              <w:rPr/>
              <w:t>Total allowance for credit losses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3" w:type="dxa"/>
            <w:tcBorders>
              <w:bottom w:val="double" w:sz="6" w:space="0" w:color="000000"/>
            </w:tcBorders>
            <w:shd w:fill="FFFFFF" w:val="clear"/>
            <w:tcMar>
              <w:bottom w:w="28" w:type="dxa"/>
            </w:tcMar>
            <w:vAlign w:val="center"/>
          </w:tcPr>
          <w:p>
            <w:pPr>
              <w:pStyle w:val="TableContents"/>
              <w:bidi w:val="0"/>
              <w:spacing w:before="0" w:after="283"/>
              <w:jc w:val="right"/>
              <w:rPr/>
            </w:pPr>
            <w:r>
              <w:rPr/>
              <w:t>47,335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94" w:type="dxa"/>
            <w:tcBorders>
              <w:bottom w:val="double" w:sz="6" w:space="0" w:color="000000"/>
            </w:tcBorders>
            <w:shd w:fill="FFFFFF" w:val="clear"/>
            <w:tcMar>
              <w:bottom w:w="28" w:type="dxa"/>
            </w:tcMar>
            <w:vAlign w:val="center"/>
          </w:tcPr>
          <w:p>
            <w:pPr>
              <w:pStyle w:val="TableContents"/>
              <w:bidi w:val="0"/>
              <w:spacing w:before="0" w:after="283"/>
              <w:jc w:val="right"/>
              <w:rPr/>
            </w:pPr>
            <w:r>
              <w:rPr/>
              <w:t>44,409</w:t>
            </w:r>
          </w:p>
        </w:tc>
        <w:tc>
          <w:tcPr>
            <w:tcW w:w="16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bdr w:val="single" w:sz="16" w:space="6" w:color="DCDCDC"/>
        </w:rPr>
      </w:pPr>
      <w:r>
        <w:rPr>
          <w:bdr w:val="single" w:sz="16" w:space="6" w:color="DCDCDC"/>
        </w:rPr>
        <w:t>S-9</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Non-interest Income</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presents the key components of non-interest income for the periods indicated:</w:t>
      </w:r>
    </w:p>
    <w:tbl>
      <w:tblPr>
        <w:tblW w:w="6490" w:type="dxa"/>
        <w:jc w:val="left"/>
        <w:tblInd w:w="0" w:type="dxa"/>
        <w:tblLayout w:type="fixed"/>
        <w:tblCellMar>
          <w:top w:w="0" w:type="dxa"/>
          <w:left w:w="0" w:type="dxa"/>
          <w:bottom w:w="0" w:type="dxa"/>
          <w:right w:w="0" w:type="dxa"/>
        </w:tblCellMar>
      </w:tblPr>
      <w:tblGrid>
        <w:gridCol w:w="3740"/>
        <w:gridCol w:w="60"/>
        <w:gridCol w:w="145"/>
        <w:gridCol w:w="580"/>
        <w:gridCol w:w="60"/>
        <w:gridCol w:w="60"/>
        <w:gridCol w:w="178"/>
        <w:gridCol w:w="712"/>
        <w:gridCol w:w="95"/>
        <w:gridCol w:w="60"/>
        <w:gridCol w:w="145"/>
        <w:gridCol w:w="580"/>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gridSpan w:val="10"/>
            <w:tcBorders>
              <w:bottom w:val="single" w:sz="8" w:space="0" w:color="000000"/>
            </w:tcBorders>
            <w:tcMar>
              <w:bottom w:w="28" w:type="dxa"/>
            </w:tcMar>
            <w:vAlign w:val="center"/>
          </w:tcPr>
          <w:p>
            <w:pPr>
              <w:pStyle w:val="TableContents"/>
              <w:bidi w:val="0"/>
              <w:spacing w:before="43" w:after="20"/>
              <w:ind w:left="43" w:right="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Service charges on deposit accounts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196</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Gain on sale of loans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119</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Loan-related fees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468</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FHLB stock dividends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Earnings on bank-owned life insurance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220</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pPr>
            <w:r>
              <w:rPr/>
              <w:t>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2" w:type="dxa"/>
            <w:tcBorders>
              <w:bottom w:val="single" w:sz="8" w:space="0" w:color="000000"/>
            </w:tcBorders>
            <w:shd w:fill="FFFFFF" w:val="clear"/>
            <w:tcMar>
              <w:bottom w:w="28" w:type="dxa"/>
            </w:tcM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0" w:type="dxa"/>
            <w:tcBorders>
              <w:bottom w:val="single" w:sz="8" w:space="0" w:color="000000"/>
            </w:tcBorders>
            <w:shd w:fill="FFFFFF" w:val="clear"/>
            <w:tcMar>
              <w:bottom w:w="28" w:type="dxa"/>
            </w:tcMar>
            <w:vAlign w:val="center"/>
          </w:tcPr>
          <w:p>
            <w:pPr>
              <w:pStyle w:val="TableContents"/>
              <w:bidi w:val="0"/>
              <w:spacing w:before="0" w:after="283"/>
              <w:jc w:val="right"/>
              <w:rPr/>
            </w:pPr>
            <w:r>
              <w:rPr/>
              <w:t>482</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non-interest income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1,872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jc w:val="right"/>
              <w:rPr/>
            </w:pPr>
            <w:r>
              <w:rPr/>
              <w:t>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bidi w:val="0"/>
              <w:spacing w:before="0" w:after="283"/>
              <w:jc w:val="right"/>
              <w:rPr/>
            </w:pPr>
            <w:r>
              <w:rPr/>
              <w:t>1,810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Non-interest Expense</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following table presents the key components of non-interest expense for the periods indicated:</w:t>
      </w:r>
    </w:p>
    <w:tbl>
      <w:tblPr>
        <w:tblW w:w="5849" w:type="dxa"/>
        <w:jc w:val="left"/>
        <w:tblInd w:w="0" w:type="dxa"/>
        <w:tblLayout w:type="fixed"/>
        <w:tblCellMar>
          <w:top w:w="0" w:type="dxa"/>
          <w:left w:w="0" w:type="dxa"/>
          <w:bottom w:w="0" w:type="dxa"/>
          <w:right w:w="0" w:type="dxa"/>
        </w:tblCellMar>
      </w:tblPr>
      <w:tblGrid>
        <w:gridCol w:w="2945"/>
        <w:gridCol w:w="60"/>
        <w:gridCol w:w="140"/>
        <w:gridCol w:w="680"/>
        <w:gridCol w:w="60"/>
        <w:gridCol w:w="60"/>
        <w:gridCol w:w="151"/>
        <w:gridCol w:w="738"/>
        <w:gridCol w:w="60"/>
        <w:gridCol w:w="60"/>
        <w:gridCol w:w="140"/>
        <w:gridCol w:w="680"/>
        <w:gridCol w:w="75"/>
      </w:tblGrid>
      <w:tr>
        <w:trPr/>
        <w:tc>
          <w:tcPr>
            <w:tcW w:w="2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9" w:type="dxa"/>
            <w:gridSpan w:val="10"/>
            <w:tcBorders>
              <w:bottom w:val="single" w:sz="8" w:space="0" w:color="000000"/>
            </w:tcBorders>
            <w:tcMar>
              <w:bottom w:w="28" w:type="dxa"/>
            </w:tcMar>
            <w:vAlign w:val="center"/>
          </w:tcPr>
          <w:p>
            <w:pPr>
              <w:pStyle w:val="TableContents"/>
              <w:bidi w:val="0"/>
              <w:spacing w:before="43" w:after="20"/>
              <w:ind w:left="43" w:right="4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i/>
              </w:rPr>
            </w:pPr>
            <w:r>
              <w:rPr>
                <w:i/>
              </w:rPr>
              <w:t>(in thousands)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March 31,</w:t>
            </w:r>
            <w:r>
              <w:rPr>
                <w:sz w:val="20"/>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June 30,</w:t>
            </w:r>
            <w:r>
              <w:rPr>
                <w:sz w:val="20"/>
              </w:rPr>
              <w:br/>
            </w: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Salaries and employee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8,910</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Occupancy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657</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Data processing and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1,508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FDIC 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470</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Advertising and promotional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Loan-related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Total non-interest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19,616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17,394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15,726</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Provision for Income Taxes</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spacing w:before="1" w:after="1"/>
        <w:ind w:left="1" w:right="1"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Provision for income taxes increased by $0.3 million, or 4.37%, for the three months ended June 30, 2026, as compared to the three months ended March 31, 2026. The effective tax rates were 25.64% and 25.61% for the three months ended June 30, 2026 and March 31, 2026, respectively. Provision for income taxes increased by $1.1 million, or 19.66%, for the three months ended June 30, 2026, as compared to the three months ended June 30, 2025. The effective tax rates were 25.64% and 27.82% for the three months ended June 30, 2026 and June 30, 2025, respectively.</w:t>
      </w:r>
    </w:p>
    <w:p>
      <w:pPr>
        <w:pStyle w:val="TextBody"/>
        <w:bidi w:val="0"/>
        <w:spacing w:before="1" w:after="1"/>
        <w:ind w:left="1" w:right="1"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Dividend</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Company’s Board of Directors declared, and the Company subsequently paid, a cash dividend of $0.25 per share during the three months ended June 30, 2026. The Company’s Board of Directors declared an additional cash dividend of $0.25 per share on July 16, 2026, which the Company expects to pay on August 10, 2026 to shareholders of record as of August 3, 2026.</w:t>
      </w:r>
    </w:p>
    <w:p>
      <w:pPr>
        <w:pStyle w:val="TextBody"/>
        <w:bidi w:val="0"/>
        <w:spacing w:before="1" w:after="1"/>
        <w:ind w:left="1" w:right="1"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i/>
          <w:caps w:val="false"/>
          <w:smallCaps w:val="false"/>
          <w:sz w:val="20"/>
          <w:bdr w:val="single" w:sz="2" w:space="6" w:color="000000"/>
        </w:rPr>
      </w:pPr>
      <w:r>
        <w:rPr>
          <w:rFonts w:ascii="Times New Roman;Times;Serif" w:hAnsi="Times New Roman;Times;Serif"/>
          <w:b/>
          <w:i/>
          <w:caps w:val="false"/>
          <w:smallCaps w:val="false"/>
          <w:sz w:val="20"/>
          <w:bdr w:val="single" w:sz="2" w:space="6" w:color="000000"/>
        </w:rPr>
        <w:t>Franchise Expansion</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Talent Acquisition</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As of the date of this prospectus supplement, the Company had 49 business development officers, an increase of seven year-to-date, nine since June 30, 2025 and 28 since December 31, 2022.</w:t>
      </w:r>
    </w:p>
    <w:p>
      <w:pPr>
        <w:pStyle w:val="TextBody"/>
        <w:bidi w:val="0"/>
        <w:spacing w:before="0" w:after="0"/>
        <w:jc w:val="center"/>
        <w:rPr>
          <w:bdr w:val="single" w:sz="16" w:space="6" w:color="DCDCDC"/>
        </w:rPr>
      </w:pPr>
      <w:r>
        <w:rPr>
          <w:bdr w:val="single" w:sz="16" w:space="6" w:color="DCDCDC"/>
        </w:rPr>
        <w:t>S-10</w:t>
      </w:r>
    </w:p>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Bay Area Expansion</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Bank’s Downtown San Francisco branch opened in September 2024 and Walnut Creek branch opened in September 2025. The Bank hired 34 additional employees since early 2024 to support the expansion, including four key hires in Palo Alto announced on July 15, 2026. Bay Area deposits increased by $215 million to $672 million and loans increased by $342 million to $715 million, each from June 30, 2025 to June 30, 2026.</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Southern California Expansion</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 entered the Southern California market in September 2024 and has since grown to an 11-person team as of the date of this prospectus supplement. The Bank opened its Newport Beach administrative office in September 2025.</w:t>
      </w:r>
    </w:p>
    <w:p>
      <w:pPr>
        <w:pStyle w:val="TextBody"/>
        <w:bidi w:val="0"/>
        <w:jc w:val="left"/>
        <w:rPr>
          <w:caps w:val="false"/>
          <w:smallCaps w:val="false"/>
          <w:bdr w:val="single" w:sz="2" w:space="6" w:color="000000"/>
        </w:rPr>
      </w:pPr>
      <w:r>
        <w:rPr>
          <w:caps w:val="false"/>
          <w:smallCaps w:val="false"/>
          <w:bdr w:val="single" w:sz="2" w:space="6" w:color="000000"/>
        </w:rPr>
        <w:t> </w:t>
      </w:r>
    </w:p>
    <w:p>
      <w:pPr>
        <w:pStyle w:val="TextBody"/>
        <w:bidi w:val="0"/>
        <w:jc w:val="left"/>
        <w:rPr>
          <w:rFonts w:ascii="Times New Roman;Times;Serif" w:hAnsi="Times New Roman;Times;Serif"/>
          <w:b w:val="false"/>
          <w:i/>
          <w:caps w:val="false"/>
          <w:smallCaps w:val="false"/>
          <w:sz w:val="20"/>
          <w:bdr w:val="single" w:sz="2" w:space="6" w:color="000000"/>
        </w:rPr>
      </w:pPr>
      <w:r>
        <w:rPr>
          <w:rFonts w:ascii="Times New Roman;Times;Serif" w:hAnsi="Times New Roman;Times;Serif"/>
          <w:b w:val="false"/>
          <w:i/>
          <w:caps w:val="false"/>
          <w:smallCaps w:val="false"/>
          <w:sz w:val="20"/>
          <w:bdr w:val="single" w:sz="2" w:space="6" w:color="000000"/>
        </w:rPr>
        <w:t>Food, Agribusiness and Diversified Industries</w:t>
      </w:r>
    </w:p>
    <w:p>
      <w:pPr>
        <w:pStyle w:val="TextBody"/>
        <w:bidi w:val="0"/>
        <w:ind w:left="0" w:right="0" w:firstLine="720"/>
        <w:jc w:val="left"/>
        <w:rPr>
          <w:caps w:val="false"/>
          <w:smallCaps w:val="false"/>
          <w:bdr w:val="single" w:sz="2" w:space="6" w:color="000000"/>
        </w:rPr>
      </w:pPr>
      <w:r>
        <w:rPr>
          <w:caps w:val="false"/>
          <w:smallCaps w:val="false"/>
          <w:bdr w:val="single" w:sz="2" w:space="6" w:color="000000"/>
        </w:rPr>
        <w:t> </w:t>
      </w:r>
    </w:p>
    <w:p>
      <w:pPr>
        <w:pStyle w:val="TextBody"/>
        <w:bidi w:val="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Bank entered the food, agribusiness and diversified industries market in May 2025, growing to a seven-person team as of the date of this prospectus supplement, and opened its Lodi branch in July 2026.</w:t>
      </w:r>
    </w:p>
    <w:p>
      <w:pPr>
        <w:pStyle w:val="TextBody"/>
        <w:bidi w:val="0"/>
        <w:spacing w:before="0" w:after="0"/>
        <w:ind w:left="0" w:right="0" w:firstLine="720"/>
        <w:jc w:val="both"/>
        <w:rPr>
          <w:caps w:val="false"/>
          <w:smallCaps w:val="false"/>
          <w:bdr w:val="single" w:sz="2" w:space="6" w:color="000000"/>
        </w:rPr>
      </w:pPr>
      <w:r>
        <w:rPr>
          <w:caps w:val="false"/>
          <w:smallCaps w:val="false"/>
          <w:bdr w:val="single" w:sz="2" w:space="6" w:color="000000"/>
        </w:rPr>
        <w:t> </w:t>
      </w:r>
    </w:p>
    <w:p>
      <w:pPr>
        <w:pStyle w:val="TextBody"/>
        <w:bidi w:val="0"/>
        <w:spacing w:before="0" w:after="200"/>
        <w:jc w:val="left"/>
        <w:rPr>
          <w:rFonts w:ascii="Times New Roman;Times;Serif" w:hAnsi="Times New Roman;Times;Serif"/>
          <w:b/>
          <w:i w:val="false"/>
          <w:caps w:val="false"/>
          <w:smallCaps w:val="false"/>
          <w:sz w:val="20"/>
          <w:bdr w:val="single" w:sz="2" w:space="6" w:color="000000"/>
        </w:rPr>
      </w:pPr>
      <w:r>
        <w:rPr>
          <w:rFonts w:ascii="Times New Roman;Times;Serif" w:hAnsi="Times New Roman;Times;Serif"/>
          <w:b/>
          <w:i w:val="false"/>
          <w:caps w:val="false"/>
          <w:smallCaps w:val="false"/>
          <w:sz w:val="20"/>
          <w:bdr w:val="single" w:sz="2" w:space="6" w:color="000000"/>
        </w:rPr>
        <w:t>Implications of Being an Emerging Growth Company</w:t>
      </w:r>
    </w:p>
    <w:p>
      <w:pPr>
        <w:pStyle w:val="TextBody"/>
        <w:bidi w:val="0"/>
        <w:spacing w:before="0" w:after="20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Among other factors, as an emerging growth company:</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present only two years of audited financial statements and discuss only our results of operations for two years in “Management’s Discussion and Analysis of Financial Condition and Results of Operations” in our Annual and Quarterly Reports on Forms 10-K and 10-Q, respectively;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 from the requirement to provide an opinion from our auditors on the design and operating effectiveness of our internal control over financial reporting pursuant to the Sarbanes-Oxley Act of 2002, as amended;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comply with any new requirements adopted by the Public Company Accounting Oversight Board requiring mandatory audit firm rotation or a supplement to the auditor’s report providing additional information about the audit and our audited financial statements;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provide less extensive disclosure regarding our executive compensation arrangements pursuant to the rules applicable to smaller reporting companies, which means we are not required to include a compensation discussion and analysis and other disclosures regarding our executive compensation in our Annual Reports on Form 10-K; and</w:t>
            </w:r>
          </w:p>
        </w:tc>
      </w:tr>
    </w:tbl>
    <w:tbl>
      <w:tblPr>
        <w:tblW w:w="9708" w:type="dxa"/>
        <w:jc w:val="left"/>
        <w:tblInd w:w="0" w:type="dxa"/>
        <w:tblLayout w:type="fixed"/>
        <w:tblCellMar>
          <w:top w:w="0" w:type="dxa"/>
          <w:left w:w="0" w:type="dxa"/>
          <w:bottom w:w="0" w:type="dxa"/>
          <w:right w:w="0" w:type="dxa"/>
        </w:tblCellMar>
      </w:tblPr>
      <w:tblGrid>
        <w:gridCol w:w="38"/>
        <w:gridCol w:w="11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hold nonbinding advisory votes on executive compensation or golden parachute arrangements.</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We have taken advantage of some of these provisions since our initial public offering and may continue to take advantage of these provisions until we cease to qualify as an emerging growth company on December 31, 2026.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pStyle w:val="TextBody"/>
        <w:bidi w:val="0"/>
        <w:spacing w:before="0" w:after="0"/>
        <w:jc w:val="center"/>
        <w:rPr>
          <w:bdr w:val="single" w:sz="16" w:space="6" w:color="DCDCDC"/>
        </w:rPr>
      </w:pPr>
      <w:r>
        <w:rPr>
          <w:bdr w:val="single" w:sz="16" w:space="6" w:color="DCDCDC"/>
        </w:rPr>
        <w:t>S-11</w:t>
      </w:r>
    </w:p>
    <w:p>
      <w:pPr>
        <w:pStyle w:val="TextBody"/>
        <w:bidi w:val="0"/>
        <w:spacing w:before="120" w:after="24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The JOBS Act exempts emerging growth companies from compliance with new or revised financial accounting standards until private companies (that is, those that have not had a registration statement declared effective under the Securities Act of 1933, as amended, or the Securities Act, or do not have a class of securities registered under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pStyle w:val="TextBody"/>
        <w:bidi w:val="0"/>
        <w:spacing w:before="0" w:after="0"/>
        <w:jc w:val="center"/>
        <w:rPr>
          <w:bdr w:val="single" w:sz="16" w:space="6" w:color="DCDCDC"/>
        </w:rPr>
      </w:pPr>
      <w:r>
        <w:rPr>
          <w:bdr w:val="single" w:sz="16" w:space="6" w:color="DCDCDC"/>
        </w:rPr>
        <w:t>S-12</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bdr w:val="single" w:sz="2" w:space="6" w:color="000000"/>
        </w:rPr>
      </w:pPr>
      <w:bookmarkStart w:id="7" w:name="e26304a_006"/>
      <w:bookmarkEnd w:id="7"/>
      <w:r>
        <w:rPr>
          <w:rFonts w:ascii="Times New Roman;Times;Serif" w:hAnsi="Times New Roman;Times;Serif"/>
          <w:b/>
          <w:i w:val="false"/>
          <w:caps w:val="false"/>
          <w:smallCaps w:val="false"/>
          <w:sz w:val="20"/>
          <w:bdr w:val="single" w:sz="2" w:space="6" w:color="000000"/>
        </w:rPr>
        <w:t>THE OFFERING</w:t>
      </w:r>
    </w:p>
    <w:p>
      <w:pPr>
        <w:pStyle w:val="TextBody"/>
        <w:bidi w:val="0"/>
        <w:jc w:val="left"/>
        <w:rPr>
          <w:caps w:val="false"/>
          <w:smallCaps w:val="false"/>
          <w:bdr w:val="single" w:sz="2" w:space="6" w:color="000000"/>
        </w:rPr>
      </w:pPr>
      <w:r>
        <w:rPr>
          <w:caps w:val="false"/>
          <w:smallCaps w:val="false"/>
          <w:bdr w:val="single" w:sz="2" w:space="6" w:color="000000"/>
        </w:rPr>
        <w:t> </w:t>
      </w:r>
    </w:p>
    <w:tbl>
      <w:tblPr>
        <w:tblW w:w="10205" w:type="dxa"/>
        <w:jc w:val="left"/>
        <w:tblInd w:w="0" w:type="dxa"/>
        <w:tblLayout w:type="fixed"/>
        <w:tblCellMar>
          <w:top w:w="0" w:type="dxa"/>
          <w:left w:w="0" w:type="dxa"/>
          <w:bottom w:w="0" w:type="dxa"/>
          <w:right w:w="0" w:type="dxa"/>
        </w:tblCellMar>
      </w:tblPr>
      <w:tblGrid>
        <w:gridCol w:w="1529"/>
        <w:gridCol w:w="60"/>
        <w:gridCol w:w="8616"/>
      </w:tblGrid>
      <w:tr>
        <w:trPr/>
        <w:tc>
          <w:tcPr>
            <w:tcW w:w="1529"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us</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2,725,000 shares (or 3,133,750 shares if the underwriters exercise in full their option to purchase additional shares).</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to be outstanding after the offering</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24,101,153 shares (or 24,509,903 shares if the underwriters exercise in full their option to purchase additional shares).</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share</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Indication of interest</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and consider the information set forth under the heading “Risk Factors” beginning on page S-14 in this prospectus supplement and the accompanying prospectus, and under the heading “Part I. Item 1A. Risk Factors” in our Annual Report on Form 10-K for the year ended December 31, 2025, as well as in each subsequently filed Quarterly Report on Form 10-Q, and other filings we may make with the SEC, which are incorporated by reference into this prospectus supplement, along with all other information included in and incorporated by reference into this prospectus supplement and the accompanying prospectus, before deciding to invest in our common stock.</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agreements</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executive officers and directors have agreed with the underwriters not to engage in certain transactions in our securities during the Lock-Up Period (as defined below) without the consent of the underwriters. See “Underwriting—Lock-Up Agreements” in this prospectus supplement.</w:t>
            </w:r>
          </w:p>
        </w:tc>
      </w:tr>
      <w:tr>
        <w:trPr/>
        <w:tc>
          <w:tcPr>
            <w:tcW w:w="15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and trading symbol</w:t>
            </w:r>
          </w:p>
        </w:tc>
        <w:tc>
          <w:tcPr>
            <w:tcW w:w="60" w:type="dxa"/>
            <w:tcBorders/>
            <w:vAlign w:val="center"/>
          </w:tcPr>
          <w:p>
            <w:pPr>
              <w:pStyle w:val="TableContents"/>
              <w:bidi w:val="0"/>
              <w:spacing w:before="0" w:after="283"/>
              <w:jc w:val="left"/>
              <w:rPr/>
            </w:pPr>
            <w:r>
              <w:rPr/>
              <w:t> </w:t>
            </w:r>
          </w:p>
        </w:tc>
        <w:tc>
          <w:tcPr>
            <w:tcW w:w="86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Nasdaq under the symbol “FSBC”.</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200"/>
        <w:ind w:left="360" w:right="0" w:hanging="0"/>
        <w:jc w:val="left"/>
        <w:rPr>
          <w:rFonts w:ascii="Times New Roman;Times;Serif" w:hAnsi="Times New Roman;Times;Serif"/>
          <w:b w:val="false"/>
          <w:i w:val="false"/>
          <w:caps w:val="false"/>
          <w:smallCaps w:val="false"/>
          <w:sz w:val="20"/>
          <w:bdr w:val="single" w:sz="2" w:space="6" w:color="000000"/>
        </w:rPr>
      </w:pPr>
      <w:r>
        <w:rPr>
          <w:rFonts w:ascii="Times New Roman;Times;Serif" w:hAnsi="Times New Roman;Times;Serif"/>
          <w:b w:val="false"/>
          <w:i w:val="false"/>
          <w:caps w:val="false"/>
          <w:smallCaps w:val="false"/>
          <w:sz w:val="20"/>
          <w:bdr w:val="single" w:sz="2" w:space="6" w:color="000000"/>
        </w:rPr>
        <w:t>Unless otherwise noted, references in this prospectus supplement to the number of shares of our common stock outstanding after this offering are based on 21,376,153 shares of our common stock issued and outstanding as of March 31, 2026. Except as otherwise indicated, the information in this prospectus supplement:</w:t>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116,103 unvested restricted stock awards outstanding as of March 31, 2026;</w:t>
            </w:r>
          </w:p>
        </w:tc>
      </w:tr>
    </w:tbl>
    <w:tbl>
      <w:tblPr>
        <w:tblW w:w="8553" w:type="dxa"/>
        <w:jc w:val="left"/>
        <w:tblInd w:w="0" w:type="dxa"/>
        <w:tblLayout w:type="fixed"/>
        <w:tblCellMar>
          <w:top w:w="0" w:type="dxa"/>
          <w:left w:w="0" w:type="dxa"/>
          <w:bottom w:w="0" w:type="dxa"/>
          <w:right w:w="0" w:type="dxa"/>
        </w:tblCellMar>
      </w:tblPr>
      <w:tblGrid>
        <w:gridCol w:w="38"/>
        <w:gridCol w:w="11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23,110 unvested performance-based restricted stock awards outstanding as of March 31, 2026;</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1,353,100 shares of our common stock reserved for issuance under the Five Star Bancorp 2021 Equity Incentive Plan as of March 31, 2026;</w:t>
            </w:r>
          </w:p>
        </w:tc>
      </w:tr>
    </w:tbl>
    <w:tbl>
      <w:tblPr>
        <w:tblW w:w="6633" w:type="dxa"/>
        <w:jc w:val="left"/>
        <w:tblInd w:w="0" w:type="dxa"/>
        <w:tblLayout w:type="fixed"/>
        <w:tblCellMar>
          <w:top w:w="0" w:type="dxa"/>
          <w:left w:w="0" w:type="dxa"/>
          <w:bottom w:w="0" w:type="dxa"/>
          <w:right w:w="0" w:type="dxa"/>
        </w:tblCellMar>
      </w:tblPr>
      <w:tblGrid>
        <w:gridCol w:w="38"/>
        <w:gridCol w:w="11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26,711 unvested restricted stock awards granted after March 31, 2026;</w:t>
            </w:r>
          </w:p>
        </w:tc>
      </w:tr>
    </w:tbl>
    <w:tbl>
      <w:tblPr>
        <w:tblW w:w="7428" w:type="dxa"/>
        <w:jc w:val="left"/>
        <w:tblInd w:w="0" w:type="dxa"/>
        <w:tblLayout w:type="fixed"/>
        <w:tblCellMar>
          <w:top w:w="0" w:type="dxa"/>
          <w:left w:w="0" w:type="dxa"/>
          <w:bottom w:w="0" w:type="dxa"/>
          <w:right w:w="0" w:type="dxa"/>
        </w:tblCellMar>
      </w:tblPr>
      <w:tblGrid>
        <w:gridCol w:w="38"/>
        <w:gridCol w:w="11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25,790 performance-based restricted stock awards granted after March 31, 2026;</w:t>
            </w:r>
          </w:p>
        </w:tc>
      </w:tr>
    </w:tbl>
    <w:tbl>
      <w:tblPr>
        <w:tblW w:w="8568" w:type="dxa"/>
        <w:jc w:val="left"/>
        <w:tblInd w:w="0" w:type="dxa"/>
        <w:tblLayout w:type="fixed"/>
        <w:tblCellMar>
          <w:top w:w="0" w:type="dxa"/>
          <w:left w:w="0" w:type="dxa"/>
          <w:bottom w:w="0" w:type="dxa"/>
          <w:right w:w="0" w:type="dxa"/>
        </w:tblCellMar>
      </w:tblPr>
      <w:tblGrid>
        <w:gridCol w:w="38"/>
        <w:gridCol w:w="11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no exercise of the underwriters’ option to purchase additional shares of our common stock;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attribute to any director or their related persons or entities any purchases of shares of our common stock in this offering.</w:t>
            </w:r>
          </w:p>
        </w:tc>
      </w:tr>
    </w:tbl>
    <w:p>
      <w:pPr>
        <w:pStyle w:val="TextBody"/>
        <w:bidi w:val="0"/>
        <w:spacing w:before="0" w:after="0"/>
        <w:jc w:val="center"/>
        <w:rPr>
          <w:bdr w:val="single" w:sz="16" w:space="6" w:color="DCDCDC"/>
        </w:rPr>
      </w:pPr>
      <w:r>
        <w:rPr>
          <w:bdr w:val="single" w:sz="16" w:space="6" w:color="DCDCDC"/>
        </w:rPr>
        <w:t>S-13</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8" w:name="e26304a_007"/>
      <w:bookmarkEnd w:id="8"/>
      <w:r>
        <w:rPr>
          <w:rFonts w:ascii="Times New Roman;Times;Serif" w:hAnsi="Times New Roman;Times;Serif"/>
          <w:b/>
          <w:i w:val="false"/>
          <w:caps w:val="false"/>
          <w:smallCaps w:val="false"/>
          <w:sz w:val="20"/>
        </w:rPr>
        <w:t>RISK FACTORS</w:t>
      </w:r>
    </w:p>
    <w:p>
      <w:pPr>
        <w:pStyle w:val="TextBody"/>
        <w:bidi w:val="0"/>
        <w:spacing w:before="0" w:after="20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significant degree of risk. The material risks and uncertainties that management believes affect us are described below. Before you decide to invest in our common stock, you should carefully read and consider all of the information contained in this prospectus supplement, including the risks and uncertainties described below and under “Special Cautionary Note Regarding Forward-Looking Statements” in this prospectus supplement, and the other documents incorporated by reference into this prospectus supplement, including the risks and uncertainties described under “Risk Factors” in the accompanying prospectus and our Annual Report on Form 10-K for the year ended December 31, 2025, as well as in each subsequently filed Quarterly Report on Form 10-Q, and other filings we may make with the SEC. Any of these risks, if they are realized, could have an adverse effect on our business, financial condition and results of operations, and consequently, the value of our common stock. In any such case, you could lose all or a portion of your original investment. Further, additional risks and uncertainties not currently known to us or that we currently believe to be immaterial may also adversely affect us. This prospectus supplement also contains forward-looking statements that involve risks and uncertainties. See the section entitled “Special Cautionary Note Regarding Forward-Looking Statements.”</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Related to an Investment in Our Common Stock and the Offering</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the possibility of future sales of our common stock could depress the market price of our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or our articles of incorporation, authorize us to issue up to 100,000,000 shares of common stock. Following the completion of this offering, we will have issued and outstanding 24,101,153 shares of our common stock (or 24,509,903 shares if the underwriters exercise their option to purchase additional shares in full), a significant portion of which will be freely transferable without restriction or further registration under the Securities Act. We and our executive officers and our directors holding, in the aggregate, 4,657,677 shares of our common stock as of March 31, 2026 (representing approximately 21.79% of our outstanding shares of common stock as of such date), have agreed not to sell any shares of our common stock for a period of 90 days from the date of this prospectus supplement, or the Lock-Up Period, subject to certain exceptions. See the section entitled “Underwriting.” Following the expiration of the Lock-Up Period, all of these shares will be eligible for resale under Rule 144 of the Securities Act, subject to any applicable holding period requirements and volume limitations. In addition, the underwriters, at any time and without notice, may release all or any portion of the common stock subject to such lock-up restrictions. The remaining shares of our common stock outstanding prior to this offering are not subject to lock-up agreements and they may be freely resold at any time, subject to the restrictions described in this prospectus supplement, if applicable, for affiliate holders. The shares of our common stock being offered and sold in this offering will also generally be available for resale into the public markets. See the section entitled “Underwriting.”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additional shares in the future for various purposes without any action or approval by our shareholders, and these shares, once issued, will be available for sale into the public market, subject to the restrictions described in this prospectus supplement, if applicable, for affiliate holders. The market price for our common stock may decline significantly when the restrictions on resale by our existing shareholders lapse. Actual or anticipated issuances or sales of substantial additional amounts of our common stock following this offering could cause the market price of our common stock to decline significantly and make it more difficult for us to sell equity or equity-related securities in the future on favorable terms, or at all. We cannot predict the size of future issuances of our common stock or the effect, if any, that future issuances and sales of our common stock will have on the market price of our common stock. Sales of substantial amounts of our common stock, or the perception that such sales could occur, may adversely affect prevailing market prices for our common stock. Further, a decline in the market price of our common stock might impede our ability to raise capital through the issuance of additional common stock or other equity securities.</w:t>
      </w:r>
    </w:p>
    <w:p>
      <w:pPr>
        <w:pStyle w:val="TextBody"/>
        <w:bidi w:val="0"/>
        <w:spacing w:before="0" w:after="0"/>
        <w:jc w:val="center"/>
        <w:rPr>
          <w:bdr w:val="single" w:sz="16" w:space="6" w:color="DCDCDC"/>
        </w:rPr>
      </w:pPr>
      <w:r>
        <w:rPr>
          <w:bdr w:val="single" w:sz="16" w:space="6" w:color="DCDCDC"/>
        </w:rPr>
        <w:t>S-14</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we may not be able to meet investor or analyst expectations. You may not be able to resell your shares at or above the price you paid and may lose part or all of your investment as a result.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market price of our common stock may negatively impact the price at which our common stock may be sold and may also negatively impact the timing of any sale. The market price of our common stock may continue to fluctuate widely in response to a variety of factors including the risk factors described herein and, among other things:</w:t>
      </w:r>
    </w:p>
    <w:tbl>
      <w:tblPr>
        <w:tblW w:w="9078" w:type="dxa"/>
        <w:jc w:val="left"/>
        <w:tblInd w:w="0" w:type="dxa"/>
        <w:tblLayout w:type="fixed"/>
        <w:tblCellMar>
          <w:top w:w="0" w:type="dxa"/>
          <w:left w:w="0" w:type="dxa"/>
          <w:bottom w:w="0" w:type="dxa"/>
          <w:right w:w="0" w:type="dxa"/>
        </w:tblCellMar>
      </w:tblPr>
      <w:tblGrid>
        <w:gridCol w:w="38"/>
        <w:gridCol w:w="11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quarterly or annual operating results, financial conditions, or credit quality;</w:t>
            </w:r>
          </w:p>
        </w:tc>
      </w:tr>
    </w:tbl>
    <w:tbl>
      <w:tblPr>
        <w:tblW w:w="3813" w:type="dxa"/>
        <w:jc w:val="left"/>
        <w:tblInd w:w="0" w:type="dxa"/>
        <w:tblLayout w:type="fixed"/>
        <w:tblCellMar>
          <w:top w:w="0" w:type="dxa"/>
          <w:left w:w="0" w:type="dxa"/>
          <w:bottom w:w="0" w:type="dxa"/>
          <w:right w:w="0" w:type="dxa"/>
        </w:tblCellMar>
      </w:tblPr>
      <w:tblGrid>
        <w:gridCol w:w="38"/>
        <w:gridCol w:w="11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economic conditions;</w:t>
            </w:r>
          </w:p>
        </w:tc>
      </w:tr>
    </w:tbl>
    <w:tbl>
      <w:tblPr>
        <w:tblW w:w="6843" w:type="dxa"/>
        <w:jc w:val="left"/>
        <w:tblInd w:w="0" w:type="dxa"/>
        <w:tblLayout w:type="fixed"/>
        <w:tblCellMar>
          <w:top w:w="0" w:type="dxa"/>
          <w:left w:w="0" w:type="dxa"/>
          <w:bottom w:w="0" w:type="dxa"/>
          <w:right w:w="0" w:type="dxa"/>
        </w:tblCellMar>
      </w:tblPr>
      <w:tblGrid>
        <w:gridCol w:w="38"/>
        <w:gridCol w:w="11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recommendations or research reports about us or the financial services industry in general published by securities analysts;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publication of research reports and recommendations by financial analysts or actions taken by rating agencies with respect to us or other financial institutions;</w:t>
            </w:r>
          </w:p>
        </w:tc>
      </w:tr>
    </w:tbl>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 reports relating to trends, concerns, and other issues in the financial services industry;</w:t>
            </w:r>
          </w:p>
        </w:tc>
      </w:tr>
    </w:tbl>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in the marketplace regarding us or our competitors;</w:t>
            </w:r>
          </w:p>
        </w:tc>
      </w:tr>
    </w:tbl>
    <w:tbl>
      <w:tblPr>
        <w:tblW w:w="8298" w:type="dxa"/>
        <w:jc w:val="left"/>
        <w:tblInd w:w="0" w:type="dxa"/>
        <w:tblLayout w:type="fixed"/>
        <w:tblCellMar>
          <w:top w:w="0" w:type="dxa"/>
          <w:left w:w="0" w:type="dxa"/>
          <w:bottom w:w="0" w:type="dxa"/>
          <w:right w:w="0" w:type="dxa"/>
        </w:tblCellMar>
      </w:tblPr>
      <w:tblGrid>
        <w:gridCol w:w="38"/>
        <w:gridCol w:w="11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sudden increases in the demand for our common stock, including as a result of any “short squeezes”;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acquisitions or business combinations, strategic partnerships, joint ventures, or capital commitments by or involving us or our competitors;</w:t>
            </w:r>
          </w:p>
        </w:tc>
      </w:tr>
    </w:tbl>
    <w:tbl>
      <w:tblPr>
        <w:tblW w:w="3543" w:type="dxa"/>
        <w:jc w:val="left"/>
        <w:tblInd w:w="0" w:type="dxa"/>
        <w:tblLayout w:type="fixed"/>
        <w:tblCellMar>
          <w:top w:w="0" w:type="dxa"/>
          <w:left w:w="0" w:type="dxa"/>
          <w:bottom w:w="0" w:type="dxa"/>
          <w:right w:w="0" w:type="dxa"/>
        </w:tblCellMar>
      </w:tblPr>
      <w:tblGrid>
        <w:gridCol w:w="38"/>
        <w:gridCol w:w="11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investments from third parties;</w:t>
            </w:r>
          </w:p>
        </w:tc>
      </w:tr>
    </w:tbl>
    <w:tbl>
      <w:tblPr>
        <w:tblW w:w="3498" w:type="dxa"/>
        <w:jc w:val="left"/>
        <w:tblInd w:w="0" w:type="dxa"/>
        <w:tblLayout w:type="fixed"/>
        <w:tblCellMar>
          <w:top w:w="0" w:type="dxa"/>
          <w:left w:w="0" w:type="dxa"/>
          <w:bottom w:w="0" w:type="dxa"/>
          <w:right w:w="0" w:type="dxa"/>
        </w:tblCellMar>
      </w:tblPr>
      <w:tblGrid>
        <w:gridCol w:w="38"/>
        <w:gridCol w:w="11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5493" w:type="dxa"/>
        <w:jc w:val="left"/>
        <w:tblInd w:w="0" w:type="dxa"/>
        <w:tblLayout w:type="fixed"/>
        <w:tblCellMar>
          <w:top w:w="0" w:type="dxa"/>
          <w:left w:w="0" w:type="dxa"/>
          <w:bottom w:w="0" w:type="dxa"/>
          <w:right w:w="0" w:type="dxa"/>
        </w:tblCellMar>
      </w:tblPr>
      <w:tblGrid>
        <w:gridCol w:w="38"/>
        <w:gridCol w:w="11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or issuance of additional shares of our common stock;</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proposed changes in laws or regulations, or differing interpretations thereof, affecting our business, or enforcement of these laws or regulations; or</w:t>
            </w:r>
          </w:p>
        </w:tc>
      </w:tr>
    </w:tbl>
    <w:tbl>
      <w:tblPr>
        <w:tblW w:w="4788" w:type="dxa"/>
        <w:jc w:val="left"/>
        <w:tblInd w:w="0" w:type="dxa"/>
        <w:tblLayout w:type="fixed"/>
        <w:tblCellMar>
          <w:top w:w="0" w:type="dxa"/>
          <w:left w:w="0" w:type="dxa"/>
          <w:bottom w:w="0" w:type="dxa"/>
          <w:right w:w="0" w:type="dxa"/>
        </w:tblCellMar>
      </w:tblPr>
      <w:tblGrid>
        <w:gridCol w:w="38"/>
        <w:gridCol w:w="11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conditions or natural or man-made disasters.</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realization of any of the risks described in this section or under the heading “Part I. Item 1A. Risk Factors” in our Annual Report on Form 10-K for the year ended December 31, 2025, as well as in each subsequently filed Quarterly Report on Form 10-Q, and other filings we may make with the SEC, which are incorporated herein by reference,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pStyle w:val="TextBody"/>
        <w:bidi w:val="0"/>
        <w:spacing w:before="0" w:after="0"/>
        <w:jc w:val="center"/>
        <w:rPr>
          <w:bdr w:val="single" w:sz="16" w:space="6" w:color="DCDCDC"/>
        </w:rPr>
      </w:pPr>
      <w:r>
        <w:rPr>
          <w:bdr w:val="single" w:sz="16" w:space="6" w:color="DCDCDC"/>
        </w:rPr>
        <w:t>S-15</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or change their recommendations regarding our common stock or if our operating results do not meet their expectations, the market price of our common stock and trading volume could decline.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or our operating results do not meet their expectations, either absolutely or relative to our competitors, the market price of our common stock would likely decline. If one or more of these analysts cease coverage of us or fail to publish reports on us regularly, we could lose visibility in the financial markets, which in turn could cause the market price of our common stock or trading volume to decline. If we fail to meet the expectations of analysts for our operating results, the market price of our common stock would likely decline. If one or more of these analysts cease coverage of us or fails to publish reports on us regularly, demand for our stock could decrease, which could cause the market price of our common stock and trading volume to decline.</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Bank for cash flow, and the Bank’s ability to make cash distributions is restricted, which could impact our ability to satisfy our obligations.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us without regulatory approval.</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 on our common stock in the future, and our ability to pay dividends is subject to certain restrictions.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holders of our debt obligations and preferred stock will have priority over our common stock with respect to payment in the event of liquidation, dissolution or winding up and with respect to the payment of interest and dividends.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liquidation, dissolution or winding up of the Company, our common stock would rank below all claims of debt holders against us as well as any preferred stock that has been issued. As of March 31, 2026, we had outstanding an aggregate of $75 million of subordinated notes and we did not have any outstanding preferred stock or trust preferred securities. We could incur future debt obligations or issue preferred stock in the future to raise additional capital. In such event, holders of our common stock will not be entitled to receive any payment or other distribution of assets upon the liquidation, dissolution or winding up of the Company until after all of our obligations to the debt holders are satisfied and holders of subordinated debt and senior equity securities, including preferred shares, if any, have received any payment or distribution due to them. In addition, we are required to pay interest on the subordinated notes and dividends on any trust preferred securities and preferred stock before we are able to pay any dividends on our common stock. Since any decision to issue debt securities</w:t>
      </w:r>
    </w:p>
    <w:p>
      <w:pPr>
        <w:pStyle w:val="TextBody"/>
        <w:bidi w:val="0"/>
        <w:spacing w:before="0" w:after="0"/>
        <w:jc w:val="center"/>
        <w:rPr>
          <w:bdr w:val="single" w:sz="16" w:space="6" w:color="DCDCDC"/>
        </w:rPr>
      </w:pPr>
      <w:r>
        <w:rPr>
          <w:bdr w:val="single" w:sz="16" w:space="6" w:color="DCDCDC"/>
        </w:rPr>
        <w:t>S-16</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incur other borrowings in the future will depend on market conditions and other factors beyond our control, the amount, timing, nature or success of our future capital raising efforts is uncertain. Thus, holders of our common stock bear the risk that our future issuances of debt securities or our incurrence of other borrowings will negatively affect the market price of our common stock.</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in allocating the net proceeds of the offering. Our failure to effectively utilize such net proceeds may have an adverse effect on our financial performance and the value of our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 However, we are not required to apply any portion of the net proceeds of this offering for any particular purpose and our management could use the proceeds for purposes other than those contemplated at the time of this offering. Accordingly, 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shareholder value, we may fail to achieve expected financial results, which could cause the market price of our stock to decline.</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California law and the provisions of our articles of incorporation and amended and restated bylaws, or our bylaws, may have an anti-takeover effect, and there are substantial regulatory limitations on changes of control of bank holding companies.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 corporate law and provisions of our articles of incorporation and our bylaws could make it more difficult for a third party to acquire us, even if doing so would be perceived to be beneficial by our shareholders.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prior approval of the Federal Reserve and the DFPI is generally required for any person to acquire control of the Company. Under federal and state laws, a person may be presumed to acquire control of the Company if the person acquires 10% or more of our outstanding common stock. In addition, Federal Reserve approval is also generally required for a bank holding company to acquire 5% or more of our outstanding common stock.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common stock is not an insured deposit and is not guaranteed by the FDIC, so you could lose some or all of your investment.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is not a bank deposit and, therefore, is not insured against loss or guaranteed by the FDIC, any other deposit insurance fund or by any other public or private entity. Investment in our common stock is inherently risky for the reasons described herein, and is subject to the same market forces that affect the price of common stock in any company. As a result, if you acquire our common stock, you could lose some or all of your investment.</w:t>
      </w:r>
    </w:p>
    <w:p>
      <w:pPr>
        <w:pStyle w:val="TextBody"/>
        <w:bidi w:val="0"/>
        <w:spacing w:before="0" w:after="20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preliminary financial information is based on information available as of the date of this prospectus supplement and may be subject to change.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data in this prospectus supplement for the three and six months ended June 30, 2026 is preliminary. These preliminary results are not a comprehensive statement of our financial position for the three and six months ended June 30, 2026 and are based on information available as of the date of this prospectus supplement. During the course of the preparation of our quarterly financial statements and related notes,</w:t>
      </w:r>
    </w:p>
    <w:p>
      <w:pPr>
        <w:pStyle w:val="TextBody"/>
        <w:bidi w:val="0"/>
        <w:spacing w:before="0" w:after="0"/>
        <w:jc w:val="center"/>
        <w:rPr>
          <w:bdr w:val="single" w:sz="16" w:space="6" w:color="DCDCDC"/>
        </w:rPr>
      </w:pPr>
      <w:r>
        <w:rPr>
          <w:bdr w:val="single" w:sz="16" w:space="6" w:color="DCDCDC"/>
        </w:rPr>
        <w:t>S-17</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identify items that would require the Company to make adjustments to the preliminary financial information presented in this prospectus supplement. The actual amounts that we report will be subject to any final adjustments that may be made prior to the time our financial results for the three and six months ended June 30, 2026 are finalized and filed with the SEC in our Quarterly Report on Form 10-Q for the quarter ended June 30, 2026, and may differ materially from the preliminary financial information included in this prospectus supplement.</w:t>
      </w:r>
    </w:p>
    <w:p>
      <w:pPr>
        <w:pStyle w:val="TextBody"/>
        <w:bidi w:val="0"/>
        <w:spacing w:before="0" w:after="20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Relating to Our Business and our Industry and Regulation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associated with our business and industry, see the section entitled “Risk Factors” in our Annual Report on Form 10-K for the year ended December 31, 2025, as well as in each subsequently filed Quarterly Report on Form 10-Q, and other filings we may make with the SEC, which are incorporated into this prospectus supplement by reference, as the same may be updated from time to time prior to the completion of this offering by our future filings under the Exchange Act.</w:t>
      </w:r>
    </w:p>
    <w:p>
      <w:pPr>
        <w:pStyle w:val="TextBody"/>
        <w:bidi w:val="0"/>
        <w:spacing w:before="0" w:after="0"/>
        <w:jc w:val="center"/>
        <w:rPr>
          <w:bdr w:val="single" w:sz="16" w:space="6" w:color="DCDCDC"/>
        </w:rPr>
      </w:pPr>
      <w:r>
        <w:rPr>
          <w:bdr w:val="single" w:sz="16" w:space="6" w:color="DCDCDC"/>
        </w:rPr>
        <w:t>S-18</w:t>
      </w:r>
    </w:p>
    <w:p>
      <w:pPr>
        <w:pStyle w:val="TextBody"/>
        <w:bidi w:val="0"/>
        <w:spacing w:before="120" w:after="240"/>
        <w:jc w:val="left"/>
        <w:rPr/>
      </w:pPr>
      <w:r>
        <w:rPr/>
        <w:t> </w:t>
      </w:r>
    </w:p>
    <w:p>
      <w:pPr>
        <w:pStyle w:val="TextBody"/>
        <w:bidi w:val="0"/>
        <w:spacing w:before="0" w:after="200"/>
        <w:ind w:left="5" w:right="3" w:hanging="0"/>
        <w:jc w:val="center"/>
        <w:rPr>
          <w:rFonts w:ascii="Times New Roman;Times;Serif" w:hAnsi="Times New Roman;Times;Serif"/>
          <w:b/>
          <w:i w:val="false"/>
          <w:caps w:val="false"/>
          <w:smallCaps w:val="false"/>
          <w:sz w:val="20"/>
        </w:rPr>
      </w:pPr>
      <w:bookmarkStart w:id="9" w:name="e26304a_008"/>
      <w:bookmarkEnd w:id="9"/>
      <w:r>
        <w:rPr>
          <w:rFonts w:ascii="Times New Roman;Times;Serif" w:hAnsi="Times New Roman;Times;Serif"/>
          <w:b/>
          <w:i w:val="false"/>
          <w:caps w:val="false"/>
          <w:smallCaps w:val="false"/>
          <w:sz w:val="20"/>
        </w:rPr>
        <w:t>USE OF PROCEEDS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will be approximately $112.9 million, or approximately $129.9 million if the underwriters exercise in full their option to purchase additional shares, in each case, after deducting underwriting discounts and commissions and the estimated offering expenses payable by 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general corporate purposes and to support our continued growth, including through investments in the Bank to pursue growth opportunities, and for working capital.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management will have broad discretion in the application of the net proceeds from this offering, and investors will be relying on the judgment of our board of directors and management with regard to the use of these net proceeds. Pending the use of the net proceeds from this offering as described above, we may invest the net proceeds in short-term liquid instruments. </w:t>
      </w:r>
    </w:p>
    <w:p>
      <w:pPr>
        <w:pStyle w:val="TextBody"/>
        <w:bidi w:val="0"/>
        <w:spacing w:before="0" w:after="0"/>
        <w:jc w:val="center"/>
        <w:rPr>
          <w:bdr w:val="single" w:sz="16" w:space="6" w:color="DCDCDC"/>
        </w:rPr>
      </w:pPr>
      <w:r>
        <w:rPr>
          <w:bdr w:val="single" w:sz="16" w:space="6" w:color="DCDCDC"/>
        </w:rPr>
        <w:t>S-19</w:t>
      </w:r>
    </w:p>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bookmarkStart w:id="10" w:name="e26304a_009"/>
      <w:bookmarkEnd w:id="10"/>
      <w:r>
        <w:rPr>
          <w:rFonts w:ascii="Times New Roman;Times;Serif" w:hAnsi="Times New Roman;Times;Serif"/>
          <w:b/>
          <w:i w:val="false"/>
          <w:caps w:val="false"/>
          <w:smallCaps w:val="false"/>
          <w:sz w:val="20"/>
        </w:rPr>
        <w:t>CAPITALIZATION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March 31, 2026:</w:t>
      </w:r>
    </w:p>
    <w:tbl>
      <w:tblPr>
        <w:tblW w:w="2028" w:type="dxa"/>
        <w:jc w:val="left"/>
        <w:tblInd w:w="0" w:type="dxa"/>
        <w:tblLayout w:type="fixed"/>
        <w:tblCellMar>
          <w:top w:w="0" w:type="dxa"/>
          <w:left w:w="0" w:type="dxa"/>
          <w:bottom w:w="0" w:type="dxa"/>
          <w:right w:w="0" w:type="dxa"/>
        </w:tblCellMar>
      </w:tblPr>
      <w:tblGrid>
        <w:gridCol w:w="38"/>
        <w:gridCol w:w="11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 adjusted basis to reflect the sale of 2,725,000 shares of our common stock offered by us at the public offering price of $44.00 per share in this offering, after deducting the underwriting discount and our estimated offering expenses (assuming the underwriters’ option to purchase additional shares from us is not exercised).</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in conjunction with, and is qualified in its entirety by reference to, the information appearing under “Use of Proceeds” included elsewhere in this prospectus supplement, our historical financial statements and related notes incorporated by reference into this prospectus supplement.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1"/>
        <w:gridCol w:w="60"/>
        <w:gridCol w:w="125"/>
        <w:gridCol w:w="695"/>
        <w:gridCol w:w="185"/>
        <w:gridCol w:w="134"/>
        <w:gridCol w:w="813"/>
        <w:gridCol w:w="202"/>
      </w:tblGrid>
      <w:tr>
        <w:trPr/>
        <w:tc>
          <w:tcPr>
            <w:tcW w:w="7991"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5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202" w:type="dxa"/>
            <w:tcBorders/>
            <w:vAlign w:val="center"/>
          </w:tcPr>
          <w:p>
            <w:pPr>
              <w:pStyle w:val="TableContents"/>
              <w:bidi w:val="0"/>
              <w:spacing w:before="0" w:after="283"/>
              <w:ind w:left="0" w:right="0" w:hanging="173"/>
              <w:jc w:val="center"/>
              <w:rPr>
                <w:caps w:val="false"/>
                <w:smallCaps w:val="false"/>
              </w:rPr>
            </w:pPr>
            <w:r>
              <w:rPr>
                <w:caps w:val="false"/>
                <w:smallCaps w:val="false"/>
              </w:rPr>
              <w:t> </w:t>
            </w:r>
          </w:p>
        </w:tc>
      </w:tr>
      <w:tr>
        <w:trPr/>
        <w:tc>
          <w:tcPr>
            <w:tcW w:w="7991"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w:t>
            </w:r>
          </w:p>
        </w:tc>
        <w:tc>
          <w:tcPr>
            <w:tcW w:w="202"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(due 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74,077</w:t>
            </w:r>
          </w:p>
        </w:tc>
        <w:tc>
          <w:tcPr>
            <w:tcW w:w="202"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tcBorders/>
            <w:vAlign w:val="center"/>
          </w:tcPr>
          <w:p>
            <w:pPr>
              <w:pStyle w:val="TableContents"/>
              <w:bidi w:val="0"/>
              <w:spacing w:before="0" w:after="283"/>
              <w:jc w:val="right"/>
              <w:rPr>
                <w:caps w:val="false"/>
                <w:smallCaps w:val="false"/>
              </w:rPr>
            </w:pPr>
            <w:r>
              <w:rPr>
                <w:caps w:val="false"/>
                <w:smallCaps w:val="false"/>
              </w:rPr>
              <w:t> </w:t>
            </w:r>
          </w:p>
        </w:tc>
        <w:tc>
          <w:tcPr>
            <w:tcW w:w="202"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no par value; 10,000,000 shares authorized; zero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2"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 100,000,000 shares authorized; 21,376,153 shares issued and outstanding - actual and 24,101,153 shares issued and outstanding -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304,372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417,227</w:t>
            </w:r>
          </w:p>
        </w:tc>
        <w:tc>
          <w:tcPr>
            <w:tcW w:w="202"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164,262</w:t>
            </w:r>
          </w:p>
        </w:tc>
        <w:tc>
          <w:tcPr>
            <w:tcW w:w="202"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 net of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(10,115</w:t>
            </w:r>
          </w:p>
        </w:tc>
        <w:tc>
          <w:tcPr>
            <w:tcW w:w="202" w:type="dxa"/>
            <w:tcBorders/>
            <w:shd w:fill="CCEE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458,519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571,374</w:t>
            </w:r>
          </w:p>
        </w:tc>
        <w:tc>
          <w:tcPr>
            <w:tcW w:w="202"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righ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tcBorders/>
            <w:vAlign w:val="center"/>
          </w:tcPr>
          <w:p>
            <w:pPr>
              <w:pStyle w:val="TableContents"/>
              <w:bidi w:val="0"/>
              <w:spacing w:before="0" w:after="283"/>
              <w:jc w:val="right"/>
              <w:rPr>
                <w:caps w:val="false"/>
                <w:smallCaps w:val="false"/>
              </w:rPr>
            </w:pPr>
            <w:r>
              <w:rPr>
                <w:caps w:val="false"/>
                <w:smallCaps w:val="false"/>
              </w:rPr>
              <w:t> </w:t>
            </w:r>
          </w:p>
        </w:tc>
        <w:tc>
          <w:tcPr>
            <w:tcW w:w="202"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532,596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645,451</w:t>
            </w:r>
          </w:p>
        </w:tc>
        <w:tc>
          <w:tcPr>
            <w:tcW w:w="202"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ratios: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capital (to risk-weighted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w:t>
            </w:r>
          </w:p>
        </w:tc>
        <w:tc>
          <w:tcPr>
            <w:tcW w:w="202" w:type="dxa"/>
            <w:tcBorders/>
            <w:shd w:fill="CCEE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 1 capital (to risk-weighted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202" w:type="dxa"/>
            <w:tcBorders/>
            <w:shd w:fill="FFFF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equity Tier 1 capital (to risk-weighted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202" w:type="dxa"/>
            <w:tcBorders/>
            <w:shd w:fill="CCEE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Tier 1 leverage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w:t>
            </w:r>
          </w:p>
        </w:tc>
        <w:tc>
          <w:tcPr>
            <w:tcW w:w="202" w:type="dxa"/>
            <w:tcBorders/>
            <w:shd w:fill="FFFFFF" w:val="clear"/>
            <w:vAlign w:val="center"/>
          </w:tcPr>
          <w:p>
            <w:pPr>
              <w:pStyle w:val="TableContents"/>
              <w:bidi w:val="0"/>
              <w:spacing w:before="0" w:after="283"/>
              <w:ind w:left="0"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 to 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bdr w:val="single" w:sz="16" w:space="6" w:color="DCDCDC"/>
        </w:rPr>
      </w:pPr>
      <w:r>
        <w:rPr>
          <w:bdr w:val="single" w:sz="16" w:space="6" w:color="DCDCDC"/>
        </w:rPr>
        <w:t>S-20</w:t>
      </w:r>
    </w:p>
    <w:p>
      <w:pPr>
        <w:pStyle w:val="TextBody"/>
        <w:bidi w:val="0"/>
        <w:spacing w:before="120" w:after="240"/>
        <w:jc w:val="left"/>
        <w:rPr/>
      </w:pPr>
      <w:r>
        <w:rPr/>
        <w:t> </w:t>
      </w:r>
    </w:p>
    <w:p>
      <w:pPr>
        <w:pStyle w:val="TextBody"/>
        <w:bidi w:val="0"/>
        <w:spacing w:before="0" w:after="200"/>
        <w:ind w:left="5" w:right="3" w:hanging="0"/>
        <w:jc w:val="center"/>
        <w:rPr>
          <w:rFonts w:ascii="Times New Roman;Times;Serif" w:hAnsi="Times New Roman;Times;Serif"/>
          <w:b/>
          <w:i w:val="false"/>
          <w:caps w:val="false"/>
          <w:smallCaps w:val="false"/>
          <w:sz w:val="20"/>
        </w:rPr>
      </w:pPr>
      <w:bookmarkStart w:id="11" w:name="e26304a_010"/>
      <w:bookmarkEnd w:id="11"/>
      <w:r>
        <w:rPr>
          <w:rFonts w:ascii="Times New Roman;Times;Serif" w:hAnsi="Times New Roman;Times;Serif"/>
          <w:b/>
          <w:i w:val="false"/>
          <w:caps w:val="false"/>
          <w:smallCaps w:val="false"/>
          <w:sz w:val="20"/>
        </w:rPr>
        <w:t>MATERIAL U.S. FEDERAL INCOME TAX CONSIDERATIONS TO NON-U.S. HOLDERS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the purchase, ownership and disposition of our common stock by Non-U.S. Holders (as defined below) that acquire our common stock in this offering and hold it as a capital asset within the meaning of Section 1221 of the Internal Revenue Code of 1986, as amended, or the Code (generally, property held for investment). This discussion does not purport to be a complete analysis of all potential tax effects. All prospective holders of our common stock should consult their tax advisors with respect to the U.S. federal, state, local, and non-U.S. tax consequences of the purchase, ownership, and disposition of our common stock.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Internal Revenue Service, or the IRS, in each case in effect as of the date of this prospectus supplement. These authorities may change or be subject to differing interpretations at any time. Any such change or differing interpretation may be applied retroactively in a manner that could adversely affect a Non-U.S. Holder of our common stock. We have not sought and will not seek any rulings from the IRS regarding the statements made and the conclusions reached in the discussion below. There can be no assurance the IRS or a court will agree with our position discussed below regarding the U.S. federal income tax consequences of the purchase, ownership and disposition of our common stock. We cannot assure you that a change in law will not significantly alter the tax considerations described in this discussion.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U.S. federal income tax consequences that may be relevant to a Non-U.S. Holder’s particular circumstances, including the alternative minimum tax, estate or gift tax consequences, and the impact of the Medicare contribution tax on net investment income. In addition, it does not address consequences relevant to Non-U.S. Holders subject to special rules, including, without limitation:</w:t>
      </w:r>
    </w:p>
    <w:tbl>
      <w:tblPr>
        <w:tblW w:w="6543" w:type="dxa"/>
        <w:jc w:val="left"/>
        <w:tblInd w:w="0" w:type="dxa"/>
        <w:tblLayout w:type="fixed"/>
        <w:tblCellMar>
          <w:top w:w="0" w:type="dxa"/>
          <w:left w:w="0" w:type="dxa"/>
          <w:bottom w:w="0" w:type="dxa"/>
          <w:right w:w="0" w:type="dxa"/>
        </w:tblCellMar>
      </w:tblPr>
      <w:tblGrid>
        <w:gridCol w:w="38"/>
        <w:gridCol w:w="11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expatriates and former citizens or long-term residents of the United States;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elected to mark securities to market or who hold our common stock as part of a hedge, straddle or other risk reduction strategy or as part of a conversion transaction or other integrated investment;</w:t>
            </w:r>
          </w:p>
        </w:tc>
      </w:tr>
    </w:tbl>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mutual funds and other financial institutions;</w:t>
            </w:r>
          </w:p>
        </w:tc>
      </w:tr>
    </w:tbl>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that accumulate earnings to avoid U.S. federal income tax;</w:t>
            </w:r>
          </w:p>
        </w:tc>
      </w:tr>
    </w:tbl>
    <w:tbl>
      <w:tblPr>
        <w:tblW w:w="8178" w:type="dxa"/>
        <w:jc w:val="left"/>
        <w:tblInd w:w="0" w:type="dxa"/>
        <w:tblLayout w:type="fixed"/>
        <w:tblCellMar>
          <w:top w:w="0" w:type="dxa"/>
          <w:left w:w="0" w:type="dxa"/>
          <w:bottom w:w="0" w:type="dxa"/>
          <w:right w:w="0" w:type="dxa"/>
        </w:tblCellMar>
      </w:tblPr>
      <w:tblGrid>
        <w:gridCol w:w="38"/>
        <w:gridCol w:w="11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or entities wholly owned by a “qualified foreign pension fund”;</w:t>
            </w:r>
          </w:p>
        </w:tc>
      </w:tr>
    </w:tbl>
    <w:tbl>
      <w:tblPr>
        <w:tblW w:w="3318" w:type="dxa"/>
        <w:jc w:val="left"/>
        <w:tblInd w:w="0" w:type="dxa"/>
        <w:tblLayout w:type="fixed"/>
        <w:tblCellMar>
          <w:top w:w="0" w:type="dxa"/>
          <w:left w:w="0" w:type="dxa"/>
          <w:bottom w:w="0" w:type="dxa"/>
          <w:right w:w="0" w:type="dxa"/>
        </w:tblCellMar>
      </w:tblPr>
      <w:tblGrid>
        <w:gridCol w:w="38"/>
        <w:gridCol w:w="11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or traders in securities;</w:t>
            </w:r>
          </w:p>
        </w:tc>
      </w:tr>
    </w:tbl>
    <w:tbl>
      <w:tblPr>
        <w:tblW w:w="8643" w:type="dxa"/>
        <w:jc w:val="left"/>
        <w:tblInd w:w="0" w:type="dxa"/>
        <w:tblLayout w:type="fixed"/>
        <w:tblCellMar>
          <w:top w:w="0" w:type="dxa"/>
          <w:left w:w="0" w:type="dxa"/>
          <w:bottom w:w="0" w:type="dxa"/>
          <w:right w:w="0" w:type="dxa"/>
        </w:tblCellMar>
      </w:tblPr>
      <w:tblGrid>
        <w:gridCol w:w="38"/>
        <w:gridCol w:w="11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tax-exempt organizations, pension plans, tax-qualified retirement plans, or governmental organizations; </w:t>
            </w:r>
          </w:p>
        </w:tc>
      </w:tr>
    </w:tbl>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having a functional currency other than the U.S. dollar; and</w:t>
            </w:r>
          </w:p>
        </w:tc>
      </w:tr>
    </w:tbl>
    <w:tbl>
      <w:tblPr>
        <w:tblW w:w="7713" w:type="dxa"/>
        <w:jc w:val="left"/>
        <w:tblInd w:w="0" w:type="dxa"/>
        <w:tblLayout w:type="fixed"/>
        <w:tblCellMar>
          <w:top w:w="0" w:type="dxa"/>
          <w:left w:w="0" w:type="dxa"/>
          <w:bottom w:w="0" w:type="dxa"/>
          <w:right w:w="0" w:type="dxa"/>
        </w:tblCellMar>
      </w:tblPr>
      <w:tblGrid>
        <w:gridCol w:w="38"/>
        <w:gridCol w:w="11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under the constructive sale provisions of the Code.</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persons that hold our common stock through such partnerships. If an entity or arrangement treated as a partnership for U.S. federal income tax purposes holds our common stock, the tax treatment of a partner in the partnership will generally depend on the status of the partner and the activities of the partnership. Accordingly, partnerships (and other entities or arrangements so treated for U.S. federal income tax purposes) holding our common stock and the partners in such partnerships should consult their tax advisors regarding the U.S. federal income tax consequences to them.</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pStyle w:val="TextBody"/>
        <w:bidi w:val="0"/>
        <w:spacing w:before="0" w:after="0"/>
        <w:jc w:val="center"/>
        <w:rPr>
          <w:bdr w:val="single" w:sz="16" w:space="6" w:color="DCDCDC"/>
        </w:rPr>
      </w:pPr>
      <w:r>
        <w:rPr>
          <w:bdr w:val="single" w:sz="16" w:space="6" w:color="DCDCDC"/>
        </w:rPr>
        <w:t>S-21</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a Non-U.S. Holder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any beneficial owner of our common stock that is, or is treated as, for U.S. federal income tax purposes:</w:t>
      </w:r>
    </w:p>
    <w:tbl>
      <w:tblPr>
        <w:tblW w:w="1848" w:type="dxa"/>
        <w:jc w:val="left"/>
        <w:tblInd w:w="0" w:type="dxa"/>
        <w:tblLayout w:type="fixed"/>
        <w:tblCellMar>
          <w:top w:w="0" w:type="dxa"/>
          <w:left w:w="0" w:type="dxa"/>
          <w:bottom w:w="0" w:type="dxa"/>
          <w:right w:w="0" w:type="dxa"/>
        </w:tblCellMar>
      </w:tblPr>
      <w:tblGrid>
        <w:gridCol w:w="38"/>
        <w:gridCol w:w="11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alien;</w:t>
            </w:r>
          </w:p>
        </w:tc>
      </w:tr>
    </w:tbl>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(or any other foreign entity treated as a corporation for U.S. federal income tax purposes);</w:t>
            </w:r>
          </w:p>
        </w:tc>
      </w:tr>
    </w:tbl>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not subject to U.S. federal income taxation regardless of its source;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that does not have in effect a valid election under the U.S. Treasury Regulations, to be treated as a United States person and either (i) no court within the United States is able to exercise primary supervision over the trust’s administration or (ii) no “United States person” (within the meaning of Section 7701(a)(30) of the Code) has the authority to control all substantial decisions of that trust.</w:t>
            </w:r>
          </w:p>
        </w:tc>
      </w:tr>
    </w:tbl>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Common Stock</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cash or property on our common stock will generally constitute dividends for U.S. federal income tax purposes to the extent of our current or accumulated earnings and profits, as determined under U.S. federal income tax principles. Amounts not treated as dividends for U.S. federal income tax purposes will first constitute a tax-free return of capital to the extent of a Non-U.S. Holder’s adjusted tax basis in its common stock and thereafter capital gain, which is subject to the tax treatment described below in the section entitled “—Sale or Other Taxable Disposition”.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in the sections entitled “–Information Reporting and Backup Withholding” and “–FATCA Withholding” and the discussion below on effectively connected income, dividends paid to a Non-U.S. Holder will generally be subject to U.S. federal withholding tax at a rate of 30% of the gross amount of the dividends or such lower rate specified by an applicable income tax treaty. To receive a reduced withholding rate, a Non-U.S. Holder must furnish a valid IRS Form W-8BEN or W-8BEN-E, as applicable, (or other applicable documentation) certifying qualification for the lower treaty rate. A Non-U.S. Holder that holds our common stock through a financial institution or other agent will be required to provide appropriate documentation to the financial institution or other agent, which then will be required to provide certification to us or our paying agent either directly or through other intermediaries. A Non-U.S. Holder that does not timely furnish the required documentation, but that qualifies for a reduced income tax treaty rate, may obtain a refund of any excess amounts withheld by timely filing an appropriate claim for refund with the IRS.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dividends paid to a Non-U.S. Holder are effectively connected with the Non-U.S. Holder’s conduct of a trade or business within the United States (and, as provided by an applicable income tax treaty, attributable to a permanent establishment or fixed base maintained by the Non-U.S. Holder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effectively connected dividends will be subject to U.S. federal income tax on a net income basis at the regular rates that also apply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and their entitlement to benefits thereunder.</w:t>
      </w:r>
    </w:p>
    <w:p>
      <w:pPr>
        <w:pStyle w:val="TextBody"/>
        <w:bidi w:val="0"/>
        <w:spacing w:before="0" w:after="0"/>
        <w:jc w:val="center"/>
        <w:rPr>
          <w:bdr w:val="single" w:sz="16" w:space="6" w:color="DCDCDC"/>
        </w:rPr>
      </w:pPr>
      <w:r>
        <w:rPr>
          <w:bdr w:val="single" w:sz="16" w:space="6" w:color="DCDCDC"/>
        </w:rPr>
        <w:t>S-22</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“–Information Reporting and Backup Withholding” and “–FATCA Withholding,” a Non-U.S. Holder generally will not be subject to U.S. federal income tax or withholding tax on any gain realized upon the sale or other taxable disposition of our common stock (including a redemption, but only if the redemption would be treated as a sale or exchange rather than a distribution for U.S. federal income tax purposes) unless: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Non-U.S. Holder’s conduct of a trade or business within the United States (and, if required by an applicable income tax treaty, attributable to a permanent establishment or fixed base maintained by the Non-U.S. Holder in the United States), in which case the Non-U.S. Holder generally will be subject to U.S. federal income tax on a net income basis with respect to such gain in the same manner as if such holder were a resident of the United States and, if the Non-U.S. Holder is a corporation for U.S. federal income tax purposes, may, under certain circumstances, be subject to an additional “branch profits tax” at a 30% rate (or at a lower rate under an applicable income tax treaty) on its “effectively connected” gains;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 nonresident alien individual present in the United States for 183 days or more during the taxable year of the disposition and certain other requirements are met, in which case the Non-U.S. Holder generally will be subject to U.S. federal income tax at a 30% rate (or at a lower rate under an applicable income tax treaty) on the gain derived from the sale, which gain may be offset by U.S.-source capital losses for the year;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or have been a United States real property holding corporation (“USRPHC” as described below) at any time within the shorter of the five-year period preceding the disposition or the Non-U.S. Holder’s holding period for our common stock (the “relevant period”) and the Non-U.S. Holder (i) disposes of our common stock during a calendar year when our common stock is no longer regularly traded on an established securities market or (ii) owned (actually or constructively) more than 5% of our common stock at any time during the relevant period, in which case such a Non-U.S. Holder will be subject to tax on the gain on the disposition of shares generally as if the gain were effectively connected with the conduct of a trade or business in the United States, except that the “branch profits tax” will not apply.</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currently are not, and do not anticipate becoming, a USRPHC. Generally, a corporation is a USRPHC only if the fair market value of its United States real property interests (as defined in the Code) equals or exceeds 50% of the sum of the fair market value of its worldwide real property interests and its other assets used or held for use in a trade or business.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common stock and the payment of the proceeds from the sale of our common stock effected at a U.S. office of a broker generally will not be subject to backup withholding and the payment of proceeds from the sale of our common stock effected at a U.S. office of a broker will generally not be subject to information reporting, provided the applicable withholding agent does not have actual knowledge or reason to know the Non-U.S. Holder is a United States person and the Non-U.S. Holder either certifies its non-U.S. status, such as by furnishing a valid IRS Form W-8BEN or W-8BEN-E, as applicable, or other documentation upon which it may rely to treat the payments as made to a non-U.S. person in accordance with Treasury Regulations or otherwise establishes an exemption.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are required to file information returns with the IRS in connection with any distribution on our common stock paid to a Non-U.S. Holder, regardless of whether any tax was actually withheld. 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before="0" w:after="0"/>
        <w:jc w:val="center"/>
        <w:rPr>
          <w:bdr w:val="single" w:sz="16" w:space="6" w:color="DCDCDC"/>
        </w:rPr>
      </w:pPr>
      <w:r>
        <w:rPr>
          <w:bdr w:val="single" w:sz="16" w:space="6" w:color="DCDCDC"/>
        </w:rPr>
        <w:t>S-23</w:t>
      </w:r>
    </w:p>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proceeds from the sale of our common stock effected at a foreign office of a broker generally will not be subject to information reporting or backup withholding. However, a sale of our common stock by a Non-U.S. Holder that is effected at a foreign office of a broker will be subject to information reporting and backup withholding if (i) the proceeds are transferred to an account maintained by the Non-U.S. Holder in the United States, (ii) the payment of proceeds or the confirmation of the sale is mailed to the Non-U.S. Holder at a U.S. address or (iii) the sale has some other specified connection with the United States as provided in the Treasury Regulations, unless, in each case, the broker does not have actual knowledge or reason to know that the holder is a United States person and the documentation requirements described above are met or the Non-U.S. Holder otherwise establishes an exemption.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sale of our common stock will be subject to information reporting if it is effected at a foreign office of a broker that is (i) a United States person, (ii) a “controlled foreign corporation” for U.S. federal income tax purposes, (iii) a foreign person 50% or more of whose gross income is effectively connected with the conduct of a U.S. trade or business for a specified three-year period or (iv) a foreign partnership, if at any time during its tax year (a) one or more of its partners are “U.S. persons,” as defined in the Treasury Regulations, who in the aggregate hold more than 50% of the income or capital interest in the partnership or (b) such foreign partnership is engaged in the conduct of a trade or business in the United States, in each case unless the broker does not have actual knowledge or reason to know that the holder is a United States person and the documentation requirements described above are met or an exemption is otherwise established. Backup withholding will apply if the sale is subject to information reporting and the broker has actual knowledge that the holder is a United States person. Non-U.S. Holders should consult their tax advisors regarding the application of the information reporting and backup withholding rules to them.</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issued thereunder (commonly referred to as the Foreign Account Tax Compliance Act (“FATCA”)) impose a 30% withholding tax on dividends paid on our shares to, and (subject to the proposed Treasury Regulations discussed below) the gross proceeds derived from the sale or other disposition of our shares by, a foreign entity if the foreign entity is: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“non-financial foreign entity” (as defined under FATCA) that does not provide sufficient documentation, typically on IRS Form W-8BEN-E, evidencing either (i) an exemption from FATCA or (ii) adequate information regarding substantial United States beneficial owners of such entity (if any).</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under FATCA generally applies to payments of dividends on our shares and to payments of gross proceeds from a sale or other disposition of our shares. Withholding agents may, however, rely on proposed U.S. Treasury Regulations that would no longer require FATCA withholding on payments of gross proceeds. A withholding agent such as a broker, and not the Company, will determine whether or not to implement gross proceeds FATCA withholding.</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payment is subject to withholding both under FATCA and the withholding tax rules discussed above in the section entitled “—Distributions on Common Stock,” the withholding under FATCA may be credited against, and therefore reduce, such other withholding tax. Holders of shares should consult their own tax advisors regarding these requirements and whether they may be relevant to their ownership and disposition of the shares.</w:t>
      </w:r>
    </w:p>
    <w:p>
      <w:pPr>
        <w:pStyle w:val="TextBody"/>
        <w:bidi w:val="0"/>
        <w:spacing w:before="0" w:after="0"/>
        <w:jc w:val="center"/>
        <w:rPr>
          <w:bdr w:val="single" w:sz="16" w:space="6" w:color="DCDCDC"/>
        </w:rPr>
      </w:pPr>
      <w:r>
        <w:rPr>
          <w:bdr w:val="single" w:sz="16" w:space="6" w:color="DCDCDC"/>
        </w:rPr>
        <w:t>S-24</w:t>
      </w:r>
    </w:p>
    <w:p>
      <w:pPr>
        <w:pStyle w:val="TextBody"/>
        <w:bidi w:val="0"/>
        <w:spacing w:before="120" w:after="240"/>
        <w:jc w:val="left"/>
        <w:rPr/>
      </w:pPr>
      <w:r>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a Non-U.S. Holder will be eligible for refunds or credits of withholding taxes imposed under FATCA by filing a United States federal income tax return. Prospective investors should consult their tax advisors regarding the effect of FATCA on their ownership and disposition of our shares.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SHOULD CONSULT ITS TAX ADVISOR REGARDING THE PARTICULAR U.S. FEDERAL, STATE, LOCAL, AND NON-U.S. TAX CONSEQUENCES OF PURCHASING, HOLDING, AND DISPOSING OF OUR COMMON STOCK, INCLUDING THE CONSEQUENCES OF ANY PROPOSED CHANGE IN APPLICABLE LAWS.</w:t>
      </w:r>
    </w:p>
    <w:p>
      <w:pPr>
        <w:pStyle w:val="TextBody"/>
        <w:bidi w:val="0"/>
        <w:spacing w:before="0" w:after="0"/>
        <w:jc w:val="center"/>
        <w:rPr>
          <w:bdr w:val="single" w:sz="16" w:space="6" w:color="DCDCDC"/>
        </w:rPr>
      </w:pPr>
      <w:r>
        <w:rPr>
          <w:bdr w:val="single" w:sz="16" w:space="6" w:color="DCDCDC"/>
        </w:rPr>
        <w:t>S-25</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2" w:name="e26304a_011"/>
      <w:bookmarkEnd w:id="12"/>
      <w:r>
        <w:rPr>
          <w:rFonts w:ascii="Times New Roman;Times;Serif" w:hAnsi="Times New Roman;Times;Serif"/>
          <w:b/>
          <w:i w:val="false"/>
          <w:caps w:val="false"/>
          <w:smallCaps w:val="false"/>
          <w:sz w:val="20"/>
        </w:rPr>
        <w:t>UNDERWRITING</w:t>
      </w:r>
    </w:p>
    <w:p>
      <w:pPr>
        <w:pStyle w:val="TextBody"/>
        <w:bidi w:val="0"/>
        <w:spacing w:before="1" w:after="1"/>
        <w:ind w:left="951" w:right="1" w:hanging="0"/>
        <w:jc w:val="left"/>
        <w:rPr>
          <w:caps w:val="false"/>
          <w:smallCaps w:val="false"/>
        </w:rPr>
      </w:pPr>
      <w:r>
        <w:rPr>
          <w:caps w:val="false"/>
          <w:smallCaps w:val="false"/>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the shares of our common stock described in this prospectus supplement in an underwritten offering in which we and Keefe, Bruyette &amp; Woods, Inc., as representative for the underwriters named below, are entering into an underwriting agreement with respect to the shares of our common stock being offered hereby. Subject to certain conditions, we will agree to sell, and each underwriter will severally and not jointly agree to purchase, the number of shares of our common stock indicated in the following table:</w:t>
      </w:r>
    </w:p>
    <w:tbl>
      <w:tblPr>
        <w:tblW w:w="3894" w:type="dxa"/>
        <w:jc w:val="left"/>
        <w:tblInd w:w="0" w:type="dxa"/>
        <w:tblLayout w:type="fixed"/>
        <w:tblCellMar>
          <w:top w:w="0" w:type="dxa"/>
          <w:left w:w="0" w:type="dxa"/>
          <w:bottom w:w="0" w:type="dxa"/>
          <w:right w:w="0" w:type="dxa"/>
        </w:tblCellMar>
      </w:tblPr>
      <w:tblGrid>
        <w:gridCol w:w="2840"/>
        <w:gridCol w:w="60"/>
        <w:gridCol w:w="60"/>
        <w:gridCol w:w="859"/>
        <w:gridCol w:w="75"/>
      </w:tblGrid>
      <w:tr>
        <w:trPr/>
        <w:tc>
          <w:tcPr>
            <w:tcW w:w="28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340,625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 Davidson &amp; 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Brean Capital,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our common stock subject to a number of conditions, including receipt and acceptance of our common stock by the underwriters. The obligations of the underwriters to pay for and accept delivery of the shares offered by this prospectus supplement are subject to these conditions. The underwriting agreement between us and the underwriters provides that if any underwriter defaults, the purchase commitments of the non-defaulting underwriters may be increased or this offering may be terminated.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underwriters or securities dealers may distribute offering documents to investors electronically. See the section entitled “—Electronic Distribution.”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their related persons or entities have indicated an interest in purchasing a portion of the shares of common stock in this offering at a price equal to the public offering price. Because this indication of interest is not a binding agreement or commitment to purchase, these persons could determine to purchase more, less or no shares in this offering or the underwriters could determine to sell more, less or no shares to these persons.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sold by the underwriters to the public will be offered at the public offering price set forth on the cover of this prospectus supplement. Any shares of our common stock sold by the underwriters to securities dealers may be sold at a discount of up to $0.462 per share from the public offering price. Any of these securities dealers may resell any shares of our common stock purchased from the underwriters to other brokers or dealers at a discount of up to $1.386 per share from the public offering price. If all of the shares of our common stock are not sold at the public offering price, the representative may change the offering price and the other selling terms. Sales of shares of our common stock made outside of the United States may be made by affiliates of the underwriters. The underwriters reserve the right to reject an order for the purchase of shares, in whole or in part.</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fee is equal to the public offering price per share of common stock less the amount paid by the underwriters to us per share of common stock. The underwriting fee is $2.31 per share. The following table shows the per share and total underwriting discounts to be paid to the underwriters assuming both no exercise and full exercise of the underwriters’ option to purchase additional shares.</w:t>
      </w:r>
    </w:p>
    <w:tbl>
      <w:tblPr>
        <w:tblW w:w="4903" w:type="dxa"/>
        <w:jc w:val="left"/>
        <w:tblInd w:w="0" w:type="dxa"/>
        <w:tblLayout w:type="fixed"/>
        <w:tblCellMar>
          <w:top w:w="0" w:type="dxa"/>
          <w:left w:w="0" w:type="dxa"/>
          <w:bottom w:w="0" w:type="dxa"/>
          <w:right w:w="0" w:type="dxa"/>
        </w:tblCellMar>
      </w:tblPr>
      <w:tblGrid>
        <w:gridCol w:w="800"/>
        <w:gridCol w:w="60"/>
        <w:gridCol w:w="197"/>
        <w:gridCol w:w="1742"/>
        <w:gridCol w:w="60"/>
        <w:gridCol w:w="60"/>
        <w:gridCol w:w="194"/>
        <w:gridCol w:w="1715"/>
        <w:gridCol w:w="75"/>
      </w:tblGrid>
      <w:tr>
        <w:trPr/>
        <w:tc>
          <w:tcPr>
            <w:tcW w:w="8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Exercise of option</w:t>
              <w:br/>
              <w:t>to purchase additional</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Exercise of option</w:t>
              <w:br/>
              <w:t>to purchase additional</w:t>
              <w:br/>
              <w:t>shares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7,238,962.50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6,294,750.00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200" w:after="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expenses of this offering, not including the underwriting discount, to be approximately $750,000, and such expenses are payable by us. We also have agreed to reimburse the underwriters for their expenses incurred in connection with the offering in an amount up to $250,000.</w:t>
      </w:r>
    </w:p>
    <w:p>
      <w:pPr>
        <w:pStyle w:val="TextBody"/>
        <w:bidi w:val="0"/>
        <w:spacing w:before="0" w:after="0"/>
        <w:jc w:val="center"/>
        <w:rPr>
          <w:bdr w:val="single" w:sz="16" w:space="6" w:color="DCDCDC"/>
        </w:rPr>
      </w:pPr>
      <w:r>
        <w:rPr>
          <w:bdr w:val="single" w:sz="16" w:space="6" w:color="DCDCDC"/>
        </w:rPr>
        <w:t>S-26</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Shares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to purchase up to additional shares of our common stock, at the public offering price set forth on the cover page of this prospectus supplement, less the underwriting discount. The underwriters may exercise this option, in whole or in part, from time to time for a period of 30 days from the date of this prospectus supplement. If the underwriters exercise this option, each underwriter will be obligated, subject to the conditions in the underwriting agreement, to purchase a number of additional shares of our common stock proportionate to the number of shares reflected next to such underwriter’s name in the table above relative to the total number of shares reflected in such table.</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executive officers and directors have agreed with the underwriters not to, without the prior written approval of the representative and subject to certain exceptions:</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disclose the intention to make any such offer, pledge, sale or disposition, or to enter into any such swap, hedge, transaction or other arrangement.</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are subject to customary exceptions and will be in effect for a period of 90 days after the date of this prospectus supplement. At any time and without public notice, the representative may, in their sole discretion, waive or release all or some of the securities from these lock-up agreements.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also apply to securities convertible into or exchangeable or exercisable for or repayable with our common stock to the same extent as they apply to our common stock. They also apply to common stock owned now or later acquired by the person executing the agreement or for which the person executing the agreement later acquires the power of disposition.</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Listing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“FSBC.”</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Contribution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their affiliates, selling agents, and controlling persons against certain liabilities, including under the Securities Act. If we are unable to provide this indemnification, we will contribute to the payments the underwriters and their affiliates, selling agents, and controlling persons may be required to make in respect of those liabilities.</w:t>
      </w:r>
    </w:p>
    <w:p>
      <w:pPr>
        <w:pStyle w:val="TextBody"/>
        <w:bidi w:val="0"/>
        <w:spacing w:before="0" w:after="0"/>
        <w:jc w:val="center"/>
        <w:rPr>
          <w:bdr w:val="single" w:sz="16" w:space="6" w:color="DCDCDC"/>
        </w:rPr>
      </w:pPr>
      <w:r>
        <w:rPr>
          <w:bdr w:val="single" w:sz="16" w:space="6" w:color="DCDCDC"/>
        </w:rPr>
        <w:t>S-27</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 and Penalty Bids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this offering and in accordance with Regulation M under the Exchange Act, the underwriters may engage in transactions that stabilize, maintain, or otherwise affect the price of our common stock, including:</w:t>
      </w:r>
    </w:p>
    <w:tbl>
      <w:tblPr>
        <w:tblW w:w="2133" w:type="dxa"/>
        <w:jc w:val="left"/>
        <w:tblInd w:w="0" w:type="dxa"/>
        <w:tblLayout w:type="fixed"/>
        <w:tblCellMar>
          <w:top w:w="0" w:type="dxa"/>
          <w:left w:w="0" w:type="dxa"/>
          <w:bottom w:w="0" w:type="dxa"/>
          <w:right w:w="0" w:type="dxa"/>
        </w:tblCellMar>
      </w:tblPr>
      <w:tblGrid>
        <w:gridCol w:w="38"/>
        <w:gridCol w:w="11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w:t>
            </w:r>
          </w:p>
        </w:tc>
      </w:tr>
    </w:tbl>
    <w:tbl>
      <w:tblPr>
        <w:tblW w:w="1428" w:type="dxa"/>
        <w:jc w:val="left"/>
        <w:tblInd w:w="0" w:type="dxa"/>
        <w:tblLayout w:type="fixed"/>
        <w:tblCellMar>
          <w:top w:w="0" w:type="dxa"/>
          <w:left w:w="0" w:type="dxa"/>
          <w:bottom w:w="0" w:type="dxa"/>
          <w:right w:w="0" w:type="dxa"/>
        </w:tblCellMar>
      </w:tblPr>
      <w:tblGrid>
        <w:gridCol w:w="38"/>
        <w:gridCol w:w="11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w:t>
            </w:r>
          </w:p>
        </w:tc>
      </w:tr>
    </w:tbl>
    <w:tbl>
      <w:tblPr>
        <w:tblW w:w="4218" w:type="dxa"/>
        <w:jc w:val="left"/>
        <w:tblInd w:w="0" w:type="dxa"/>
        <w:tblLayout w:type="fixed"/>
        <w:tblCellMar>
          <w:top w:w="0" w:type="dxa"/>
          <w:left w:w="0" w:type="dxa"/>
          <w:bottom w:w="0" w:type="dxa"/>
          <w:right w:w="0" w:type="dxa"/>
        </w:tblCellMar>
      </w:tblPr>
      <w:tblGrid>
        <w:gridCol w:w="38"/>
        <w:gridCol w:w="11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to cover positions created by short sales.</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Short sales may be “covered short sales,” which are short positions in an amount not greater than the underwriters’ purchase option referred to above, or may be “naked short sales,” which are short positions in excess of that amount.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close out any covered short position either by exercising their purchase option, in whole or in part, or by purchasing shares in the open market. In making this determination, the underwriters will consider, among other things, the price of shares available for purchase in the open market compared to the price at which they may purchase shares through the purchase option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additional means of facilitating our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syndicate short positions or to stabilize the price of our common stock.</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Global Select Market, in the over-the-counter market or otherwise.</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supplement in electronic format, the information on the underwriters’ websites and any information contained on any other website maintained by any of the underwriters is not part of this prospectus supplement, has not been approved and/or endorsed by the underwriters or us, and should not be relied upon by investors.</w:t>
      </w:r>
    </w:p>
    <w:p>
      <w:pPr>
        <w:pStyle w:val="TextBody"/>
        <w:bidi w:val="0"/>
        <w:spacing w:before="0" w:after="0"/>
        <w:jc w:val="center"/>
        <w:rPr>
          <w:bdr w:val="single" w:sz="16" w:space="6" w:color="DCDCDC"/>
        </w:rPr>
      </w:pPr>
      <w:r>
        <w:rPr>
          <w:bdr w:val="single" w:sz="16" w:space="6" w:color="DCDCDC"/>
        </w:rPr>
        <w:t>S-28</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respective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pStyle w:val="TextBody"/>
        <w:bidi w:val="0"/>
        <w:spacing w:before="0" w:after="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European Economic Area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tbl>
      <w:tblPr>
        <w:tblW w:w="5000" w:type="pct"/>
        <w:jc w:val="left"/>
        <w:tblInd w:w="0" w:type="dxa"/>
        <w:tblLayout w:type="fixed"/>
        <w:tblCellMar>
          <w:top w:w="0" w:type="dxa"/>
          <w:left w:w="0" w:type="dxa"/>
          <w:bottom w:w="0" w:type="dxa"/>
          <w:right w:w="0" w:type="dxa"/>
        </w:tblCellMar>
      </w:tblPr>
      <w:tblGrid>
        <w:gridCol w:w="56"/>
        <w:gridCol w:w="341"/>
        <w:gridCol w:w="9808"/>
      </w:tblGrid>
      <w:tr>
        <w:trPr/>
        <w:tc>
          <w:tcPr>
            <w:tcW w:w="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qualified investor as defined under Article 2 of the Prospectus Regulation;</w:t>
            </w:r>
          </w:p>
        </w:tc>
      </w:tr>
    </w:tbl>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natural or legal persons (other than qualified investors as defined under Article 2 of the Prospectus Regulation), subject to obtaining the prior consent of the underwriters for any such offer; or</w:t>
            </w:r>
          </w:p>
        </w:tc>
      </w:tr>
    </w:tbl>
    <w:tbl>
      <w:tblPr>
        <w:tblW w:w="5000" w:type="pct"/>
        <w:jc w:val="left"/>
        <w:tblInd w:w="0" w:type="dxa"/>
        <w:tblLayout w:type="fixed"/>
        <w:tblCellMar>
          <w:top w:w="0" w:type="dxa"/>
          <w:left w:w="0" w:type="dxa"/>
          <w:bottom w:w="0" w:type="dxa"/>
          <w:right w:w="0" w:type="dxa"/>
        </w:tblCellMar>
      </w:tblPr>
      <w:tblGrid>
        <w:gridCol w:w="55"/>
        <w:gridCol w:w="334"/>
        <w:gridCol w:w="9816"/>
      </w:tblGrid>
      <w:tr>
        <w:trPr/>
        <w:tc>
          <w:tcPr>
            <w:tcW w:w="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Article 1(4) of the Prospectus Regulation,</w:t>
            </w:r>
          </w:p>
        </w:tc>
      </w:tr>
    </w:tbl>
    <w:p>
      <w:pPr>
        <w:pStyle w:val="TextBody"/>
        <w:bidi w:val="0"/>
        <w:spacing w:before="0" w:after="0"/>
        <w:jc w:val="center"/>
        <w:rPr>
          <w:bdr w:val="single" w:sz="16" w:space="6" w:color="DCDCDC"/>
        </w:rPr>
      </w:pPr>
      <w:r>
        <w:rPr>
          <w:bdr w:val="single" w:sz="16" w:space="6" w:color="DCDCDC"/>
        </w:rPr>
        <w:t>S-29</w:t>
      </w:r>
    </w:p>
    <w:p>
      <w:pPr>
        <w:pStyle w:val="TextBody"/>
        <w:bidi w:val="0"/>
        <w:spacing w:before="120" w:after="240"/>
        <w:jc w:val="left"/>
        <w:rPr/>
      </w:pPr>
      <w:r>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for any Shares, and the expression “Prospectus Regulation” means Regulation (EU) 2017/1129.</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248" w:after="248"/>
        <w:ind w:left="23" w:right="17"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have been offered or will be offered pursuant to the offering to the public in the United Kingdom except that the Shares may be offered to the public in the United Kingdom at any time:</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offer is conditional on the admission of the Shares to trading on the London Stock Exchange plc’s main market (in reliance on the exception in paragraph 6(a) of Schedule 1 of the POATR);</w:t>
            </w:r>
          </w:p>
        </w:tc>
      </w:tr>
    </w:tbl>
    <w:tbl>
      <w:tblPr>
        <w:tblW w:w="5000" w:type="pct"/>
        <w:jc w:val="left"/>
        <w:tblInd w:w="0" w:type="dxa"/>
        <w:tblLayout w:type="fixed"/>
        <w:tblCellMar>
          <w:top w:w="0" w:type="dxa"/>
          <w:left w:w="0" w:type="dxa"/>
          <w:bottom w:w="0" w:type="dxa"/>
          <w:right w:w="0" w:type="dxa"/>
        </w:tblCellMar>
      </w:tblPr>
      <w:tblGrid>
        <w:gridCol w:w="53"/>
        <w:gridCol w:w="347"/>
        <w:gridCol w:w="9805"/>
      </w:tblGrid>
      <w:tr>
        <w:trPr/>
        <w:tc>
          <w:tcPr>
            <w:tcW w:w="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qualified investor as defined under paragraph 15 of Schedule 1 of the POATR;</w:t>
            </w:r>
          </w:p>
        </w:tc>
      </w:tr>
    </w:tbl>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fewer than 150 persons (other than qualified investors as defined under paragraph 15 of Schedule 1 of the POATR), subject to obtaining the prior consent of the underwriters for any such offer; or</w:t>
            </w:r>
          </w:p>
        </w:tc>
      </w:tr>
    </w:tbl>
    <w:tbl>
      <w:tblPr>
        <w:tblW w:w="5000" w:type="pct"/>
        <w:jc w:val="left"/>
        <w:tblInd w:w="0" w:type="dxa"/>
        <w:tblLayout w:type="fixed"/>
        <w:tblCellMar>
          <w:top w:w="0" w:type="dxa"/>
          <w:left w:w="0" w:type="dxa"/>
          <w:bottom w:w="0" w:type="dxa"/>
          <w:right w:w="0" w:type="dxa"/>
        </w:tblCellMar>
      </w:tblPr>
      <w:tblGrid>
        <w:gridCol w:w="59"/>
        <w:gridCol w:w="383"/>
        <w:gridCol w:w="9763"/>
      </w:tblGrid>
      <w:tr>
        <w:trPr/>
        <w:tc>
          <w:tcPr>
            <w:tcW w:w="5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circumstances falling within Part 1 of Schedule 1 of the POATR.</w:t>
            </w:r>
          </w:p>
        </w:tc>
      </w:tr>
    </w:tbl>
    <w:p>
      <w:pPr>
        <w:pStyle w:val="TextBody"/>
        <w:bidi w:val="0"/>
        <w:spacing w:before="249" w:after="249"/>
        <w:ind w:left="23" w:right="15" w:firstLine="69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pStyle w:val="TextBody"/>
        <w:bidi w:val="0"/>
        <w:spacing w:before="0" w:after="0"/>
        <w:jc w:val="center"/>
        <w:rPr>
          <w:bdr w:val="single" w:sz="16" w:space="6" w:color="DCDCDC"/>
        </w:rPr>
      </w:pPr>
      <w:r>
        <w:rPr>
          <w:bdr w:val="single" w:sz="16" w:space="6" w:color="DCDCDC"/>
        </w:rPr>
        <w:t>S-30</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3" w:name="e26304a_012"/>
      <w:bookmarkEnd w:id="13"/>
      <w:r>
        <w:rPr>
          <w:rFonts w:ascii="Times New Roman;Times;Serif" w:hAnsi="Times New Roman;Times;Serif"/>
          <w:b/>
          <w:i w:val="false"/>
          <w:caps w:val="false"/>
          <w:smallCaps w:val="false"/>
          <w:sz w:val="20"/>
        </w:rPr>
        <w:t>LEGAL MATTERS</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other legal matters in connection with the offering will be passed upon for us by Covington &amp; Burling LLP, Washington, D.C. Latham &amp; Watkins LLP, Los Angeles, California, will pass upon certain legal matters for the underwriters.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e26304a_013"/>
      <w:bookmarkEnd w:id="14"/>
      <w:r>
        <w:rPr>
          <w:rFonts w:ascii="Times New Roman;Times;Serif" w:hAnsi="Times New Roman;Times;Serif"/>
          <w:b/>
          <w:i w:val="false"/>
          <w:caps w:val="false"/>
          <w:smallCaps w:val="false"/>
          <w:sz w:val="20"/>
        </w:rPr>
        <w:t>EXPERTS</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Five Star Bancorp incorporated in this prospectus by reference from the Company’s Annual Report on Form 10-K for the year ended December 31, 2025,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center"/>
        <w:rPr>
          <w:bdr w:val="single" w:sz="16" w:space="6" w:color="DCDCDC"/>
        </w:rPr>
      </w:pPr>
      <w:r>
        <w:rPr>
          <w:bdr w:val="single" w:sz="16" w:space="6" w:color="DCDCDC"/>
        </w:rPr>
        <w:t>S-31</w:t>
      </w:r>
    </w:p>
    <w:p>
      <w:pPr>
        <w:pStyle w:val="TextBody"/>
        <w:bidi w:val="0"/>
        <w:spacing w:before="120" w:after="240"/>
        <w:jc w:val="left"/>
        <w:rPr/>
      </w:pPr>
      <w:r>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29146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914650" cy="695325"/>
                    </a:xfrm>
                    <a:prstGeom prst="rect">
                      <a:avLst/>
                    </a:prstGeom>
                  </pic:spPr>
                </pic:pic>
              </a:graphicData>
            </a:graphic>
          </wp:inline>
        </w:drawing>
      </w: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Depositary Shares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Contracts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Units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up to $300,000,000, together or separately, in one or more offerings, the above-referenced securities. The securities we may offer may be convertible into or exchangeable for other securities. This prospectus describes some of the general terms that may apply to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(“Nasdaq”) and trades under the ticker symbol “FSBC.”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to or through one or more underwriters, dealers and agents, directly to purchasers or through a combination of these methods, on a continuous or delayed basis from time to time.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The names of any underwriters, dealers or agents involved in the distribution of our securities, their compensation and any option they hold to acquire additional securities will be described in the applicable prospectus supplement. Net proceeds from the sale of securities will be set forth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Before buying our securities, you should carefully consider the risks described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2 of this prospectus, any similar section contained in the applicable prospectus supplement and in any free writing prospectus we have authorized for use in connection with a specific offering, and under similar headings in the documents incorporated by reference in this prospectus, and in the documents included or incorporated by reference into this prospectus and the accompanying prospectus supplement, including any information incorporated by reference therein.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These securities are not deposits, savings accounts or other obligations of any bank or savings association and are not insured or guaranteed by the Federal Deposit Insurance Corporation or any other governmental agency and are subject to investment risks, including the possible loss of the entire amount you invest.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U.S. Securities and Exchange Commission, any state securities commission, the Federal Deposit Insurance Corporation, the Board of Governors of the Federal Reserve System or any other regulatory body has approved or disapproved of these securities or determined if this prospectus is accurate or complete. Any representation to the contrary is a criminal offense.</w:t>
      </w:r>
    </w:p>
    <w:p>
      <w:pPr>
        <w:pStyle w:val="TextBody"/>
        <w:bidi w:val="0"/>
        <w:ind w:left="0" w:right="0" w:firstLine="7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February 9,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5915"/>
        <w:gridCol w:w="455"/>
      </w:tblGrid>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tc>
      </w:tr>
      <w:tr>
        <w:trPr/>
        <w:tc>
          <w:tcPr>
            <w:tcW w:w="591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vAlign w:val="center"/>
          </w:tcPr>
          <w:p>
            <w:pPr>
              <w:pStyle w:val="TableContents"/>
              <w:bidi w:val="0"/>
              <w:spacing w:before="0" w:after="283"/>
              <w:jc w:val="left"/>
              <w:rPr/>
            </w:pPr>
            <w:hyperlink w:anchor="e26030_001">
              <w:r>
                <w:rPr>
                  <w:rStyle w:val="InternetLink"/>
                  <w:rFonts w:ascii="Times New Roman;Times;Serif" w:hAnsi="Times New Roman;Times;Serif"/>
                  <w:b w:val="false"/>
                  <w:i w:val="false"/>
                  <w:caps w:val="false"/>
                  <w:smallCaps w:val="false"/>
                  <w:sz w:val="20"/>
                </w:rPr>
                <w:t>ABOUT THIS PROSPECTUS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915" w:type="dxa"/>
            <w:tcBorders/>
            <w:vAlign w:val="center"/>
          </w:tcPr>
          <w:p>
            <w:pPr>
              <w:pStyle w:val="TableContents"/>
              <w:bidi w:val="0"/>
              <w:spacing w:before="0" w:after="283"/>
              <w:jc w:val="left"/>
              <w:rPr/>
            </w:pPr>
            <w:hyperlink w:anchor="e26030_002">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5915" w:type="dxa"/>
            <w:tcBorders/>
            <w:vAlign w:val="center"/>
          </w:tcPr>
          <w:p>
            <w:pPr>
              <w:pStyle w:val="TableContents"/>
              <w:bidi w:val="0"/>
              <w:spacing w:before="0" w:after="283"/>
              <w:jc w:val="left"/>
              <w:rPr/>
            </w:pPr>
            <w:hyperlink w:anchor="e26030_003">
              <w:r>
                <w:rPr>
                  <w:rStyle w:val="InternetLink"/>
                  <w:rFonts w:ascii="Times New Roman;Times;Serif" w:hAnsi="Times New Roman;Times;Serif"/>
                  <w:b w:val="false"/>
                  <w:i w:val="false"/>
                  <w:caps w:val="false"/>
                  <w:smallCaps w:val="false"/>
                  <w:sz w:val="20"/>
                </w:rPr>
                <w:t>FORWARD-LOOKING STATEMENTS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5915" w:type="dxa"/>
            <w:tcBorders/>
            <w:vAlign w:val="center"/>
          </w:tcPr>
          <w:p>
            <w:pPr>
              <w:pStyle w:val="TableContents"/>
              <w:bidi w:val="0"/>
              <w:spacing w:before="0" w:after="283"/>
              <w:jc w:val="left"/>
              <w:rPr/>
            </w:pPr>
            <w:hyperlink w:anchor="e26030_004">
              <w:r>
                <w:rPr>
                  <w:rStyle w:val="InternetLink"/>
                  <w:rFonts w:ascii="Times New Roman;Times;Serif" w:hAnsi="Times New Roman;Times;Serif"/>
                  <w:b w:val="false"/>
                  <w:i w:val="false"/>
                  <w:caps w:val="false"/>
                  <w:smallCaps w:val="false"/>
                  <w:sz w:val="20"/>
                </w:rPr>
                <w:t>THE COMPANY</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915" w:type="dxa"/>
            <w:tcBorders/>
            <w:vAlign w:val="center"/>
          </w:tcPr>
          <w:p>
            <w:pPr>
              <w:pStyle w:val="TableContents"/>
              <w:bidi w:val="0"/>
              <w:spacing w:before="0" w:after="283"/>
              <w:jc w:val="left"/>
              <w:rPr/>
            </w:pPr>
            <w:hyperlink w:anchor="e26030_005">
              <w:r>
                <w:rPr>
                  <w:rStyle w:val="InternetLink"/>
                  <w:rFonts w:ascii="Times New Roman;Times;Serif" w:hAnsi="Times New Roman;Times;Serif"/>
                  <w:b w:val="false"/>
                  <w:i w:val="false"/>
                  <w:caps w:val="false"/>
                  <w:smallCaps w:val="false"/>
                  <w:sz w:val="20"/>
                </w:rPr>
                <w:t>RISK FACTORS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915" w:type="dxa"/>
            <w:tcBorders/>
            <w:vAlign w:val="center"/>
          </w:tcPr>
          <w:p>
            <w:pPr>
              <w:pStyle w:val="TableContents"/>
              <w:bidi w:val="0"/>
              <w:spacing w:before="0" w:after="283"/>
              <w:jc w:val="left"/>
              <w:rPr/>
            </w:pPr>
            <w:hyperlink w:anchor="e26030_006">
              <w:r>
                <w:rPr>
                  <w:rStyle w:val="InternetLink"/>
                  <w:rFonts w:ascii="Times New Roman;Times;Serif" w:hAnsi="Times New Roman;Times;Serif"/>
                  <w:b w:val="false"/>
                  <w:i w:val="false"/>
                  <w:caps w:val="false"/>
                  <w:smallCaps w:val="false"/>
                  <w:sz w:val="20"/>
                </w:rPr>
                <w:t>USE OF PROCEEDS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915" w:type="dxa"/>
            <w:tcBorders/>
            <w:vAlign w:val="center"/>
          </w:tcPr>
          <w:p>
            <w:pPr>
              <w:pStyle w:val="TableContents"/>
              <w:bidi w:val="0"/>
              <w:spacing w:before="0" w:after="283"/>
              <w:jc w:val="left"/>
              <w:rPr/>
            </w:pPr>
            <w:hyperlink w:anchor="e26030_007">
              <w:r>
                <w:rPr>
                  <w:rStyle w:val="InternetLink"/>
                  <w:rFonts w:ascii="Times New Roman;Times;Serif" w:hAnsi="Times New Roman;Times;Serif"/>
                  <w:b w:val="false"/>
                  <w:i w:val="false"/>
                  <w:caps w:val="false"/>
                  <w:smallCaps w:val="false"/>
                  <w:sz w:val="20"/>
                </w:rPr>
                <w:t>DESCRIPTION OF SECURITIES WE MAY OFFER</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15" w:type="dxa"/>
            <w:tcBorders/>
            <w:vAlign w:val="center"/>
          </w:tcPr>
          <w:p>
            <w:pPr>
              <w:pStyle w:val="TableContents"/>
              <w:bidi w:val="0"/>
              <w:spacing w:before="0" w:after="283"/>
              <w:jc w:val="left"/>
              <w:rPr/>
            </w:pPr>
            <w:hyperlink w:anchor="e26030_008">
              <w:r>
                <w:rPr>
                  <w:rStyle w:val="InternetLink"/>
                  <w:rFonts w:ascii="Times New Roman;Times;Serif" w:hAnsi="Times New Roman;Times;Serif"/>
                  <w:b w:val="false"/>
                  <w:i w:val="false"/>
                  <w:caps w:val="false"/>
                  <w:smallCaps w:val="false"/>
                  <w:sz w:val="20"/>
                </w:rPr>
                <w:t>DESCRIPTION OF COMMON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15" w:type="dxa"/>
            <w:tcBorders/>
            <w:vAlign w:val="center"/>
          </w:tcPr>
          <w:p>
            <w:pPr>
              <w:pStyle w:val="TableContents"/>
              <w:bidi w:val="0"/>
              <w:spacing w:before="0" w:after="283"/>
              <w:jc w:val="left"/>
              <w:rPr/>
            </w:pPr>
            <w:hyperlink w:anchor="e26030_009">
              <w:r>
                <w:rPr>
                  <w:rStyle w:val="InternetLink"/>
                  <w:rFonts w:ascii="Times New Roman;Times;Serif" w:hAnsi="Times New Roman;Times;Serif"/>
                  <w:b w:val="false"/>
                  <w:i w:val="false"/>
                  <w:caps w:val="false"/>
                  <w:smallCaps w:val="false"/>
                  <w:sz w:val="20"/>
                </w:rPr>
                <w:t>DESCRIPTION OF PREFERRED STOCK</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915" w:type="dxa"/>
            <w:tcBorders/>
            <w:vAlign w:val="center"/>
          </w:tcPr>
          <w:p>
            <w:pPr>
              <w:pStyle w:val="TableContents"/>
              <w:bidi w:val="0"/>
              <w:spacing w:before="0" w:after="283"/>
              <w:jc w:val="left"/>
              <w:rPr/>
            </w:pPr>
            <w:hyperlink w:anchor="e26030_010">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915" w:type="dxa"/>
            <w:tcBorders/>
            <w:vAlign w:val="center"/>
          </w:tcPr>
          <w:p>
            <w:pPr>
              <w:pStyle w:val="TableContents"/>
              <w:bidi w:val="0"/>
              <w:spacing w:before="0" w:after="283"/>
              <w:jc w:val="left"/>
              <w:rPr/>
            </w:pPr>
            <w:hyperlink w:anchor="e26030_011">
              <w:r>
                <w:rPr>
                  <w:rStyle w:val="InternetLink"/>
                  <w:rFonts w:ascii="Times New Roman;Times;Serif" w:hAnsi="Times New Roman;Times;Serif"/>
                  <w:b w:val="false"/>
                  <w:i w:val="false"/>
                  <w:caps w:val="false"/>
                  <w:smallCaps w:val="false"/>
                  <w:sz w:val="20"/>
                </w:rPr>
                <w:t>DESCRIPTION OF DEPOSITARY SHARES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5915" w:type="dxa"/>
            <w:tcBorders/>
            <w:vAlign w:val="center"/>
          </w:tcPr>
          <w:p>
            <w:pPr>
              <w:pStyle w:val="TableContents"/>
              <w:bidi w:val="0"/>
              <w:spacing w:before="0" w:after="283"/>
              <w:jc w:val="left"/>
              <w:rPr/>
            </w:pPr>
            <w:hyperlink w:anchor="e26030_012">
              <w:r>
                <w:rPr>
                  <w:rStyle w:val="InternetLink"/>
                  <w:rFonts w:ascii="Times New Roman;Times;Serif" w:hAnsi="Times New Roman;Times;Serif"/>
                  <w:b w:val="false"/>
                  <w:i w:val="false"/>
                  <w:caps w:val="false"/>
                  <w:smallCaps w:val="false"/>
                  <w:sz w:val="20"/>
                </w:rPr>
                <w:t>DESCRIPTION OF WARRANTS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915" w:type="dxa"/>
            <w:tcBorders/>
            <w:vAlign w:val="center"/>
          </w:tcPr>
          <w:p>
            <w:pPr>
              <w:pStyle w:val="TableContents"/>
              <w:bidi w:val="0"/>
              <w:spacing w:before="0" w:after="283"/>
              <w:jc w:val="left"/>
              <w:rPr/>
            </w:pPr>
            <w:hyperlink w:anchor="e26030_013">
              <w:r>
                <w:rPr>
                  <w:rStyle w:val="InternetLink"/>
                  <w:rFonts w:ascii="Times New Roman;Times;Serif" w:hAnsi="Times New Roman;Times;Serif"/>
                  <w:b w:val="false"/>
                  <w:i w:val="false"/>
                  <w:caps w:val="false"/>
                  <w:smallCaps w:val="false"/>
                  <w:sz w:val="20"/>
                </w:rPr>
                <w:t>DESCRIPTION OF PURCHASE CONTRACTS AND PURCHASE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5915" w:type="dxa"/>
            <w:tcBorders/>
            <w:vAlign w:val="center"/>
          </w:tcPr>
          <w:p>
            <w:pPr>
              <w:pStyle w:val="TableContents"/>
              <w:bidi w:val="0"/>
              <w:spacing w:before="0" w:after="283"/>
              <w:jc w:val="left"/>
              <w:rPr/>
            </w:pPr>
            <w:hyperlink w:anchor="e26030_014">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5915" w:type="dxa"/>
            <w:tcBorders/>
            <w:vAlign w:val="center"/>
          </w:tcPr>
          <w:p>
            <w:pPr>
              <w:pStyle w:val="TableContents"/>
              <w:bidi w:val="0"/>
              <w:spacing w:before="0" w:after="283"/>
              <w:jc w:val="left"/>
              <w:rPr/>
            </w:pPr>
            <w:hyperlink w:anchor="e26030_015">
              <w:r>
                <w:rPr>
                  <w:rStyle w:val="InternetLink"/>
                  <w:rFonts w:ascii="Times New Roman;Times;Serif" w:hAnsi="Times New Roman;Times;Serif"/>
                  <w:b w:val="false"/>
                  <w:i w:val="false"/>
                  <w:caps w:val="false"/>
                  <w:smallCaps w:val="false"/>
                  <w:sz w:val="20"/>
                </w:rPr>
                <w:t>DESCRIPTION OF UNITS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5915" w:type="dxa"/>
            <w:tcBorders/>
            <w:vAlign w:val="center"/>
          </w:tcPr>
          <w:p>
            <w:pPr>
              <w:pStyle w:val="TableContents"/>
              <w:bidi w:val="0"/>
              <w:spacing w:before="0" w:after="283"/>
              <w:jc w:val="left"/>
              <w:rPr/>
            </w:pPr>
            <w:hyperlink w:anchor="e26030_016">
              <w:r>
                <w:rPr>
                  <w:rStyle w:val="InternetLink"/>
                  <w:rFonts w:ascii="Times New Roman;Times;Serif" w:hAnsi="Times New Roman;Times;Serif"/>
                  <w:b w:val="false"/>
                  <w:i w:val="false"/>
                  <w:caps w:val="false"/>
                  <w:smallCaps w:val="false"/>
                  <w:sz w:val="20"/>
                </w:rPr>
                <w:t>PLAN OF DISTRIBUTION</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5915" w:type="dxa"/>
            <w:tcBorders/>
            <w:vAlign w:val="center"/>
          </w:tcPr>
          <w:p>
            <w:pPr>
              <w:pStyle w:val="TableContents"/>
              <w:bidi w:val="0"/>
              <w:spacing w:before="0" w:after="283"/>
              <w:jc w:val="left"/>
              <w:rPr/>
            </w:pPr>
            <w:hyperlink w:anchor="e26030_017">
              <w:r>
                <w:rPr>
                  <w:rStyle w:val="InternetLink"/>
                  <w:rFonts w:ascii="Times New Roman;Times;Serif" w:hAnsi="Times New Roman;Times;Serif"/>
                  <w:b w:val="false"/>
                  <w:i w:val="false"/>
                  <w:caps w:val="false"/>
                  <w:smallCaps w:val="false"/>
                  <w:sz w:val="20"/>
                </w:rPr>
                <w:t>LEGAL MATTERS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915" w:type="dxa"/>
            <w:tcBorders/>
            <w:vAlign w:val="center"/>
          </w:tcPr>
          <w:p>
            <w:pPr>
              <w:pStyle w:val="TableContents"/>
              <w:bidi w:val="0"/>
              <w:spacing w:before="0" w:after="283"/>
              <w:jc w:val="left"/>
              <w:rPr/>
            </w:pPr>
            <w:hyperlink w:anchor="e26030_018">
              <w:r>
                <w:rPr>
                  <w:rStyle w:val="InternetLink"/>
                  <w:rFonts w:ascii="Times New Roman;Times;Serif" w:hAnsi="Times New Roman;Times;Serif"/>
                  <w:b w:val="false"/>
                  <w:i w:val="false"/>
                  <w:caps w:val="false"/>
                  <w:smallCaps w:val="false"/>
                  <w:sz w:val="20"/>
                </w:rPr>
                <w:t>EXPERTS</w:t>
              </w:r>
            </w:hyperlink>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5" w:name="e26030_001"/>
      <w:bookmarkEnd w:id="15"/>
      <w:r>
        <w:rPr>
          <w:rFonts w:ascii="Times New Roman;Times;Serif" w:hAnsi="Times New Roman;Times;Serif"/>
          <w:b/>
          <w:i w:val="false"/>
          <w:caps w:val="false"/>
          <w:smallCaps w:val="false"/>
          <w:sz w:val="20"/>
        </w:rPr>
        <w:t>ABOUT THIS PROSPECTUS</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(“SEC”), using a “shelf” registration process. Under this shelf registration statement, we may offer and sell from time to time, separately or together, any combination of our common stock, preferred stock, debt securities, depositary shares, warrants, purchase contracts, purchase units, subscription rights and units in one or more offerings at an aggregate offering price of up to $300,000,000. The preferred stock, debt securities, warrants, purchase contracts, purchase units, subscription rights and units may be convertible into, or exercisable or exchangeable for, our common or preferred stock or other securities issued by us, or debt or equity securities issued by one or more other entities.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We may also prepare free writing prospectuses that describe particular securities. Any free 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 Unless otherwise indicated or the context otherwise requires, all references in this prospectus to “Five Star,” “we,” “our,” “us,” “our company” and “the Company” refer to Five Star Bancorp, a California corporation and the bank holding company for Five Star Bank, our principal subsidiary and a California state-chartered bank.</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the “Investor Relations” page of our website at https://investors.fivestarbank.com/. The reference to our website is not intended to be an active link and the information on, or that can be accessed through, our website is not, and you must not consider the information to be, a part of this prospectus or any other filings we make with the SEC.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authorized anyone to provide you with information in addition to or different from that contained or incorporated by reference in this prospectus or any applicable prospectus supplement or free writing prospectus prepared by us or on our behalf. We take no responsibility for, and can provide no assurance as to the reliability of, any information that others may provide. We are not making an offer to sell or soliciting an offer to buy our securities under any circumstances where the offer or solicitation is not permitted. You should not assume that the information in this prospectus, any applicable prospectus supplement or any free writing prospectus that we have prepared is accurate as of any date other than the date of those documents, and that any information in documents that we have incorporated by reference is accurate only as of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6" w:name="e26030_002"/>
      <w:bookmarkEnd w:id="16"/>
      <w:r>
        <w:rPr>
          <w:rFonts w:ascii="Times New Roman;Times;Serif" w:hAnsi="Times New Roman;Times;Serif"/>
          <w:b/>
          <w:i w:val="false"/>
          <w:caps w:val="false"/>
          <w:smallCaps w:val="false"/>
          <w:sz w:val="20"/>
        </w:rPr>
        <w:t>WHERE YOU CAN FIND MORE INFORMATION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on the SEC’s website at www.sec.gov.</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in documents we file with the SEC, which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001-40379 unless otherwise stated), which are considered to be a part of this prospectus:</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10">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February 28, 2025 (including the portions of our Definitive Proxy Statement on </w:t>
            </w:r>
            <w:hyperlink r:id="rId1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April 2, 2025, incorporated by reference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jc w:val="left"/>
              <w:rPr/>
            </w:pPr>
            <w:r>
              <w:rPr>
                <w:rFonts w:ascii="Times New Roman;Times;Serif" w:hAnsi="Times New Roman;Times;Serif"/>
                <w:b w:val="false"/>
                <w:i w:val="false"/>
                <w:caps w:val="false"/>
                <w:smallCaps w:val="false"/>
                <w:sz w:val="20"/>
              </w:rPr>
              <w:t xml:space="preserve">our Quarterly Reports on Form 10-Q for the quarter ended </w:t>
            </w:r>
            <w:hyperlink r:id="rId12">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filed with the SEC on May 8, 2025, for the quarter ended </w:t>
            </w:r>
            <w:hyperlink r:id="rId13">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filed with the SEC on August 7, 2025, and for the quarter ended </w:t>
            </w:r>
            <w:hyperlink r:id="rId14">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filed with the SEC on November 6, 2025;</w:t>
            </w:r>
          </w:p>
          <w:p>
            <w:pPr>
              <w:pStyle w:val="TableContents"/>
              <w:bidi w:val="0"/>
              <w:spacing w:before="0" w:after="283"/>
              <w:ind w:left="0" w:right="0" w:firstLine="72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15">
              <w:r>
                <w:rPr>
                  <w:rStyle w:val="InternetLink"/>
                  <w:rFonts w:ascii="Times New Roman;Times;Serif" w:hAnsi="Times New Roman;Times;Serif"/>
                  <w:b w:val="false"/>
                  <w:i w:val="false"/>
                  <w:caps w:val="false"/>
                  <w:smallCaps w:val="false"/>
                  <w:sz w:val="20"/>
                </w:rPr>
                <w:t>April 23,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20,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9,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25, 2025</w:t>
              </w:r>
            </w:hyperlink>
            <w:r>
              <w:rPr>
                <w:rFonts w:ascii="Times New Roman;Times;Serif" w:hAnsi="Times New Roman;Times;Serif"/>
                <w:b w:val="false"/>
                <w:i w:val="false"/>
                <w:caps w:val="false"/>
                <w:smallCaps w:val="false"/>
                <w:sz w:val="20"/>
              </w:rPr>
              <w:t xml:space="preserve">; and </w:t>
            </w:r>
            <w:hyperlink r:id="rId19">
              <w:r>
                <w:rPr>
                  <w:rStyle w:val="InternetLink"/>
                  <w:rFonts w:ascii="Times New Roman;Times;Serif" w:hAnsi="Times New Roman;Times;Serif"/>
                  <w:b w:val="false"/>
                  <w:i w:val="false"/>
                  <w:caps w:val="false"/>
                  <w:smallCaps w:val="false"/>
                  <w:sz w:val="20"/>
                </w:rPr>
                <w:t>November 5, 2025</w:t>
              </w:r>
            </w:hyperlink>
            <w:r>
              <w:rPr>
                <w:rFonts w:ascii="Times New Roman;Times;Serif" w:hAnsi="Times New Roman;Times;Serif"/>
                <w:b w:val="false"/>
                <w:i w:val="false"/>
                <w:caps w:val="false"/>
                <w:smallCaps w:val="false"/>
                <w:sz w:val="20"/>
              </w:rPr>
              <w: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description of our common stock contained in our Registration Statement on Form S-1 (File No. 333-255143), which was incorporated by reference into our Registration Statement on </w:t>
            </w:r>
            <w:hyperlink r:id="rId2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pursuant to Section 12(b) of the Securities Exchange Act of 1934, as amended (the “Exchange Act”), on May 3, 2021, including any amendment or report filed with the SEC for purposes of updating such description.</w:t>
            </w:r>
          </w:p>
        </w:tc>
      </w:tr>
    </w:tbl>
    <w:p>
      <w:pPr>
        <w:pStyle w:val="TextBody"/>
        <w:bidi w:val="0"/>
        <w:ind w:left="108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with the SEC under Sections 13(a), 13(c), 14 or 15(d) of the Exchange Act, including all such reports and other documents filed with the SEC after the date of the initial filing of the registration statement of which this prospectus forms a part and prior to the effectiveness of such registration statement, until our offering is completed will also be incorporated by reference into this prospectus and deemed to be part hereof (other than any information furnished to, rather than filed with, the SEC, unless expressly stated otherwise therein). The most recent information that we file with the SEC automatically updates and supersedes older information. The information contained in any such filing will be deemed to be a part of this prospectus commencing on the date on which the document is filed.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incorporated by reference into this prospectus are available without charge to you, upon written request on the Internet at https://investors.fivestarbank.com/ or upon written or oral request by contacting Heather Luck, Executive Vice President and Chief Financial Officer, at 3100 Zinfandel Drive, Suite 100, Rancho Cordova, California 95670, (916) 626-5000. The reference to our website is not intended to be an active link and the information on, or that can be accessed through, our website is not, and you must not consider the information to be, a part of this prospectus or any other filings we make with the SEC.</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7" w:name="e26030_003"/>
      <w:bookmarkEnd w:id="17"/>
      <w:r>
        <w:rPr>
          <w:rFonts w:ascii="Times New Roman;Times;Serif" w:hAnsi="Times New Roman;Times;Serif"/>
          <w:b/>
          <w:i w:val="false"/>
          <w:caps w:val="false"/>
          <w:smallCaps w:val="false"/>
          <w:sz w:val="20"/>
        </w:rPr>
        <w:t>FORWARD-LOOKING STATEMENTS</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or incorporated by reference in this prospectus and each prospectus supplement may not be based on historical facts and are “forward-looking statements” within the meaning of Section 27A of the Securities Act, and Section 21E of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“aim,” “intends” and similar words or phrases. All forward-looking statements, expressed or implied, included herewith are expressly qualified in their entirety by the cautionary statements contained or referred to herein. The inclusion of forward-looking information in this prospectus and each prospectus supplement, and the documents incorporated by reference herein and therein,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We caution that the forward-looking statements are based largely on our expectations and are subject to a number of known and unknown risks and uncertainties that are subject to change based on factors which are, in many instances, beyond our control. Factors that may affect our results are disclosed in “Risk Factors” beginning on page 2 of this prospectus, and in the documents incorporated by reference into this prospectus and included or incorporated by reference into, and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in our Annual Report on Form 10-K for the year ended December 31, 2024. Some of the risks and uncertainties that may cause our actual results, performance or achievements to differ materially from those expressed include, but are not limited to, the following: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concentration of our business in California, and specifically within Northern California, including risks associated with any downturn in the real estate sector;</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interest rates that affect the pricing of our loans and deposits, our net interest income, and our borrowers’ ability to repay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U.S. economy, including an economic slowdown, recession, inflation, deflation, tariffs, housing prices, employment levels, rate of growth, and general business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market conditions and economic trends nationally, regionally, and particularly in Northern California and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recent and future legislative and regulatory changes, including changes in banking, securities, and tax laws and regulations and their application by our regulators;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increased competition from a wide variety of local, regional, national, and other providers of financial and investment services;</w:t>
            </w:r>
          </w:p>
        </w:tc>
      </w:tr>
    </w:tbl>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our loan portfolios, and specifically with our commercial real estate loans;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adequate liquidity and to maintain capital necessary to fund our growth strategy and operations and to satisfy minimum regulatory capital levels;</w:t>
            </w:r>
          </w:p>
        </w:tc>
      </w:tr>
    </w:tbl>
    <w:tbl>
      <w:tblPr>
        <w:tblW w:w="6873" w:type="dxa"/>
        <w:jc w:val="left"/>
        <w:tblInd w:w="0" w:type="dxa"/>
        <w:tblLayout w:type="fixed"/>
        <w:tblCellMar>
          <w:top w:w="0" w:type="dxa"/>
          <w:left w:w="0" w:type="dxa"/>
          <w:bottom w:w="0" w:type="dxa"/>
          <w:right w:w="0" w:type="dxa"/>
        </w:tblCellMar>
      </w:tblPr>
      <w:tblGrid>
        <w:gridCol w:w="38"/>
        <w:gridCol w:w="11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strategic focus on lending to small to medium-sized businesses;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the assumptions and estimates we make in establishing reserves for potential loan losses and the value of loan collateral and securities;</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120" w:after="240"/>
        <w:jc w:val="left"/>
        <w:rPr/>
      </w:pPr>
      <w:r>
        <w:rPr/>
        <w:t> </w:t>
      </w:r>
    </w:p>
    <w:tbl>
      <w:tblPr>
        <w:tblW w:w="7893" w:type="dxa"/>
        <w:jc w:val="left"/>
        <w:tblInd w:w="0" w:type="dxa"/>
        <w:tblLayout w:type="fixed"/>
        <w:tblCellMar>
          <w:top w:w="0" w:type="dxa"/>
          <w:left w:w="0" w:type="dxa"/>
          <w:bottom w:w="0" w:type="dxa"/>
          <w:right w:w="0" w:type="dxa"/>
        </w:tblCellMar>
      </w:tblPr>
      <w:tblGrid>
        <w:gridCol w:w="38"/>
        <w:gridCol w:w="11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of nonperforming assets and the costs associated with resolving problem loans, if any;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various governmental and regulatory requirements applicable to financial institutions, including supervisory actions by federal and state banking agencies;</w:t>
            </w:r>
          </w:p>
        </w:tc>
      </w:tr>
    </w:tbl>
    <w:tbl>
      <w:tblPr>
        <w:tblW w:w="7413" w:type="dxa"/>
        <w:jc w:val="left"/>
        <w:tblInd w:w="0" w:type="dxa"/>
        <w:tblLayout w:type="fixed"/>
        <w:tblCellMar>
          <w:top w:w="0" w:type="dxa"/>
          <w:left w:w="0" w:type="dxa"/>
          <w:bottom w:w="0" w:type="dxa"/>
          <w:right w:w="0" w:type="dxa"/>
        </w:tblCellMar>
      </w:tblPr>
      <w:tblGrid>
        <w:gridCol w:w="38"/>
        <w:gridCol w:w="11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monetary and fiscal policies, including the policies of the Federal Reserve;</w:t>
            </w:r>
          </w:p>
        </w:tc>
      </w:tr>
    </w:tbl>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unauthorized access, cybersecurity breaches, cyber-crime, and other threats to data security;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maintain, and improve effective risk management framework, disclosure controls and procedures, and internal controls over financial reporting;</w:t>
            </w:r>
          </w:p>
        </w:tc>
      </w:tr>
    </w:tbl>
    <w:tbl>
      <w:tblPr>
        <w:tblW w:w="9663" w:type="dxa"/>
        <w:jc w:val="left"/>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adopt and successfully integrate new initiatives or technologies into our business in a strategic manner;</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executive officers and key employees and their customer and community relationships;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future U.S. federal government shutdown and uncertainty regarding the U.S. federal government’s debt limit and credit rating;</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or impact of climate change or natural or man-made disasters or calamities, such as wildfires, droughts, mudslides, floods, and earthquakes, and particularly in California, and specifically Northern California;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and impact of local, regional, and global business, economic, and political conditions and geopolitical events, such as pandemics, civil unrest, wars, and acts of terrorism;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are discussed in the sections entitled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on our Annual Report on Form 10-K for the year ended December 31, 2024 and our Quarterly Report on Form 10-Q for the quarter ended September 30, 2025.</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construed as exhaustive and should be read together with the other cautionary statements included or incorporated by reference in this prospectus. If one or more events related to these or other risks or uncertainties materialize, or if our underlying assumptions prove to be incorrect, actual results may differ materially from what we anticipate. You are cautioned not to place undue reliance on forward-looking statements.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required by law.</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8" w:name="e26030_004"/>
      <w:bookmarkEnd w:id="18"/>
      <w:r>
        <w:rPr>
          <w:rFonts w:ascii="Times New Roman;Times;Serif" w:hAnsi="Times New Roman;Times;Serif"/>
          <w:b/>
          <w:i w:val="false"/>
          <w:caps w:val="false"/>
          <w:smallCaps w:val="false"/>
          <w:sz w:val="20"/>
        </w:rPr>
        <w:t>THE COMPANY</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the greater Sacramento metropolitan area of California, Five Star Bancorp is a bank holding company that operates through its wholly owned subsidiary, Five Star Bank (the “Bank”), a California state-chartered non-member bank. The Bank began operations on December 20, 1999. The Company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broad range of banking products and services to small and medium-sized businesses, professionals, and individuals primarily in Northern California through nine branch offices. The Bank’s deposits are insured in whole or in part by the Federal Deposit Insurance Corporation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At September 30, 2025, we had total assets of $4.6 billion, total loans held for investment of $3.9 billion, and total deposits of $4.1 billion.</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and our subsidiaries is included in documents incorporated by reference in this 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19" w:name="e26030_005"/>
      <w:bookmarkEnd w:id="19"/>
      <w:r>
        <w:rPr>
          <w:rFonts w:ascii="Times New Roman;Times;Serif" w:hAnsi="Times New Roman;Times;Serif"/>
          <w:b/>
          <w:i w:val="false"/>
          <w:caps w:val="false"/>
          <w:smallCaps w:val="false"/>
          <w:sz w:val="20"/>
        </w:rPr>
        <w:t>RISK FACTORS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securities issued by us involves certain risks. Before you invest in any securities issued by us, in addition to the other information included in, or incorporated by reference into, this prospectus, as well as the information contained in any applicable prospectus supplement, you should carefully consider the risk factors contained in the section titled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 and elsewhere in our Annual Report on Form 10-K for the year ended December 31, 2024, which is incorporated by reference into this prospectus, as updated by our Annual or Quarterly Reports for subsequent fiscal years or fiscal quarters that we file with the SEC and that are so incorporated.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information about how to obtain a copy of these documents. You should also carefully consider the risks and other information that may be contained in, or incorporated by reference into, any prospectus supplement relating to specific offerings of securities. Additional risks and uncertainties not presently known to us or that we currently deem immaterial may also materially and adversely affect our business and operations.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0" w:name="e26030_006"/>
      <w:bookmarkEnd w:id="20"/>
      <w:r>
        <w:rPr>
          <w:rFonts w:ascii="Times New Roman;Times;Serif" w:hAnsi="Times New Roman;Times;Serif"/>
          <w:b/>
          <w:i w:val="false"/>
          <w:caps w:val="false"/>
          <w:smallCaps w:val="false"/>
          <w:sz w:val="20"/>
        </w:rPr>
        <w:t>USE OF PROCEEDS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sales of the securities in the manner and for the purposes that will be set forth in the applicable prospectus supplement, which may include general corporate purposes.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1" w:name="e26030_007"/>
      <w:bookmarkEnd w:id="21"/>
      <w:r>
        <w:rPr>
          <w:rFonts w:ascii="Times New Roman;Times;Serif" w:hAnsi="Times New Roman;Times;Serif"/>
          <w:b/>
          <w:i w:val="false"/>
          <w:caps w:val="false"/>
          <w:smallCaps w:val="false"/>
          <w:sz w:val="20"/>
        </w:rPr>
        <w:t>DESCRIPTION OF SECURITIES WE MAY OFFER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contains summary descriptions of our capital stock. These summary descriptions are not meant to be complete descriptions of each security. The applicable prospectus supplement for an offering may add, update or change the terms and conditions of the securities as described in this prospectus. The following description of our capital stock does not purport to be complete and is subject to, and qualified in its entirety by, our Amended and Restated Articles of Incorporation (the “articles”) and Second Amended and Restated Bylaws (the “bylaws”), each of which is incorporated by reference as an exhibit to the registration statement of which this prospectus forms a part, and to applicable California law, including the General Corporation Law of California (the “CGCL”). We urge you to read these documents for a more complete understanding of shareholder rights.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2" w:name="e26030_008"/>
      <w:bookmarkEnd w:id="22"/>
      <w:r>
        <w:rPr>
          <w:rFonts w:ascii="Times New Roman;Times;Serif" w:hAnsi="Times New Roman;Times;Serif"/>
          <w:b/>
          <w:i w:val="false"/>
          <w:caps w:val="false"/>
          <w:smallCaps w:val="false"/>
          <w:sz w:val="20"/>
        </w:rPr>
        <w:t>DESCRIPTION OF COMMON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issue, separately or together with, or upon conversion, exercise or exchange of other securities, shares of our common stock as set forth in the applicable prospectus supplement. The following section describes the material features and rights of our common stock, no par value per share. This summary does not purport to be exhaustive and is qualified in its entirety by reference to our articles and bylaws, each of which is incorporated by reference as an exhibit to the registration statement of which this prospectus forms a part, and to applicable provisions of California and federal law and regulations for additional information.</w:t>
      </w:r>
    </w:p>
    <w:p>
      <w:pPr>
        <w:pStyle w:val="TextBody"/>
        <w:bidi w:val="0"/>
        <w:ind w:left="0" w:right="0" w:firstLine="72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100,000,000 shares of common stock with no par or stated value, and 10,000,000 shares of undesignated preferred stock, the terms of which may be established by board of directors by resolution. As of January 30, 2026, 21,376,153 shares of our common stock were outstanding, and no shares of preferred stock were designated or outstanding.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 aggregate of 1,361,866 shares of common stock are reserved for issuance under the Company’s 2021 Equity Incentive Plan.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fully paid and nonassessable.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has the same relative rights as, and is identical in all respects with, each other share of our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Majority Written Consent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per share on all matters requiring shareholder action, including the election of directors. Our bylaws provide that a majority of the shares entitled to vote at a shareholders’ meeting, represented in person or by proxy, shall constitute a quorum. When a quorum is present, the affirmative vote of a majority of the shares represented at the meeting and entitled to vote, such affirmatively voting shares constituting at least a majority of the required quorum, are required to take action, unless otherwise specified by law or our articles and except for the election of directors, which are determined by a majority vote. There are no cumulative voting rights.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that, under any provision of the CGCL, may be taken at a meeting of the shareholders, may be taken without a meeting and without prior notice if a consent in writing, setting forth the action so taken, shall be signed by the holders of the outstanding shares having not less than the minimum number of votes that would be necessary to authorize or take such action at a meeting at which all shares are entitled to vote thereon were present and voted; provided, that unless the consents of all shareholders entitled to vote have been solicited in writing, notice of any shareholder approval without a meeting by less than unanimous consent must be given as required under the CGCL, to such shareholders who are required to receive such notice under the CGCL; and provided, further, that directors may be elected by written consent only if signed by the holders of all outstanding shares entitled to vote for the election of directors, except that action taken by shareholders to fill one or more vacancies on the board of directors (other than any vacancy created by removal) that has not been filled by the board of directors may be taken by written consent of a majority of the outstanding shares entitled to vote.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 up of the Company, subject to the rights of the holders of any then outstanding shares of preferred stock, the holders of our common stock are entitled to receive all of our assets remaining after satisfaction of all our liabilities and the payment of any liquidation preference of any outstanding preferred stock. There are no redemption or sinking fund provisions applicable to our common stock.</w:t>
      </w:r>
    </w:p>
    <w:p>
      <w:pPr>
        <w:pStyle w:val="TextBody"/>
        <w:bidi w:val="0"/>
        <w:ind w:left="0" w:right="0" w:firstLine="40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dividends is subject to the restrictions set forth in the CGCL. The CGCL provides that neither a company nor any of its subsidiaries shall make any distribution to its shareholders unless: (i) the amount of retained earnings of the company immediately prior to the distribution equals or exceeds the sum of (a) the amount of the proposed distribution plus (b) the preferential dividends arrears amount (as calculated pursuant to Section 500(b) of the CGCL), or (ii) following the distribution, the value of the company’s assets would equal or exceed the sum of its total liabilities plus the preferential rights amount (as calculated pursuant to Section 500(b) of the CGCL).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may receive dividends when, as and if declared by our board of directors out of funds legally available for the payment of dividends, subject to any restrictions imposed by regulatory authorities and the payment of any preferential amounts to which any class of preferred stock may be entitled. Our future dividend policy is subject to the discretion of our board of directors and will depend upon a number of factors, including future earnings, financial condition, liquidity, and general business conditions. Our ability to pay dividends is subject to statutory and regulatory limitations applicable to us and the Bank.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Ownership of Company Common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a third party to acquire our stock is also limited under applicable U.S. banking laws, and regulatory approval for the acquisition of our stock may be required under certain circumstances. The Bank Holding Company Act of 1956, as amended (the “BHC Act”) requires any bank holding company to obtain the approval of the Federal Reserve prior to acquiring more than 5% of our outstanding common stock. Any corporation or other company that becomes a holder of 25% or more of our outstanding common stock, or otherwise is deemed to control us under the BHC Act, would be subject to regulation as a bank holding company under the BHC Act. In addition, any person other than a bank holding company may be required to obtain prior approval of the Federal Reserve to acquire 10% or more of our outstanding common stock under the Change in Bank Control Act (the “CBCA”). See the section entitled “</w:t>
      </w:r>
      <w:r>
        <w:rPr>
          <w:rFonts w:ascii="Times New Roman;Times;Serif" w:hAnsi="Times New Roman;Times;Serif"/>
          <w:b w:val="false"/>
          <w:i/>
          <w:caps w:val="false"/>
          <w:smallCaps w:val="false"/>
          <w:sz w:val="20"/>
        </w:rPr>
        <w:t>Supervision and Regulation—Supervision and Regulation of the Company—Federal Oversight Over Mergers and Acquisitions, Investments and Activities</w:t>
      </w:r>
      <w:r>
        <w:rPr>
          <w:rFonts w:ascii="Times New Roman;Times;Serif" w:hAnsi="Times New Roman;Times;Serif"/>
          <w:b w:val="false"/>
          <w:i w:val="false"/>
          <w:caps w:val="false"/>
          <w:smallCaps w:val="false"/>
          <w:sz w:val="20"/>
        </w:rPr>
        <w:t>” in our Annual Report on Form 10-K for the year ended December 31, 2024 for additional description of these federal law restrictions on ownership of our common stock. Further, prior approval of the California Commissioner of Financial Protection and Innovation is required for any person to acquire control of us, and control for these purposes is presumed to exist when a person owns 10% or more of our outstanding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Provisions for Shareholder Nominations and Shareholder Proposals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shareholders must provide advance notice of any proposal or nomination for election as a director which a shareholder desires to bring before a meeting of shareholders. Such requirements are in addition to any requirements under SEC Rule 14a-8 or Rule 14a-19, as applicable, for shareholder proposals or director nominations sought to be included in the Company’s proxy materials.</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the issuance of up to 10,000,000 shares of preferred stock with such designations, powers, preferences and rights as our board of directors may from time to time determine.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shares of authorized undesignated preferred stock enables us to meet possible contingencies or opportunities in which the issuance of shares of preferred stock may be advisable, such as in the case of acquisition or financing transactions. Having shares of preferred stock available for issuance gives us flexibility in that it would allow us to avoid the expense and delay of calling a meeting of shareholders at the time the contingency or opportunity arises. Any issuance of preferred stock with voting rights or which is convertible into voting shares could adversely affect the voting power of the holders of common stock. Furthermore, the issuance of preferred stock could adversely affect the likelihood that such holders will receive dividend payments and payments upon liquidation. The shares of preferred stock that may be issued in the future may have other rights, including economic rights senior to our common stock, and, as a result, could have an adverse effect on the market value of our common stock.</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could have an anti-takeover effect and discourage a transaction that some or a majority of our shareholders might believe to be in their best interests or in which our shareholders might receive a premium for their shares over our then-market price.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articles and bylaws, and the CGCL and federal banking regulations applicable to us, may be deemed to have anti-takeover effects and may delay, defer or prevent a change of control of the Company and/or limit the price that certain investors may be willing to pay in the future for shares of our common stock. See the sections entitled “</w:t>
      </w:r>
      <w:r>
        <w:rPr>
          <w:rFonts w:ascii="Times New Roman;Times;Serif" w:hAnsi="Times New Roman;Times;Serif"/>
          <w:b w:val="false"/>
          <w:i/>
          <w:caps w:val="false"/>
          <w:smallCaps w:val="false"/>
          <w:sz w:val="20"/>
        </w:rPr>
        <w:t>Supervision and Regulation—Supervision and Regulation of the Company―Federal Oversight Over Mergers and Acquisitions, Investments and Activities</w:t>
      </w:r>
      <w:r>
        <w:rPr>
          <w:rFonts w:ascii="Times New Roman;Times;Serif" w:hAnsi="Times New Roman;Times;Serif"/>
          <w:b w:val="false"/>
          <w:i w:val="false"/>
          <w:caps w:val="false"/>
          <w:smallCaps w:val="false"/>
          <w:sz w:val="20"/>
        </w:rPr>
        <w:t>” in our Annual Report on Form 10-K for the year ended December 31, 2024 and “</w:t>
      </w:r>
      <w:r>
        <w:rPr>
          <w:rFonts w:ascii="Times New Roman;Times;Serif" w:hAnsi="Times New Roman;Times;Serif"/>
          <w:b w:val="false"/>
          <w:i/>
          <w:caps w:val="false"/>
          <w:smallCaps w:val="false"/>
          <w:sz w:val="20"/>
        </w:rPr>
        <w:t>Restrictions on Ownership of Company Common Stock</w:t>
      </w:r>
      <w:r>
        <w:rPr>
          <w:rFonts w:ascii="Times New Roman;Times;Serif" w:hAnsi="Times New Roman;Times;Serif"/>
          <w:b w:val="false"/>
          <w:i w:val="false"/>
          <w:caps w:val="false"/>
          <w:smallCaps w:val="false"/>
          <w:sz w:val="20"/>
        </w:rPr>
        <w:t>” above for a description of the federal banking regulations applicable to us that may be deemed to have anti-takeover effects.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The corporate laws and regulations applicable to us enable our board of directors to issue, from time to time and at its discretion, but subject to the rules of any applicable securities exchange, any authorized but unissued shares of our common or preferred stock. Any such issuance of shares could be utilized for a variety of corporate purposes, including future offerings to raise additional capital, acquisitions and employee benefit plans. The ability of our board of directors to issue authorized but unissued shares of our common or preferred stock at its sole discretion may enable our board of directors to sell shares to individuals or groups who the board of directors perceives as friendly with management, which may make more difficult unsolicited attempts to obtain control of our organization. In addition, the ability of our board of directors to issue authorized but unissued shares of our capital stock at its sole discretion could deprive the shareholders of opportunities to sell their shares of common stock or preferred stock for prices higher than prevailing market prices.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Our articles contain provisions that permit our board of directors to issue, without any further vote or action by the shareholders, shares of preferred stock in one or more series and, with respect to each such series, to fix the number of shares constituting the series and the designation of the series, the voting rights (if any) of the shares of the series, and the powers, preferences and relative, participation, optional and other special rights, if any, and any qualifications, limitations or restrictions, of the shares of such series.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Board Size and Vacancies</w:t>
      </w:r>
      <w:r>
        <w:rPr>
          <w:rFonts w:ascii="Times New Roman;Times;Serif" w:hAnsi="Times New Roman;Times;Serif"/>
          <w:b w:val="false"/>
          <w:i w:val="false"/>
          <w:caps w:val="false"/>
          <w:smallCaps w:val="false"/>
          <w:sz w:val="20"/>
        </w:rPr>
        <w:t>. Our bylaws enable our board of directors to increase the size of the board of directors between annual meetings and fill the vacancies created by the increase by a majority of the remaining directors.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Cumulative Voting</w:t>
      </w:r>
      <w:r>
        <w:rPr>
          <w:rFonts w:ascii="Times New Roman;Times;Serif" w:hAnsi="Times New Roman;Times;Serif"/>
          <w:b w:val="false"/>
          <w:i w:val="false"/>
          <w:caps w:val="false"/>
          <w:smallCaps w:val="false"/>
          <w:sz w:val="20"/>
        </w:rPr>
        <w:t>. Our bylaws do not permit cumulative voting in the election of directors. In the absence of cumulative voting, the holders of a majority of the shares of our common stock may elect all of the directors standing for election, if they should so choose.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Special Meetings of Shareholders</w:t>
      </w:r>
      <w:r>
        <w:rPr>
          <w:rFonts w:ascii="Times New Roman;Times;Serif" w:hAnsi="Times New Roman;Times;Serif"/>
          <w:b w:val="false"/>
          <w:i w:val="false"/>
          <w:caps w:val="false"/>
          <w:smallCaps w:val="false"/>
          <w:sz w:val="20"/>
        </w:rPr>
        <w:t>. For a special shareholders’ meeting to be called by one or more shareholder(s), our bylaws require the request of holders of at least 10% of the outstanding shares of our capital stock entitled to vote at a meeting to call a special shareholders’ meeting.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Procedures for Director Nominations and Shareholder Proposals</w:t>
      </w:r>
      <w:r>
        <w:rPr>
          <w:rFonts w:ascii="Times New Roman;Times;Serif" w:hAnsi="Times New Roman;Times;Serif"/>
          <w:b w:val="false"/>
          <w:i w:val="false"/>
          <w:caps w:val="false"/>
          <w:smallCaps w:val="false"/>
          <w:sz w:val="20"/>
        </w:rPr>
        <w:t>. Our bylaws establish an advance notice procedure with regard to business to be brought before an annual or special meeting of shareholders and with regard to the nomination of candidates for election as directors, other than by or at the direction of the board of directors. Although this procedure does not give our board of directors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Amending Certain Provisions of our Articles</w:t>
      </w:r>
      <w:r>
        <w:rPr>
          <w:rFonts w:ascii="Times New Roman;Times;Serif" w:hAnsi="Times New Roman;Times;Serif"/>
          <w:b w:val="false"/>
          <w:i w:val="false"/>
          <w:caps w:val="false"/>
          <w:smallCaps w:val="false"/>
          <w:sz w:val="20"/>
        </w:rPr>
        <w:t>. Our articles require a two-thirds vote of the directors then in office and two-thirds vote of our shareholders to modify the sections of our articles addressing limitation of liability and indemnification of our officers and directors, which provide limitation of liability and indemnification to the maximum extent permitted by law, and addressing the amendment of the articles.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Amending our Bylaws</w:t>
      </w:r>
      <w:r>
        <w:rPr>
          <w:rFonts w:ascii="Times New Roman;Times;Serif" w:hAnsi="Times New Roman;Times;Serif"/>
          <w:b w:val="false"/>
          <w:i w:val="false"/>
          <w:caps w:val="false"/>
          <w:smallCaps w:val="false"/>
          <w:sz w:val="20"/>
        </w:rPr>
        <w:t>. Our board of directors may amend our bylaws, other than a bylaw specifying or changing a fixed number of directors or the maximum or minimum number or changing from a fixed to a variable board or vice versa, without shareholder approval.</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Approval of Merger</w:t>
      </w:r>
      <w:r>
        <w:rPr>
          <w:rFonts w:ascii="Times New Roman;Times;Serif" w:hAnsi="Times New Roman;Times;Serif"/>
          <w:b w:val="false"/>
          <w:i w:val="false"/>
          <w:caps w:val="false"/>
          <w:smallCaps w:val="false"/>
          <w:sz w:val="20"/>
        </w:rPr>
        <w:t>. Under the CGCL, most business combinations, including mergers, consolidations and sales of substantially all of the assets of a California corporation, must be approved by the vote of the holders of at least a majority of the outstanding shares of common stock and any other affected class of stock of such corporation. The articles of incorporation or bylaws of a California corporation may, but are not required to, set a higher standard for approval of such transactions. Our articles and bylaws do not set higher limits.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California Law and Federal Banking Law</w:t>
      </w:r>
      <w:r>
        <w:rPr>
          <w:rFonts w:ascii="Times New Roman;Times;Serif" w:hAnsi="Times New Roman;Times;Serif"/>
          <w:b w:val="false"/>
          <w:i w:val="false"/>
          <w:caps w:val="false"/>
          <w:smallCaps w:val="false"/>
          <w:sz w:val="20"/>
        </w:rPr>
        <w:t>s. We are subject to the provisions of Section 1203 of the CGCL, which contains provisions that may have the effect of deterring hostile takeovers or delaying or preventing changes in control in which our shareholders could receive a premium for their shares or other changes in our management. First, if an “interested party” makes an offer to purchase the shares of some or all of our existing shareholders, we must obtain an affirmative opinion in writing as to the fairness of the offering price prior to completing the transaction. California law considers a person to be an “interested party” if the person directly or indirectly controls our company, if the person is directly or indirectly controlled by one of our officers or directors, or if the person is an entity in which one of our executive officers or directors holds a material financial interest. If, after receiving an offer from such an “interested person”, we receive a subsequent offer from a neutral third party at least 10 days prior to the date for acceptance of the tendered shares or the vote or notice of shareholder approval of the offer from such an “interested person”, then we must notify our shareholders of such third party offer and afford each of them the opportunity to withdraw their vote, consent or proxy previously given to the “interested party” offer before such vote, consent or proxy becomes effective.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provisions of the CGCL, which include voting requirements that may also have the effect of deterring hostile takeovers, disposing of our assets or delaying or preventing changes in control of our management. Under Section 1101 of the CGCL, except in (i) a short-form merger or (ii) a merger of a corporation into a subsidiary in which it owns at least 90% of the outstanding shares of each class, if a single entity or constituent corporation owns more than 50% of any class of our capital stock and attempts to merge our Company into itself or other constituent corporation, the Company’s non-redeemable securities may only be exchanged for non-redeemable securities of the surviving entity, unless all of the shareholders of the applicable class of non-redeemable securities consent to the transaction or the terms of the transaction are approved and determined to be fair by the DFPI. Section 1001(d) of the CGCL provides that any proposed sale or disposition of all or substantially all of our assets to any other corporation that we are controlled by or under common control with must be consented to by our shareholders holding at least 90% of the of the voting power of our capital stock or approved and determined fair by the California Department of Financial Protection and Innovation (“DFPI”), provided, however that this restriction does not apply if the disposition is to a domestic or foreign corporation or other business entity in consideration of the nonredeemable common shares or nonredeemable equity securities of the acquiring party or its parent. Sections 1101 and 1001 of the CGCL could make it significantly more difficult for a third party to acquire control of our Company by preventing a possible acquirer from cashing out minority shareholders or selling substantially all of our assets to a related party and therefore could discourage a hostile bid, or delay, prevent or deter entirely a merger, acquisition or tender offer in which our shareholders could receive a premium for their shares, or effect a proxy contest for control of us or other changes in our management.</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BHC Act, CBCA, and California Financial Code impose notice, application and approvals and ongoing regulatory requirements on any shareholder or other party that seeks to acquire direct or indirect control of bank holding companies or banks, as applicable. These laws could delay or prevent an acquisition.</w:t>
      </w:r>
    </w:p>
    <w:p>
      <w:pPr>
        <w:pStyle w:val="TextBody"/>
        <w:bidi w:val="0"/>
        <w:spacing w:before="0" w:after="0"/>
        <w:ind w:left="0" w:right="0" w:firstLine="40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40"/>
        <w:jc w:val="left"/>
        <w:rPr/>
      </w:pPr>
      <w:r>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limitation of liability and indemnification arrangements applicable to our directors and officers, see the section entitled “</w:t>
      </w:r>
      <w:r>
        <w:rPr>
          <w:rFonts w:ascii="Times New Roman;Times;Serif" w:hAnsi="Times New Roman;Times;Serif"/>
          <w:b w:val="false"/>
          <w:i/>
          <w:caps w:val="false"/>
          <w:smallCaps w:val="false"/>
          <w:sz w:val="20"/>
        </w:rPr>
        <w:t>Executive Compensation—Limitation of Liability and Indemnification</w:t>
      </w:r>
      <w:r>
        <w:rPr>
          <w:rFonts w:ascii="Times New Roman;Times;Serif" w:hAnsi="Times New Roman;Times;Serif"/>
          <w:b w:val="false"/>
          <w:i w:val="false"/>
          <w:caps w:val="false"/>
          <w:smallCaps w:val="false"/>
          <w:sz w:val="20"/>
        </w:rPr>
        <w:t>” in the Company’s Proxy Statement for the 2025 Annual Meeting of Shareholders incorporated herein by reference.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and bylaws, the holders of our common stock have no preemptive or other subscription rights and there are no redemption, sinking fund or conversion privileges applicable to our common stock.</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 Selection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subject to limited exceptions, the United States District Court for the Northern District of California (or, in the event that the United States District Court for the Northern District of California does not have jurisdiction, any other federal or state court of California) will be the sole and exclusive forum for (i) any derivative action or proceeding brought on our behalf, (ii) any action asserting a claim of breach of a fiduciary duty owed by any of our directors, officers or other employees to us or our shareholders, (iii) any action asserting a claim against us or any of our directors, officers or other employees arising pursuant to any provision of the CGCL, our articles or our bylaws or (iv) any other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Although we believe this provision benefits us by providing increased consistency in the application of California and federal securities law in the types of lawsuits to which it applies, the provision may have the effect of discouraging lawsuits against our directors and officers.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vests exclusive federal jurisdiction for all claims brought to enforce any duty or liability created under the Exchange Act. Therefore, claims to enforce any duty or liability created under the Exchange Act must be brought in a federal court as required by Section 27 of the Exchange Act and as provided in the exclusive forum selection provision of our bylaws.</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a forum selection clause in connection with claims arising under the Securities Act and the rules and regulations thereunder, and in any event, shareholders will not be deemed to have waived the Company’s compliance with the federal securities laws and the rules and regulations thereunder.</w:t>
      </w:r>
    </w:p>
    <w:p>
      <w:pPr>
        <w:pStyle w:val="TextBody"/>
        <w:bidi w:val="0"/>
        <w:ind w:left="0" w:right="0" w:firstLine="40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200" w:after="200"/>
        <w:ind w:left="20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“FSBC.”</w:t>
      </w:r>
    </w:p>
    <w:p>
      <w:pPr>
        <w:pStyle w:val="TextBody"/>
        <w:bidi w:val="0"/>
        <w:spacing w:before="200" w:after="200"/>
        <w:ind w:left="200" w:right="20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3" w:name="e26030_009"/>
      <w:bookmarkEnd w:id="23"/>
      <w:r>
        <w:rPr>
          <w:rFonts w:ascii="Times New Roman;Times;Serif" w:hAnsi="Times New Roman;Times;Serif"/>
          <w:b/>
          <w:i w:val="false"/>
          <w:caps w:val="false"/>
          <w:smallCaps w:val="false"/>
          <w:sz w:val="20"/>
        </w:rPr>
        <w:t>DESCRIPTION OF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section describes the general terms of preferred stock that we may issue. The specific terms of any series of preferred stock will be described in the prospectus supplement relating to that series of preferred stock. The terms of any series of preferred stock may differ from the terms described below. Certain provisions of our preferred stock described below and in any prospectus supplement are not complete. The summary does not purport to be exhaustive and is qualified in its entirety by reference to our articles and our bylaws, each of which is incorporated by reference as an exhibit to the registration statement of which this prospectus forms a part, and to applicable California law, including the CGCL.</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authorize our board of directors to establish one or more series of preferred stock. Unless required by law or any stock exchange, up to 10,000,000 authorized but unissued shares of preferred stock will be available for issuance without further action by our shareholders. Our board of directors is authorized to divide the preferred stock into series and, with respect to each series, to fix and determine the designation, terms, preferences, limitations and relative rights thereof, including dividend rights, dividend rates, conversion rights, voting rights, redemption rights and terms, liquidation preferences, sinking fund provisions and the number of shares constituting the series. Without shareholder approval, we could issue preferred stock that could impede or discourage an acquisition attempt or other transaction that some, or a majority, of our shareholders may believe is in their best interests or in which they may receive a premium for their common stock over the market price of the common stock. While the terms of preferred stock may vary from series to series, holders of our common stock should assume that all shares of preferred stock will be senior to our common stock in respect of distributions and on liquidation.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series of preferred stock will contain a description of the specific terms of that series, including, as applicable:</w:t>
      </w:r>
    </w:p>
    <w:p>
      <w:pPr>
        <w:pStyle w:val="TextBody"/>
        <w:bidi w:val="0"/>
        <w:ind w:left="720" w:right="0" w:firstLine="72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designation, number of shares and stated or liquidation value of the preferred stock;</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amount or rate or method of calculation, the payment dates for dividends and the place or places where the dividends will be paid, whether dividends will be cumulative or noncumulative, and, if cumulative, the dates from which dividends will begin to accrue;</w:t>
            </w:r>
          </w:p>
        </w:tc>
      </w:tr>
    </w:tbl>
    <w:p>
      <w:pPr>
        <w:pStyle w:val="TextBody"/>
        <w:bidi w:val="0"/>
        <w:ind w:left="1080" w:right="0" w:hanging="36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or exchange rights;</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subject to redemption and the redemption price and other terms and conditions relative to the redemption rights;</w:t>
            </w:r>
          </w:p>
        </w:tc>
      </w:tr>
    </w:tbl>
    <w:p>
      <w:pPr>
        <w:pStyle w:val="TextBody"/>
        <w:bidi w:val="0"/>
        <w:ind w:left="1080" w:right="0" w:hanging="36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10"/>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liquidation rights;</w:t>
            </w:r>
          </w:p>
        </w:tc>
      </w:tr>
    </w:tbl>
    <w:p>
      <w:pPr>
        <w:pStyle w:val="TextBody"/>
        <w:bidi w:val="0"/>
        <w:ind w:left="1080" w:right="0" w:hanging="36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10"/>
        <w:gridCol w:w="2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sinking fund provisions;</w:t>
            </w:r>
          </w:p>
        </w:tc>
      </w:tr>
    </w:tbl>
    <w:p>
      <w:pPr>
        <w:pStyle w:val="TextBody"/>
        <w:bidi w:val="0"/>
        <w:ind w:left="1080" w:right="0" w:hanging="36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5"/>
        <w:gridCol w:w="110"/>
        <w:gridCol w:w="1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voting rights;</w:t>
            </w:r>
          </w:p>
        </w:tc>
      </w:tr>
    </w:tbl>
    <w:p>
      <w:pPr>
        <w:pStyle w:val="TextBody"/>
        <w:bidi w:val="0"/>
        <w:ind w:left="1080" w:right="0" w:hanging="36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10"/>
        <w:gridCol w:w="6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or market, if any, where the preferred stock will be listed or traded; and</w:t>
            </w:r>
          </w:p>
        </w:tc>
      </w:tr>
    </w:tbl>
    <w:p>
      <w:pPr>
        <w:pStyle w:val="TextBody"/>
        <w:bidi w:val="0"/>
        <w:ind w:left="1080" w:right="0" w:hanging="36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110"/>
        <w:gridCol w:w="9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rights, preferences, privileges, limitations and restrictions that are not inconsistent with the terms of our articles.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and payment for shares of preferred stock, the shares will be fully paid and nonassessable. Except as otherwise may be specified in the prospectus supplement relating to a particular series of preferred stock, holders of preferred stock will not have any preemptive or subscription rights to acquire any class or series of our capital stock and each series of preferred stock will rank on a parity in all respects with each other series of our preferred stock and prior to our common stock as to dividends and any distribution of our assets.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the “Description of Our Common Stock”, the authorization of the preferred stock could have the effect of making it more difficult or time consuming for a third party to acquire a majority of our outstanding voting stock or otherwise effect a change of control. Shares of the preferred stock may also be sold to third parties that indicate that they would support the board of directors in opposing a hostile takeover bid. The availability of the preferred stock could have the effect of delaying a change of control and of increasing the consideration ultimately paid to our shareholders. The board of directors may authorize the issuance of preferred stock for capital-raising activities, acquisitions, joint ventures or other corporate purposes that have the effect of making an acquisition of the Company more difficult or costly, as could also be the case if the board of directors were to issue additional common stock for such purposes. See “</w:t>
      </w: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specified in the applicable prospectus supplement, a series of preferred stock may be redeemable at any time, in whole or in part, at our option, and may be mandatorily redeemable or convertible. Restrictions, if any, on the repurchase or redemption by us of any series of our preferred stock will be described in the applicable prospectus supplement relating to that series. Generally, any redemption of our preferred stock will be subject to prior Federal Reserve approval. Any partial redemption of a series of preferred stock would be made in the manner described in the applicable prospectus supplement relating to that series.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redemption date of shares of preferred stock called for redemption or upon our earlier call and deposit of the redemption price, all rights of holders of the preferred stock called for redemption will terminate, except for the right to receive the redemption price.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each series of preferred stock will be entitled to receive cash dividends only when, as and if declared by our board of directors out of funds legally available for dividends on such preferred stock. The rates or amounts and dates of payment of dividends will be described in the applicable prospectus supplement relating to each series of preferred stock. Dividends will be payable to holders of record of preferred stock on the record dates fixed by our board of directors. Dividends on any series of preferred stock may be cumulative or noncumulative, as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not declare, pay or set apart funds for payment of dividends on a particular series of preferred stock unless full dividends on any other series of preferred stock that ranks equally with or senior to such series of preferred stock with respect to the payments of dividends have been paid or sufficient funds have been set apart for payment for either of:</w:t>
      </w:r>
    </w:p>
    <w:p>
      <w:pPr>
        <w:pStyle w:val="TextBody"/>
        <w:bidi w:val="0"/>
        <w:ind w:left="0" w:right="0" w:firstLine="72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10"/>
        <w:gridCol w:w="8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 dividend periods of each such series of preferred stock that pay dividends on a cumulative basis; or</w:t>
            </w:r>
          </w:p>
        </w:tc>
      </w:tr>
    </w:tbl>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immediately preceding dividend period of each such series of preferred stock that pays dividends on a noncumulative basis.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dividends declared on shares of any series of preferred stock and other series of preferred stock ranking on an equal basis as to dividends will be declared pro rata. A pro rata declaration means that the ratio of dividends declared per share to accrued dividends per share will be the same for all series of preferred stock of equal priority.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winding-up of us, holders of each series of preferred stock will have the right to receive distributions upon liquidation in the amount described in the applicable prospectus supplement relating to each series of preferred stock, plus an amount equal to any accrued but unpaid dividends. These distributions will be made before any distribution is made on our common stock or on any securities ranking junior to such preferred stock upon liquidation, dissolution or winding-up.</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holders of the shares of preferred stock will not be entitled to receive the liquidation price of their shares until we have paid or set aside an amount sufficient to pay in full the liquidation preference of any class or series of our capital stock ranking senior as to rights upon liquidation, dissolution or winding up. Unless otherwise provided in the applicable prospectus supplement, neither a consolidation or merger of the Company with or into another corporation nor a merger of another corporation with or into the Company nor a sale or transfer of all or part of the Company’s assets for cash or securities will be considered a liquidation, dissolution or winding up of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liquidation amounts payable to holders of preferred stock of all series ranking on a parity regarding liquidation are not paid in full, the holders of the preferred stock of these series will have the right to a ratable portion of our available assets up to the full liquidation preference. Holders of these series of preferred stock or such other securities will not be entitled to any other amounts from us after they have received their full liquidation preference.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indicate whether and on what terms the shares of any future series of preferred stock will be convertible into or exchangeable for shares of any other class, series or security of the Company or any other corporation or any other property (including whether the conversion or exchange is mandatory, at the option of the holder or our option, the period during which conversion or exchange may occur, the initial conversion or exchange price or rate and the circumstances or manner in which the amount of common or preferred stock or other securities issuable upon conversion or exchange may be adjusted). It will also indicate for preferred stock convertible into common stock, the number of shares of common stock to be reserved in connection with, and issued upon conversion of, the preferred stock (including whether the conversion or exchange is mandatory, the initial conversion or exchange price or rate and the circumstances or manner in which the amount of common stock issuable upon conversion or exchange may be adjusted) at the option of the holder or our option and the period during which conversion or exchange may occur.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preferred stock will have no voting rights, except:</w:t>
      </w:r>
    </w:p>
    <w:p>
      <w:pPr>
        <w:pStyle w:val="TextBody"/>
        <w:bidi w:val="0"/>
        <w:ind w:left="0" w:right="0" w:firstLine="72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stated in the applicable prospectus supplement;</w:t>
            </w:r>
          </w:p>
        </w:tc>
      </w:tr>
    </w:tbl>
    <w:p>
      <w:pPr>
        <w:pStyle w:val="TextBody"/>
        <w:bidi w:val="0"/>
        <w:ind w:left="1080" w:right="0" w:hanging="36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10"/>
        <w:gridCol w:w="9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stated in the articles of amendment to our articles establishing the series of such preferred stock; and</w:t>
            </w:r>
          </w:p>
        </w:tc>
      </w:tr>
    </w:tbl>
    <w:p>
      <w:pPr>
        <w:pStyle w:val="TextBody"/>
        <w:bidi w:val="0"/>
        <w:ind w:left="1080" w:right="0" w:hanging="36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1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otherwise required by applicable law.</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registrar, dividend paying agent and depositary, if any, for any preferred stock offering will be stated in the applicable prospectus supplement.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4" w:name="e26030_010"/>
      <w:bookmarkEnd w:id="24"/>
      <w:r>
        <w:rPr>
          <w:rFonts w:ascii="Times New Roman;Times;Serif" w:hAnsi="Times New Roman;Times;Serif"/>
          <w:b/>
          <w:i w:val="false"/>
          <w:caps w:val="false"/>
          <w:smallCaps w:val="false"/>
          <w:sz w:val="20"/>
        </w:rPr>
        <w:t>DESCRIPTION OF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complete terms of the debt securities will be contained in the indenture and supplemental indenture applicable to the debt securities. These documents will be included or incorporated by reference into this prospectus or the applicable prospectus supplement. You should read the indenture and applicable supplemental indenture relating to any debt securities. You should also read the applicable prospectus supplement, which will contain additional information and which may update or change some of the information below.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separately or together with, or upon conversion, exercise or exchange of other securities, debt securities, including debentures, notes, bonds and other evidence of indebtedness as set forth in the applicable prospectus supplement. The debt securities may be either secured or unsecured and will be either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We refer to the senior indenture and the subordinated indenture together as the indentures. This prospectus, together with the applicable prospectus supplement, will describe the terms of each series of debt securities that we may offer from time to time.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provisions of the indentures and the debt securities does not purport to be complete and is subject to, and is qualified in its entirety by reference to, the provisions of the applicable indenture and certificates evidencing the applicable debt securities. The specific terms of the applicable indenture and debt securities will be described in the applicable prospectus supplement. If any particular terms of the applicable indenture or debt securities described in a prospectus supplement differ from any of the terms described below, then the terms described below will be deemed to have been superseded by those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section have the meanings given to those terms in the applicable prospectus supplement or, if not defined in the applicable prospectus supplement, in the applicable indenture.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“we,” “our,” “us” and the “Company” refer only to Five Star Bancorp and not to its wholly owned subsidiary.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issued in separate series without limitation as to aggregate principal amount. We may specify a maximum aggregate principal amount for the debt securities of any series. We are not limited as to the amount of debt securities that we may issue under the indentures. Unless otherwise provided in a prospectus supplement, a series of debt securities may be reopened to issue additional debt securities of such series. The subordinated debt securities will be subordinated as described below under the heading “—</w:t>
      </w:r>
      <w:r>
        <w:rPr>
          <w:rFonts w:ascii="Times New Roman;Times;Serif" w:hAnsi="Times New Roman;Times;Serif"/>
          <w:b w:val="false"/>
          <w:i/>
          <w:caps w:val="false"/>
          <w:smallCaps w:val="false"/>
          <w:sz w:val="20"/>
        </w:rPr>
        <w:t>Subordinated Debt</w:t>
      </w:r>
      <w:r>
        <w:rPr>
          <w:rFonts w:ascii="Times New Roman;Times;Serif" w:hAnsi="Times New Roman;Times;Serif"/>
          <w:b w:val="false"/>
          <w:i w:val="false"/>
          <w:caps w:val="false"/>
          <w:smallCaps w:val="false"/>
          <w:sz w:val="20"/>
        </w:rPr>
        <w: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particular series of debt securities will set forth the material terms of the debt securities being offered, as established pursuant to a board resolution, in an officer’s certificate or in a supplemental indenture, including:</w:t>
      </w:r>
    </w:p>
    <w:p>
      <w:pPr>
        <w:pStyle w:val="TextBody"/>
        <w:bidi w:val="0"/>
        <w:ind w:left="0" w:right="0" w:firstLine="72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1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debt securities and whether they are senior debt securities or subordinated debt securities;</w:t>
            </w:r>
          </w:p>
        </w:tc>
      </w:tr>
    </w:tbl>
    <w:p>
      <w:pPr>
        <w:pStyle w:val="TextBody"/>
        <w:bidi w:val="0"/>
        <w:ind w:left="1080" w:right="0" w:firstLine="72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10"/>
        <w:gridCol w:w="9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(which may be expressed as a percentage of the aggregate principal amount) of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such series that may be authenticated and delivered under the indentures (except for securities authenticated and delivered upon registration of transfer of, or in exchange for, or in lieu of, other securities of the series pursuant to the indenture and except for any securities deemed never to have been authenticated and delivered);</w:t>
            </w:r>
          </w:p>
        </w:tc>
      </w:tr>
    </w:tbl>
    <w:p>
      <w:pPr>
        <w:pStyle w:val="TextBody"/>
        <w:bidi w:val="0"/>
        <w:ind w:left="1080" w:right="0" w:firstLine="72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10"/>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whether the debt securities shall be subject to the defeasance provisions described below under “—</w:t>
            </w: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or such other defeasance provisions specified in the applicable prospectus supplement for the debt securities;</w:t>
            </w:r>
          </w:p>
        </w:tc>
      </w:tr>
    </w:tbl>
    <w:p>
      <w:pPr>
        <w:pStyle w:val="TextBody"/>
        <w:bidi w:val="0"/>
        <w:ind w:left="1080" w:right="0" w:firstLine="72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1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or exchange provisions;</w:t>
            </w:r>
          </w:p>
        </w:tc>
      </w:tr>
    </w:tbl>
    <w:p>
      <w:pPr>
        <w:pStyle w:val="TextBody"/>
        <w:bidi w:val="0"/>
        <w:ind w:left="1080" w:right="0" w:firstLine="72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10"/>
        <w:gridCol w:w="5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the debt securities if other than the date of original issuance;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who shall be entitled to receive interest, if other than the record holder on the record date and the manner in which such interest will be payable;</w:t>
            </w:r>
          </w:p>
        </w:tc>
      </w:tr>
    </w:tbl>
    <w:p>
      <w:pPr>
        <w:pStyle w:val="TextBody"/>
        <w:bidi w:val="0"/>
        <w:ind w:left="0" w:right="0" w:firstLine="72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10"/>
        <w:gridCol w:w="7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the principal of the debt securities of such series is payable;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and if applicable the method used to determine the rate, at which the debt securities of such series will bear interest, if any, the date or dates from which such interest will accrue, the date or dates on which such interest will be payable and the record date or dates for the interest payable on any debt securities on any interest payment date;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payments of principal and interest may be made and securities may be surrendered for registration of transfer or for exchange;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if any, of the Company to redeem or purchase the debt securities of such series, at the option of the Company or at the option of a holder thereof, pursuant to any sinking fund or other redemption provisions and the period or periods within which, the price or prices at which and the terms and conditions upon which the debt securities of the series may be so redeemed or purchased, in whole or in part;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issued other than in minimum denominations of $1,000 or any multiple of $1,000, or $5,000 in the case of bearer securities, the denominations in which the debt securities will be issuable;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principal amount that will be payable upon acceleration of maturity, if other than the entire principal amount;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U.S. currency, the currency, currencies or currency units in which principal, premium, if any, or interest will be payable and the manner of determining the equivalent thereof in U.S. currency;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of (and premium, if any, on) or any interest on the debt securities is to be payable, at our election or the election of a holder thereof, in one or more currencies other than that the currency or currencies in which the debt securities are stated to be payable, the currency or currencies in which payment is to be made payable and the periods and terms upon which such election is to be made;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payments of principal of (and premium, if any, on) or any interest on the debt securities of the series may be determined by reference to an index, the manner in which such amounts shall be determined;</w:t>
            </w:r>
          </w:p>
        </w:tc>
      </w:tr>
    </w:tbl>
    <w:p>
      <w:pPr>
        <w:pStyle w:val="TextBody"/>
        <w:bidi w:val="0"/>
        <w:ind w:left="1080" w:right="0" w:firstLine="72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10"/>
        <w:gridCol w:w="5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will be issuable in book-entry only form;</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rate calculation agents, exchange rate calculation agents or other agents for the debt securities, if other than the trustee;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in respect of any series of debt securities and whether we have the option to redeem such debt securities rather than pay such additional amounts;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extension of maturity of, or the renewal of, the debt securities of such series, or the conversion of the debt securities of such series into other securities of the Company;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purchase or redemption of all or any portion of a tranche or series of debt securities, including the period of notice required to redeem those debt securities;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4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and conditions, if any, pursuant to which the debt securities are secured;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subordination provisions applicable to the subordinated debt securities if different from those described below under “—</w:t>
            </w:r>
            <w:r>
              <w:rPr>
                <w:rFonts w:ascii="Times New Roman;Times;Serif" w:hAnsi="Times New Roman;Times;Serif"/>
                <w:b w:val="false"/>
                <w:i/>
                <w:caps w:val="false"/>
                <w:smallCaps w:val="false"/>
                <w:sz w:val="20"/>
              </w:rPr>
              <w:t>Subordinated Debt</w:t>
            </w:r>
            <w:r>
              <w:rPr>
                <w:rFonts w:ascii="Times New Roman;Times;Serif" w:hAnsi="Times New Roman;Times;Serif"/>
                <w:b w:val="false"/>
                <w:i w:val="false"/>
                <w:caps w:val="false"/>
                <w:smallCaps w:val="false"/>
                <w:sz w:val="20"/>
              </w:rPr>
              <w: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or provisions relating to the payment of principal of, premium (if any) or interest thereon, including, but not limited to, whether such debt securities are issuable at a discount or premium, as amortizable debt securities and if payable in, convertible or exchangeable for commodities or other securities of ours; and</w:t>
            </w:r>
          </w:p>
        </w:tc>
      </w:tr>
    </w:tbl>
    <w:p>
      <w:pPr>
        <w:pStyle w:val="TextBody"/>
        <w:bidi w:val="0"/>
        <w:ind w:left="1080" w:right="0" w:firstLine="72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1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of such debt securities.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United States federal income tax considerations, specific terms and other information with respect to that issue of debt securities and the relevant foreign currency or currencies.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 The material United States federal income tax considerations applicable to debt securities sold at a discount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prospectus supplement, senior debt securities will be unsecured and will rank equally with all other unsecured and unsubordinated debt of the Company, and will rank senior in right of payment to any subordinated debt.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prospectus supplement, subordinated debt securities will be unsecured and will be subordinated in right of payment to the prior payment in full of all of our Senior Indebtedness, as more fully described in the applicable prospectus supplement. Notwithstanding the foregoing, if a deposit is made in accordance with the terms of the indenture with respect to any debt securities (and provided all other conditions set out in the indenture shall have been satisfied with respect to such debt securities), then, when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such deposit has ended, no money obligations so deposited, and no proceeds thereon, will be subject to any rights of holders of Senior Indebtedness, including any rights of subordination.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subordinated debt indenture, Senior Indebtedness means, without duplication, the principal, premium, if any, unpaid interest (including interest accruing on or after the filing of any petition in bankruptcy or for reorganization, whether or not a claim for post-filing interest is allowed in such proceeding), fees, charges, expenses, reimbursement and indemnification obligations, and all other amounts payable under or in respect of the following indebtedness, whether any such indebtedness exists as of the date of the indenture or is created, incurred or assumed after such date:</w:t>
      </w:r>
    </w:p>
    <w:p>
      <w:pPr>
        <w:pStyle w:val="TextBody"/>
        <w:bidi w:val="0"/>
        <w:ind w:left="1080" w:right="0" w:hanging="36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10"/>
        <w:gridCol w:w="2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for borrowed money;</w:t>
            </w:r>
          </w:p>
        </w:tc>
      </w:tr>
    </w:tbl>
    <w:p>
      <w:pPr>
        <w:pStyle w:val="TextBody"/>
        <w:bidi w:val="0"/>
        <w:ind w:left="1080" w:right="0" w:firstLine="72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evidenced by debentures, debt securities or other similar instruments;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associated with derivative products, including but not limited to, securities contracts, foreign currency exchange contracts, swap agreements (including interest rate and foreign exchange rate swap agreements), cap agreements, floor agreements, collar agreements, interest rate agreements, foreign exchange rate agreements, options, commodity futures contracts, commodity option contracts and similar financial instruments;</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in respect of letters of credit or bankers acceptances or similar instruments (or reimbursement obligations with respect thereto);</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to pay the deferred purchase price of property or services, except trade accounts payable arising in the ordinary course of business;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indebtedness of others guaranteed by us or any of our subsidiaries or for which we or any of our subsidiaries is legally responsible or liable (whether by agreement to purchase indebtedness of, or to supply funds or to invest in, others);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secured by any mortgage, pledge, lien, charge, encumbrance or any security interest existing on property owned by the Company but excluding any obligations of the Company which are required (as opposed to elected) to be treated as finance leases under generally accepted accounting principles;</w:t>
            </w:r>
          </w:p>
        </w:tc>
      </w:tr>
    </w:tbl>
    <w:p>
      <w:pPr>
        <w:pStyle w:val="TextBody"/>
        <w:bidi w:val="0"/>
        <w:ind w:left="1080" w:right="0" w:firstLine="72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1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money and similar obligations; and</w:t>
            </w:r>
          </w:p>
        </w:tc>
      </w:tr>
    </w:tbl>
    <w:p>
      <w:pPr>
        <w:pStyle w:val="TextBody"/>
        <w:bidi w:val="0"/>
        <w:ind w:left="1080" w:right="0" w:firstLine="72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1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renewals, extensions, refundings or replacements of any of the foregoing.</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Methods of Receiving Payments on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debt securities will be payable as to principal, redemption premium, if any, and interest at the office or agency of the paying agent (which may be us) or, at our option, payment of interest may be made by check mailed to the holders of the debt securities at their last addresses as they appear on the register of holders or wired if held in book-entry form.</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Waiver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with respect to a particular series of debt securities, an “event of default,” when used in the indentures, means any of the following:</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default in the payment of the principal (or premium, if any) on any of the debt securities of such series as and when due, either at maturity, upon redemption, by declaration or otherwise, or any payment required by any sinking or analogous fund with respect to any series of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default in the payment of any installment of interest on the debt securities when due, and continuance of such default for a period of 90 days;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observe or perform any other covenant or agreement in the debt securities or the applicable indenture and the continuance of such default or breach for a period of 90 days after our receipt of written notice from the trustee or the holders of at least 25% in aggregate principal amount of the debt securities then outstanding of that series specifying such failure and requiring it to be remedied;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having jurisdiction enters a decree or order for relief in respect of us or a Material Subsidiary in an involuntary case or proceeding under any applicable bankruptcy, insolvency or other similar law, or appointing a receiver, liquidator, assignee, custodian, trustee, sequestrator (or similar official) of us or a Material Subsidiary or for any substantial part of our or its respective property, or ordering the winding-up or liquidation of our affairs shall have been entered and remained unstayed and in effect for a period of 60 consecutive days;</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 Material Subsidiary commence a voluntary case or proceeding under any applicable bankruptcy, insolvency or other similar law, or consent to the entry of a decree or order for relief in an involuntary case or proceeding under any such law, or the consent to the appointment of or taking possession by a receiver, liquidator, assignee, trustee, custodian, sequestrator (or other similar official) of us or a Material Subsidiary or of any substantial part of our or its respective property, or the making by us or a Material Subsidiary of a general assignment for the benefit of creditors; or</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provided with respect to a particular series of debt securities, as described in the prospectus supplement with respect to the offering of such series.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Subsidiary means Five Star Bank or any successor thereof or any of our subsidiaries that is a depository institution and that has consolidated assets equal to 80% or more of our consolidated assets.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continues as described in the first, second, third or sixth bullet above, either the trustee or the holders of at least 25% in aggregate principal amount of the debt securities of that series then outstanding by written notice to us (with a copy to the trustee, if given by holders) may declare the principal amount of the debt securities of that series to be immediately due and immediately payable. If an event of default occurs and continues as described in the fourth or fifth bullet above, the principal amount of all of the debt securities issued under the indentures shall automatically be deemed immediately due and payable.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also provide that the holders of a majority in principal amount of the debt securities of each series outstanding at the time may, on behalf of the holders of all of the debt securities of that series, waive any past default with respect to the debt securities and its consequences, except a default in the payment of the principal of, premium, if any, and interest on the debt securities or a bankruptcy or insolvency-related default, or with respect to any covenant or provision that cannot be modified or amended under the terms of the indenture without the holder of such outstanding debt security so affected.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of each series may direct the time, method and place of conducting any proceeding for any remedy available to the trustee or exercising any trust or power conferred on the trustee. However, the trustee may refuse to follow any direction that conflicts with law or the indentures or that the trustee determines in good faith may be unjustly prejudicial to the holders of the debt securities not consenting or that may involve the trustee in personal liability. In addition, the trustee may take any other action it deems proper that is not inconsistent with any such direction received from the holders of a majority in principal amount of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exercise any of the rights or powers vested in it by the indentures at the request, order or direction of any of the holders of any debt securities or related coupons pursuant to the provisions of the indentures, unless such holders shall have offered to the trustee security or indemnity reasonably satisfactory to it against the losses, costs, expenses and liabilities which might be incurred by it in compliance with such request, order or direction. Except to enforce the right to receive payment of principal, premium, if any, or interest, no holder of a debt security will have any right to institute any proceeding, judicial or otherwise, with respect to the indenture, or for the appointment of a receiver or trustee, or for any other remedy under the indenture unless:</w:t>
      </w:r>
    </w:p>
    <w:p>
      <w:pPr>
        <w:pStyle w:val="TextBody"/>
        <w:bidi w:val="0"/>
        <w:ind w:left="1080" w:right="0" w:hanging="36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holder has previously given the trustee written notice of a continuing event of default;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at least 25% in aggregate principal amount of the outstanding debt securities of that series have made a written request to the trustee to institute proceedings in respect of such event of default in its own name as trustee under the indenture;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holders provide to the trustee reasonable indemnity acceptable to the trustee against the costs, expenses and liabilities to be incurred with such request;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has failed to institute a proceeding within 60 days after its receipt of the notice, request and offer of indemnity; and </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outstanding debt securities do not give the trustee a direction inconsistent with the request within such 60-day period.</w:t>
            </w:r>
          </w:p>
        </w:tc>
      </w:tr>
    </w:tbl>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requires the applicable trustee to notify the holders of a series regarding the existence of any default known to the trustee, unless the default has been cured or waived. In addition, except in the case of a default in payment of principal of or interest on any debt security or the payment of any sinking or purchase fund installment, the trustee may withhold notice of a default if and so long as the trustee in good faith determines that withholding the notice is in the interests of the holders of the debt securities. Furthermore, the trustee shall not provide notice of default to the holders of debt securities following our failure to duly observe or perform any of the covenants or agreements contained in the debt securities or indenture (other than certain payment obligations) unless at least 30 days after the occurrence thereof. For purposes of these requirements, a “default” means any event which is, or after notice or lapse of time or both would become, an event of default under the indentures with respect to the debt securities of such series.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deliver to the trustee, within 120 days after the end of each fiscal year, commencing with the year during which the first series of debt securities is issued under an indenture, a written statement signed by certain officers regarding our performance under the indenture throughout the year and specifying any known default in the fulfilment of any of our obligations under the indenture, together with certain additional details regarding any such known default.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Consolidation, Sale, Lease or Conveyance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with respect to a particular series of debt securities, we will not merge into or consolidate with any other corporation, or sell or convey all or substantially all of our assets to any person, firm, or corporation, unless:</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we are the continuing corporation or the successor corporation is a corporation organized and existing under the laws of the United States or a state thereof or the District of Columbia and expressly assumes the due and punctual payment of the principal, premium, if any, and interest on all the debt securities according to their tenor, and the due and punctual performance and observance of all of the covenants and conditions of the indenture to be performed by us by supplemental indenture, executed and delivered to the trustee by such successor corporation;</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such successor corporation, immediately after giving effect to such merger, consolidation, sale or conveyance, will be in default in the performance of any covenant or condition under the applicable indenture;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and an opinion of counsel, each stating that the transaction complies with the terms of the applicable indenture and that all conditions precedent in such indenture provided for relating to such transaction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such consolidation or merger, sale or conveyance and upon any such assumption by the successor corporation, the successor corporation shall succeed to, and be substituted for, us under the applicable indenture with the same effect as if it had been an original party to such indenture.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any restrictive covenants applicable to any debt securities we offer for sale.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a prospectus supplement and except as set forth below, modification and amendment of an indenture, or entry into a supplemental indenture applicable to the debt securities, may be made only when authorized by our board of directors and with the consent of the holders of not less than a majority in principal amount of the debt securities outstanding affected by such supplemental indenture, voting together as a single class.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modification or amendment of an indenture as applicable to any series of debt securities may:</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 the fixed maturity of any debt security, or reduce the principal amount thereof or premium, if any, or reduce the rate or extend the time of payment of interest thereon, without the consent of the holder of each debt security so affected;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in principal amount of outstanding debt securities that is required for any supplemental indenture without the consent of the holders of all debt securities then outstanding;</w:t>
            </w:r>
          </w:p>
        </w:tc>
      </w:tr>
    </w:tbl>
    <w:p>
      <w:pPr>
        <w:pStyle w:val="TextBody"/>
        <w:bidi w:val="0"/>
        <w:ind w:left="1080" w:right="0" w:firstLine="72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subordination provisions in a manner adverse to the holders of any debt security; or</w:t>
            </w:r>
          </w:p>
        </w:tc>
      </w:tr>
    </w:tbl>
    <w:p>
      <w:pPr>
        <w:pStyle w:val="TextBody"/>
        <w:bidi w:val="0"/>
        <w:ind w:left="1080" w:right="0" w:firstLine="72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of the applicable provisions with respect to modification and waiver.</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the trustee may modify or amend the indentures as applicable to the debt securities, with the consent of our board of directors but without the consent of any holder of the debt securities, for any of the following purposes:</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the succession of another corporation to the Company, or successive successions, and provide for the successor’s assumption of our covenants, agreements and obligations under the indentures and the debt securities issued thereunder;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further covenants, restrictions, conditions or provisions as our board of directors considers to be for the protection of the holders of the debt securities, and to make the occurrence, or the occurrence and continuance, of a default in any of such additional covenants, restrictions, conditions or provisions an event of default permitting the enforcement of all or any of the remedies provided under the applicable indenture, with such period of grace and subject to such conditions as such supplemental indenture may provide;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or change any of the provisions of the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debt securities in uncertificated form; provided, that any such action shall not adversely affect the interests of the holders of the debt securities or any related coupons in any material respect;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eliminate or add provisions of the indenture to such extent as necessary in order to effect the qualification of the applicable indenture under the Trust Indenture Act of 1939, as amended (the “Trust Indenture Act”), or any similar federal statute thereafter enacted, and to add such other provisions as may be expressly permitted by the Trust Indenture Act, excluding Section 316(a)(2) thereof or any corresponding provision in any similar federal statute hereafter enacted;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modify, eliminate or add to any provisions of the indenture; provided that any such change or elimination (i) becomes effective only when there are no outstanding debt securities and created prior to the execution of such supplemental indenture that is entitled to the benefit from such provision or (ii) does not apply to any outstanding debt security;</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or to correct or supplement any provision in the indenture or any supplemental indenture which may be defective or inconsistent with any other provision, (ii) to convey, transfer, assign, mortgage or pledge any property to or with the trustee or (iii) to make such other provisions in regard to matters or questions arising under the indenture; provided, that no such provision shall adversely affect in any material respect the interests of the holders of the debt securities or any related coupons, including provisions necessary or desirable to provide for or facilitate the administration of the trusts;</w:t>
            </w:r>
          </w:p>
        </w:tc>
      </w:tr>
    </w:tbl>
    <w:p>
      <w:pPr>
        <w:pStyle w:val="TextBody"/>
        <w:bidi w:val="0"/>
        <w:ind w:left="1080" w:right="0" w:firstLine="72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10"/>
        <w:gridCol w:w="3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any series of debt securities; and</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and provide for the acceptance and appointment by a successor trustee with respect to the debt securities of one or more series and to add or change any provisions of the indenture as necessary to provide for or facilitate the administration of the trusts.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obligated to enter into any amendment or supplemental indenture that adversely affects the trustee’s own rights, duties or immunities under the applicable indenture or otherwise.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for the holders to waive a default related to bankruptcy events, defaults related to covenants or provisions that cannot be modified without the consent of each affected holder, and the rights of any holder of a debt security to receive payment of principal of, premium, if any, on and interest on such debt securities, holders of a majority in aggregate principal amount of the debt securities voting as a single class of such series or of all debt securities, as the case may be, then outstanding may waive all defaults with respect to that series or with respect to all securities treated as a single class and rescind and annul such declaration and its consequences, but no waiver or rescission and annulment will extend to or affect any subsequent default.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Debt Securities; Determinations of Holders’ Actions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outstanding at any time are the debt securities authenticated and delivered by the trustee except for those cancelled by the trustee or delivered to the trustee for cancellation, those debt securities, or portions thereof, for which we have deposited in trust with the trustee or any paying agent a sufficient amount of money for the payment or redemption thereof, those debt securities that have been defeased under the indenture, and those debt securities that have been exchanged for other debt securities issued under the indenture or that have been mutilated, destroyed, lost or stolen and replaced by the trustee. A debt security does not cease to be outstanding because we or an affiliate of ours holds the debt security; provided, that in determining whether the holders of the requisite aggregate principal amount of debt securities have given or concurred in any request, demand, authorization, notice, direction, consent or waiver, debt securities owned by us, any other obligor of the debt securities or any other person directly or indirectly controlling or controlled by or under direct or indirect common control with us or any other obligor on the debt securities, will be disregarded and deemed not to be outstanding for the purpose of any such determination, except for determining whether the trustee shall be protected in relying on any such request, demand, authorization, direction, notice, consent or waiver, only debt securities which the trustee knows are so owned will be so disregarded, and debt securities that have been pledged in good faith may also be regarded as outstanding under certain circumstances.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may be discharged and cease to be of further effect as to the applicable debt securities, when:</w:t>
      </w:r>
    </w:p>
    <w:p>
      <w:pPr>
        <w:pStyle w:val="TextBody"/>
        <w:bidi w:val="0"/>
        <w:ind w:left="1080" w:right="0" w:hanging="36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75"/>
        <w:gridCol w:w="110"/>
        <w:gridCol w:w="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of any series that have been authenticated and all coupons, if any, appertaining thereto have been delivered to the trustee for cancellation, except (i) coupons on bearer securities that meet certain conditions, (ii) debt securities and coupons that have been destroyed, lost or stolen and that have been replaced or paid as provided in the indenture, (iii) coupons relating to debt securities called for redemption and maturing after the relevant redemption date, whose surrender has been waived, and (iv) debt securities and coupons for which payment has been deposited in trust or segregated and held in trust by us and thereafter repaid to us or discharged from such trust;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 securities and certain coupons discussed above that have not been delivered to the trustee for cancellation (i) have become due and payable, (ii) are by their terms due and payable within one year or (iii) are to be called for redemption within one year under arrangements satisfactory to the trustee for the giving of notice of redemption, and in the case of clauses (i) and (iii) in the preceding bullet point, we have deposited or caused to be deposited with the trustee as trust funds the entire amount (other than moneys repaid by the trustee or any paying agent to us under the terms of the indenture) sufficient to pay at maturity or upon redemption all debt securities of such series and coupons not delivered to the trustee for cancellation, including principal (and premium, if any) and any interest due or to become due to such date of maturity or date of redemption;</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or caused to be paid all other sums payable by us under the applicable indenture with respect to the debt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demand of and at our cost and expense, the trustee has executed instruments reasonably requested by us acknowledging the satisfaction and discharge of the applicable indenture with respect to the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delivered to the trustee an officer’s certificate and an opinion of counsel stating that the conditions precedent to the satisfaction and discharge of the debt securities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Defeasance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indentures and unless otherwise provided in a supplemental indenture, we will be deemed to have paid and will be discharged from any and all obligations in respect of the debt securities after we have made the deposit referred to below and the conditions precedent and subsequent set forth below are satisfied, and the provisions of the applicable indenture will cease to be applicable with respect to the debt securities (except for, among other matters, certain rights of the holders to receive payments of principal, premium and interest when due on such debt securities from the trust fund, and our obligations to register the transfer of or exchange of the debt securities, prepare temporary debt securities, replace stolen, lost or mutilated debt securities, maintain paying agents and hold funds for payment in trust, and rights, powers, trusts, duties and immunities with respect to the trustee) if:</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deposited or caused to be deposited with the trustee, in trust, money in an amount and/or non-callable or non-redeemable government securities that will provide funds in amount sufficient, in the opinion of a nationally recognized public accounting firm expressed in a written certification delivered to the trustee, to pay the principal of, premium, if any, and accrued interest on the debt securities until maturity or redemption in accordance with the terms of the applicable indenture and any mandatory sinking fund payments or analogous payments applicable to such debt securities;</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that after notice or lapse of time, or both, would become a default with respect to such debt securities, will have occurred and be continuing on the date of such deposit, or insofar as events of default due to certain events of bankruptcy, insolvency or reorganization in respect of us are concerned, during the period ending on the 123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after the date of such deposit or, if longer, ending on the day following the expiration of the longest preference period applicable to the company with respect to such deposit;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(i) cause the trustee for the debt securities to have a conflicting interest under the terms of the indenture or the Trust Indenture Act or (ii) result in the trust arising from such deposit to constitute, unless it is qualified, a regulated investment company under the Investment Company Act of 1940, as amended;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result in a breach or violation of, or constitute a default under, the indenture or any other agreement or instrument to which we are a party or by which we are bound;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or covenant defeasance does not cause any debt securities of such series then listed on any registered national securities exchange under the Exchange Act to be delisted;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delivered to the trustee an opinion of counsel stating that (i) we have received from, or there has been published by, the Internal Revenue Service a ruling or (ii) since the date of the indenture there has been a change in the applicable United States federal income tax law to the effect that, and based thereon, holders of the debt securities will not recognize income, gain or loss for federal income tax purposes as a result of such defeasance and will be subject to United States federal income tax on the same amounts and in the same manner and at the same times as would have been the case if such defeasance had not occurred;</w:t>
            </w:r>
          </w:p>
        </w:tc>
      </w:tr>
    </w:tbl>
    <w:p>
      <w:pPr>
        <w:pStyle w:val="TextBody"/>
        <w:bidi w:val="0"/>
        <w:ind w:left="108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4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defeasance is effected in compliance with any terms, conditions or limitations which may be imposed on the Company in connection with a supplemental indenture or board resolutions establishing such series of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have delivered to the trustee an officer’s certificate and an opinion of counsel, each stating that all conditions precedent and subsequent provided for in the indenture relating to the defeasance have been complied with.</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indentures and unless as otherwise provided in a supplemental indenture, we will not need to comply with certain restrictive covenants, and the provisions of the applicable indenture will cease to be applicable with respect to an event of default under the debt securities other than an event of default due to our failure to pay the principal of or interest on the debt securities when due, upon:</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conditions described above in “–</w:t>
            </w:r>
            <w:r>
              <w:rPr>
                <w:rFonts w:ascii="Times New Roman;Times;Serif" w:hAnsi="Times New Roman;Times;Serif"/>
                <w:b w:val="false"/>
                <w:i/>
                <w:caps w:val="false"/>
                <w:smallCaps w:val="false"/>
                <w:sz w:val="20"/>
              </w:rPr>
              <w:t xml:space="preserve">Legal Defeasance and Covenant Defeasance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other than with respect to the sixth bullet point;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delivery to the trustee of an opinion of counsel to the effect that the holders of the debt securities will not recognize income, gain or loss for United States federal income tax purposes as a result of such covenant defeasance and will be subject to United States federal income tax on the same amount and in the same manner and at the same times as would have been the case if such covenant defeasance had not occurred.</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omit compliance with certain provisions of the applicable indenture as described in the immediately preceding paragraph and the debt securities are declared due and payable because of the occurrence of an event of default that remains applicable, the amount of money and/or non-callable government securities on deposit with the trustee may not be sufficient to pay amounts due on the debt securities at the time of acceleration resulting from such event of default. In such event, we will remain liable for such payments.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Individual Liability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incorporator or past, present or future stockholder, officer or director of ours or any successor corporation, as such, will have any liability for any obligations, covenants or agreements of ours under the debt securities or the indentures or because of any indebtedness evidenced thereby. Each holder of a debt security, by accepting a debt security waives and releases such liability. The waiver and release are part of the consideration for the issuance of the debt securities. Such waiver may not be effective to waive liabilities under the federal securities laws.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will specify the trustee for the particular series of debt securities to be issued under the indentures.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the trustee must be a corporation organized and doing business under the laws of the United States or any state or territory thereof or of the District of Columbia, with authority to exercise corporate trust powers, be subject to the supervision or examination by federal, state, territorial or District of Columbia authority, have at all times a combined capital and surplus of not less than $50,000,000 and not be the Company or any person directly or indirectly controlled or controlled by or under common control with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acquires any conflicting interest, as defined in the Trust Indenture Act, with respect to the debt securities, within 90 days after the trustee has acquired a conflicting interest, which has not been cured or waived, the trustee would generally be required by the Trust Indenture Act to eliminate that conflicting interest or resign as trustee with respect to the debt securities issued under the applicable indenture. If the trustee resigns, we are required to appoint a successor trustee with respect to the affected securities promptly. The trustee and/or certain of its affiliates may provide banking, investment and other services to us.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required to be given to the holders of the debt securities will be given by mail to the addresses of the holders in the security register.</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are governed by, and will be construed in accordance with, the laws of the State of New York. The indentures will be subject to the provisions of the Trust Indenture Act that are required to be part of the indentures and will, to the extent applicable, be governed by such provisions.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Settlement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Global Debt Securities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any debt securities in the form of one or more global debt securities in definitive, fully registered, book-entry form. The global debt securities will be deposited with or on behalf of DTC, and registered in the name of Cede &amp; Co., as nominee of DTC. Beneficial interests in the global debt securities will be represented through book-entry accounts of financial institutions acting on behalf of beneficial owners as direct and indirect participants in DTC. Investors may hold interests in the global debt securities through DTC.</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and facilitates the post-trade settlement among participants of sales and other securities transactions, such as transfers and pledges, in deposited securities through electronic computerized book-entry changes in participants’ accounts, thereby eliminating the need for physical movement of security certificates.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participants include securities brokers and dealers, banks, trust companies, clearing corporations and other organizations.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DTC system is also available to others such as both U.S. and non-U.S. securities brokers and dealers, banks, trust companies and clearing corporations that clear through or maintain a custodial relationship with a direct participant, either directly or indirectly.</w:t>
            </w:r>
          </w:p>
        </w:tc>
      </w:tr>
    </w:tbl>
    <w:p>
      <w:pPr>
        <w:pStyle w:val="TextBody"/>
        <w:bidi w:val="0"/>
        <w:ind w:left="1080" w:right="0" w:firstLine="72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10"/>
        <w:gridCol w:w="7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applicable to DTC and its direct and indirect participants are on file with the SEC.</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the description of the operations and procedures of DTC in this prospectus solely as a matter of convenience. These operations and procedures are solely within the control of those organizations and are subject to change by them from time to time. None of us, any underwriters or any trustee takes any responsibility for these operations or procedures, and you are urged to contact DTC or their participants directly to discuss these matters.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under procedures established by DTC:</w:t>
      </w:r>
    </w:p>
    <w:p>
      <w:pPr>
        <w:pStyle w:val="TextBody"/>
        <w:bidi w:val="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deposit of the global debt securities with DTC or its custodian, DTC will credit on its internal system the accounts of direct participants designated by any underwriters with portions of the principal amounts of the global debt securities;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debt securities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purchasers of securities take physical delivery of those securities in definitive form. Accordingly, the ability to transfer interests in the debt securities represented by a global debt security to those persons may be limited. In addition, because DTC can act only on behalf of its participants, who in turn act on behalf of persons who hold interests through participants, the ability of a person having an interest in debt securities represented by a global debt security to pledge or transfer those interests to persons or entities that do not participate in DTC’s system, or otherwise to take actions in respect of such interest, may be affected by the lack of a physical definitive security in respect of such interest.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DTC or its nominee is the registered owner of a global debt security, DTC or that nominee will be considered the sole owner or holder of the debt securities represented by that global debt security for all purposes under the indenture and under the debt securities. Except as provided below, owners of beneficial interests in a global debt security will not be entitled to have debt securities represented by that global debt security registered in their names, will not receive or be entitled to receive physical delivery of certificated debt securities and will not be considered the owners or holders thereof under the applicable indenture or under the debt securities for any purpose, including with respect to the giving of any direction, instruction or approval to the trustee. Accordingly, each holder owning a beneficial interest in a global debt security must rely on the procedures of DTC and, if that holder is not a direct or indirect participant, on the procedures of the participant through which that holder owns its interest, to exercise any rights of a holder of debt securities under the applicable indenture or a global debt security.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trustee will have any responsibility or liability for any aspect of the records relating to or payments made on account of debt securities by DTC, or for maintaining, supervising or reviewing any records of those organizations relating to the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on the debt securities represented by the global debt securities will be made to DTC or its nominee, as the case may be, as the registered owner thereof. We expect that DTC or its nominee, upon receipt of any payment on the debt securities represented by a global debt security, will credit participants’ accounts with payments in amounts proportionate to their respective beneficial interests in the global debt security as shown in the records of DTC or its nominee. We also expect that payments by participants to owners of beneficial interests in the global debt security held through such participants will be governed by standing instructions and customary practice as is currently the case with securities held for the accounts of customers registered in the names of nominees for such customers. The participants will be responsible for those payments.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Procedures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trading between DTC participants will occur in the ordinary way in accordance with DTC rules and will be settled in immediately available funds.</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40"/>
        <w:jc w:val="left"/>
        <w:rPr/>
      </w:pPr>
      <w:r>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Certificated Debt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certificates in respect of any debt securities will not be issued in exchange for the global debt securities, except in very limited circumstances. We will issue or cause to be issued certificated debt securities to each person that DTC identifies as the beneficial owner of the debt securities represented by a global debt security upon surrender by DTC of the global debt security if:</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notifies us that it is no longer willing or able to act as a depositary for such global debt security or ceases to be a clearing agency registered under the Exchange Act, and we have not appointed a successor depositary within 90 days of that notice or becoming aware that DTC is no longer so registered;</w:t>
            </w:r>
          </w:p>
        </w:tc>
      </w:tr>
    </w:tbl>
    <w:p>
      <w:pPr>
        <w:pStyle w:val="TextBody"/>
        <w:bidi w:val="0"/>
        <w:ind w:left="1080" w:right="0" w:firstLine="72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has occurred and is continuing, and DTC requests the issuance of certificated debt securities;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DTC’s procedures, we determine not to have the debt securities of such series represented by a global debt security.</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trustee will be liable for any delay by DTC, its nominee or any direct or indirect participant in identifying the beneficial owners of the debt securities. We and any trustee may conclusively rely on, and will be protected in relying on, instructions from DTC or its nominee for all purposes, including with respect to the registration and delivery, and the respective principal amounts, of any certificated debt security to be issued.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5" w:name="e26030_011"/>
      <w:bookmarkEnd w:id="25"/>
      <w:r>
        <w:rPr>
          <w:rFonts w:ascii="Times New Roman;Times;Serif" w:hAnsi="Times New Roman;Times;Serif"/>
          <w:b/>
          <w:i w:val="false"/>
          <w:caps w:val="false"/>
          <w:smallCaps w:val="false"/>
          <w:sz w:val="20"/>
        </w:rPr>
        <w:t>DESCRIPTION OF DEPOSITARY SHARES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elect to offer fractional interests in shares of our preferred stock, in which case we will issue receipts for depositary shares and each depositary share will represent a fraction of a share of the applicable series of our preferred stock, as set forth in the applicable prospectus supplement. The following summary of the terms of the depositary shares does not purport to be complete and is subject to, and is qualified in its entirety by reference to, the terms of the depositary shares and our preferred stock, as well as the form of the deposit agreement, depositary receipts, our articles and any amendments thereto relating to the applicable series of our preferred stock that will be filed with the SEC. Therefore, you should carefully consider the actual provisions in these documents.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owner of a depositary share will be entitled, in proportion to the applicable fractional interest in shares of our preferred stock underlying that depositary share, to all rights and preferences of our preferred stock underlying that depositary share. These rights may include dividend, voting, redemption and liquidation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The name and address of the principal executive office of the depositary will be included in the prospectus supplement relating to the issue.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cash dividends or other cash distributions, if any, received in respect of the series of our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our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cash proceeds to the holders.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series of our preferred stock underlying the depositary shares has a liquidation preference, in the event of our voluntary or involuntary liquidation, dissolution or winding-up, holders of depositary shares will be entitled to receive the fraction of the liquidation preference accorded each share of the applicable series of our preferred stock, as set forth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series of our preferred stock underlying the depositary shares is subject to redemption, the depositary shares will be redeemed from the proceeds received by the depositary resulting from the redemption, in whole or in part, of our preferred stock held by the depositary. Whenever we redeem any of our preferred stock held by the depositary, the depositary will redeem, as of the same redemption date, the number of depositary shares representing our preferred stock so redeemed. The depositary will mail the notice of redemption to the record holders of the depositary receipts promptly upon receiving the notice from us, unless otherwise provided in the applicable prospectus supplement, prior to the date fixed for redemption of our preferred stock.</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date fixed for redemption, the depositary shares called for redemption will no longer be outstanding. When the depositary shares are no longer outstanding, all rights of the holders will terminate, except the right to receive money, securities or other property payable upon redemption.</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notice of any meeting at which the holders of our preferred stock are entitled to vote, the depositary will mail the information contained in the notice of meeting to the record holders of the depositary receipts underlying our preferred stock. Each record holder of those depositary receipts on the record date will be entitled to instruct the depositary as to the exercise of the voting rights pertaining to the amount of our preferred stock underlying that holder’s depositary shares. The record date for the depositary will be the same date as the record date for our preferred stock. The depositary will try, as far as practicable, to vote the shares of our preferred stock underlying the depositary shares in accordance with these instructions. We will agree to take all action that may be deemed necessary by the depositary in order to enable the depositary to vote our preferred stock in accordance with these instructions. The depositary will not vote our preferred stock to the extent that it does not receive specific instructions from the holders of depositary receipts.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depositary shares will be entitled to receive, upon surrender of depositary receipts at the principal office of the depositary and payment of any unpaid amount due to the depositary, the number of whole shares of our preferred stock underlying their depositary shares.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 shares of our preferred stock will not be issued. Holders of our preferred stock will not be entitled to deposit the shares under the deposit agreement or to receive depositary receipts evidencing depositary shares for our preferred stock.</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Deposit Agreement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depositary receipt evidencing the depositary shares and any provision of the deposit agreement may be amended by agreement between the depositary and us. However, any amendment that materially and adversely alters the rights of the holders of depositary shares, other than fee changes, will not be effective unless the amendment has been approved by the holders of at least a majority of the outstanding depositary shares. The deposit agreement may be terminated by the depositary or us only if:</w:t>
      </w:r>
    </w:p>
    <w:p>
      <w:pPr>
        <w:pStyle w:val="TextBody"/>
        <w:bidi w:val="0"/>
        <w:ind w:left="0" w:right="0" w:firstLine="72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1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depositary shares have been redeemed; or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final distribution of our preferred stock in connection with our dissolution and such distribution has been made to all holders of depositary shares.</w:t>
            </w:r>
          </w:p>
        </w:tc>
      </w:tr>
    </w:tbl>
    <w:p>
      <w:pPr>
        <w:pStyle w:val="TextBody"/>
        <w:bidi w:val="0"/>
        <w:ind w:left="1080" w:right="0" w:hanging="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 of Depositary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United States transfer and other taxes and governmental charges arising solely from the existence of the depositary arrangement. We will also pay charges of the depositary in connection with:</w:t>
      </w:r>
    </w:p>
    <w:p>
      <w:pPr>
        <w:pStyle w:val="TextBody"/>
        <w:bidi w:val="0"/>
        <w:ind w:left="1080" w:right="0" w:hanging="36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10"/>
        <w:gridCol w:w="3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deposit of our preferred stock;</w:t>
            </w:r>
          </w:p>
        </w:tc>
      </w:tr>
    </w:tbl>
    <w:p>
      <w:pPr>
        <w:pStyle w:val="TextBody"/>
        <w:bidi w:val="0"/>
        <w:ind w:left="1080" w:right="0" w:firstLine="72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issuance of the depositary shares;</w:t>
            </w:r>
          </w:p>
        </w:tc>
      </w:tr>
    </w:tbl>
    <w:p>
      <w:pPr>
        <w:pStyle w:val="TextBody"/>
        <w:bidi w:val="0"/>
        <w:ind w:left="1080" w:right="0" w:firstLine="72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of our preferred stock; and</w:t>
            </w:r>
          </w:p>
        </w:tc>
      </w:tr>
    </w:tbl>
    <w:p>
      <w:pPr>
        <w:pStyle w:val="TextBody"/>
        <w:bidi w:val="0"/>
        <w:ind w:left="1080" w:right="0" w:firstLine="72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10"/>
        <w:gridCol w:w="5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withdrawals of our preferred stock by owners of depositary shares.</w:t>
            </w:r>
          </w:p>
        </w:tc>
      </w:tr>
    </w:tbl>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4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depositary receipts will pay transfer, income and other taxes and governmental charges and other specified charges as provided in the deposit agreement for their accounts. If these charges have not been paid, the depositary may:</w:t>
      </w:r>
    </w:p>
    <w:p>
      <w:pPr>
        <w:pStyle w:val="TextBody"/>
        <w:bidi w:val="0"/>
        <w:ind w:left="1080" w:right="0" w:hanging="36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1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transfer depositary shares;</w:t>
            </w:r>
          </w:p>
        </w:tc>
      </w:tr>
    </w:tbl>
    <w:p>
      <w:pPr>
        <w:pStyle w:val="TextBody"/>
        <w:bidi w:val="0"/>
        <w:ind w:left="1080" w:right="0" w:firstLine="72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1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 dividends and distributions; and</w:t>
            </w:r>
          </w:p>
        </w:tc>
      </w:tr>
    </w:tbl>
    <w:p>
      <w:pPr>
        <w:pStyle w:val="TextBody"/>
        <w:bidi w:val="0"/>
        <w:ind w:left="1080" w:right="0" w:firstLine="72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1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depositary shares evidenced by the depositary receipt.</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forward to the holders of depositary receipts all reports and communications we deliver to the depositary that we are required to furnish to the holders of our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our preferred stock.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depositary will be liable if either we or the depositary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we nor the depositary will be obligated to prosecute or defend any legal proceeding in respect of any depositary shares or our preferred stock unless satisfactory indemnity is furnished. The depositary and we may rely on:</w:t>
      </w:r>
    </w:p>
    <w:p>
      <w:pPr>
        <w:pStyle w:val="TextBody"/>
        <w:bidi w:val="0"/>
        <w:ind w:left="1080" w:right="0" w:hanging="36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1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advice of counsel or accountants;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provided by holders of depositary receipts or other persons believed in good faith to be competent to give such information; and</w:t>
            </w:r>
          </w:p>
        </w:tc>
      </w:tr>
    </w:tbl>
    <w:p>
      <w:pPr>
        <w:pStyle w:val="TextBody"/>
        <w:bidi w:val="0"/>
        <w:ind w:left="1080" w:right="0" w:firstLine="72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1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believed to be genuine and to have been signed or presented by the proper party or parties.</w:t>
            </w:r>
          </w:p>
        </w:tc>
      </w:tr>
    </w:tbl>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6" w:name="e26030_012"/>
      <w:bookmarkEnd w:id="26"/>
      <w:r>
        <w:rPr>
          <w:rFonts w:ascii="Times New Roman;Times;Serif" w:hAnsi="Times New Roman;Times;Serif"/>
          <w:b/>
          <w:i w:val="false"/>
          <w:caps w:val="false"/>
          <w:smallCaps w:val="false"/>
          <w:sz w:val="20"/>
        </w:rPr>
        <w:t>DESCRIPTION OF WARRANTS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in one or more series to purchase debt securities, common stock, preferred stock or any combination of these securities. Warrants may be issued independently or together with any underlying securities and may be attached to or separate from the underlying securities. We will issue each series of warrants under a separate warrant agreement to be entered into between us and a warrant agent. The warrant agent will act solely as our agent in connection with the warrants of such series and will not assume any obligation or relationship of agency for or on behalf of holders or beneficial owners of warrants. The following sets forth some of the general terms and provisions of the warrants. Further terms of the warrants and the applicable warrant agreement will be stated in the applicable prospectus supplement. The following description and any description of the warrants in a prospectus supplement are not complete and are subject to and qualified in their entirety by reference to the terms and provisions of the warrant agreement and related form of warrant certificate representing the warrants, which we will file with the SEC in connection with an issuance of any warrants.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warrants, including the following, as may be applicable:</w:t>
      </w:r>
    </w:p>
    <w:p>
      <w:pPr>
        <w:pStyle w:val="TextBody"/>
        <w:bidi w:val="0"/>
        <w:ind w:left="0" w:right="0" w:firstLine="72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1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ind w:left="1080" w:right="0" w:firstLine="72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1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warrants to be issued;</w:t>
            </w:r>
          </w:p>
        </w:tc>
      </w:tr>
    </w:tbl>
    <w:p>
      <w:pPr>
        <w:pStyle w:val="TextBody"/>
        <w:bidi w:val="0"/>
        <w:ind w:left="1080" w:right="0" w:firstLine="72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10"/>
        <w:gridCol w:w="8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which we will issue the warrants, including the applicable currency or currencies;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to adjust the number or amount of shares of our common stock or other securities to be delivered upon exercise of the warrants;</w:t>
            </w:r>
          </w:p>
        </w:tc>
      </w:tr>
    </w:tbl>
    <w:p>
      <w:pPr>
        <w:pStyle w:val="TextBody"/>
        <w:bidi w:val="0"/>
        <w:ind w:left="108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10"/>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underlying securities purchasable upon exercise of the warrants;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and the currency or currencies in which investors may purchase the underlying securities purchasable upon exercise of the warrants;</w:t>
            </w:r>
          </w:p>
        </w:tc>
      </w:tr>
    </w:tbl>
    <w:p>
      <w:pPr>
        <w:pStyle w:val="TextBody"/>
        <w:bidi w:val="0"/>
        <w:ind w:left="1080" w:right="0" w:firstLine="72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1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w:t>
            </w:r>
          </w:p>
        </w:tc>
      </w:tr>
    </w:tbl>
    <w:p>
      <w:pPr>
        <w:pStyle w:val="TextBody"/>
        <w:bidi w:val="0"/>
        <w:ind w:left="1080" w:right="0" w:firstLine="72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10"/>
        <w:gridCol w:w="56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exercise of the warrants;</w:t>
            </w:r>
          </w:p>
        </w:tc>
      </w:tr>
    </w:tbl>
    <w:p>
      <w:pPr>
        <w:pStyle w:val="TextBody"/>
        <w:bidi w:val="0"/>
        <w:ind w:left="1080" w:right="0" w:firstLine="72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1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will be in registered or bearer form;</w:t>
            </w:r>
          </w:p>
        </w:tc>
      </w:tr>
    </w:tbl>
    <w:p>
      <w:pPr>
        <w:pStyle w:val="TextBody"/>
        <w:bidi w:val="0"/>
        <w:ind w:left="1080" w:right="0" w:firstLine="72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110"/>
        <w:gridCol w:w="6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registration and transfer procedures, if any;</w:t>
            </w:r>
          </w:p>
        </w:tc>
      </w:tr>
    </w:tbl>
    <w:p>
      <w:pPr>
        <w:pStyle w:val="TextBody"/>
        <w:bidi w:val="0"/>
        <w:ind w:left="1080" w:right="0" w:firstLine="72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11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or maximum amount of warrants that may be exercised at any one time;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underlying securities with which the warrants are issued and the number of warrants issued with each underlying security;</w:t>
            </w:r>
          </w:p>
        </w:tc>
      </w:tr>
    </w:tbl>
    <w:p>
      <w:pPr>
        <w:pStyle w:val="TextBody"/>
        <w:bidi w:val="0"/>
        <w:ind w:left="1080" w:right="0" w:firstLine="72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and after which the warrants and securities issued with the warrants will be separately transferable;</w:t>
            </w:r>
          </w:p>
        </w:tc>
      </w:tr>
    </w:tbl>
    <w:p>
      <w:pPr>
        <w:pStyle w:val="TextBody"/>
        <w:bidi w:val="0"/>
        <w:ind w:left="1080" w:right="0" w:firstLine="72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1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material United States federal income tax considerations;</w:t>
            </w:r>
          </w:p>
        </w:tc>
      </w:tr>
    </w:tbl>
    <w:p>
      <w:pPr>
        <w:pStyle w:val="TextBody"/>
        <w:bidi w:val="0"/>
        <w:ind w:left="1080" w:right="0" w:firstLine="72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10"/>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warrant agent;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 including terms, procedures and limitations relating to the exchange, transfer and exercise of the warrants.</w:t>
            </w:r>
          </w:p>
        </w:tc>
      </w:tr>
    </w:tbl>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may be exchanged for new warrant certificates of different denominations, and warrants may be exercised at the warrant agent’s corporate trust office or any other office indicated in the applicable prospectus supplement. Prior to the exercise of their warrants, holders of warrants exercisable for shares of our common stock or preferred stock will not have any rights of holders of our common stock or preferred stock purchasable upon such exercise, including any rights to vote such shares or to receive any distributions or dividends thereon.</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Warrants may be exercised at any time prior to the close of business on the expiration date and in accordance with the procedures set forth in the applicable prospectus supplement. Upon and after the close of business on the expiration date, unexercised warrants will be void and have no further force, effect or value.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7" w:name="e26030_013"/>
      <w:bookmarkEnd w:id="27"/>
      <w:r>
        <w:rPr>
          <w:rFonts w:ascii="Times New Roman;Times;Serif" w:hAnsi="Times New Roman;Times;Serif"/>
          <w:b/>
          <w:i w:val="false"/>
          <w:caps w:val="false"/>
          <w:smallCaps w:val="false"/>
          <w:sz w:val="20"/>
        </w:rPr>
        <w:t>DESCRIPTION OF PURCHASE CONTRACTS AND PURCHASE 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for the purchase or sale of common stock, preferred stock or debt securities issued by us as specified in the applicable prospectus supplement. Each purchase contract will entitle the holder thereof to purchase or sell, and obligate us to sell or purchase on specified dates, such securities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securities otherwise deliverable,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 The price per security and the number of securities may be fixed at the time the purchase contracts are entered into or may be determined by reference to a specific formula set forth in the applicable purchase contracts.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contracts may be issued separately or as part of units consisting of a purchase contract and debt securities, or any other securities offered under this prospectus and described in the applicable prospectus supplement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on some basis.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offering of purchase contracts or purchase units will contain the specific terms of the purchase contracts or purchase units. These terms may include, without limitation, the following:</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ind w:left="1080" w:right="0" w:firstLine="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10"/>
        <w:gridCol w:w="4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are to be prepaid or not;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are to be settled by delivery, or by reference or linkage to the value, performance or level of the securities subject to purchase under the purchase contract;</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acceleration, cancellation, termination or other provisions relating to the settlement of the purchase contracts or purchase units;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United States federal income tax considerations applicable to the purchase contracts or purchase units;</w:t>
            </w:r>
          </w:p>
        </w:tc>
      </w:tr>
    </w:tbl>
    <w:p>
      <w:pPr>
        <w:pStyle w:val="TextBody"/>
        <w:bidi w:val="0"/>
        <w:ind w:left="1080" w:right="0" w:firstLine="72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1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purchase contracts or purchase units will be issued in fully registered or global form; and</w:t>
            </w:r>
          </w:p>
        </w:tc>
      </w:tr>
    </w:tbl>
    <w:p>
      <w:pPr>
        <w:pStyle w:val="TextBody"/>
        <w:bidi w:val="0"/>
        <w:ind w:left="1080" w:right="0" w:firstLine="72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1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purchase contracts or purchase units and any securities subject to such purchase contracts.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purchase contracts and purchase units we offer will not necessarily be complete and is subject to, and will be qualified in its entirety by reference to, the applicable purchase contract or unit agreement, which will be filed with the SEC in connection with any offering of such securities.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8" w:name="e26030_014"/>
      <w:bookmarkEnd w:id="28"/>
      <w:r>
        <w:rPr>
          <w:rFonts w:ascii="Times New Roman;Times;Serif" w:hAnsi="Times New Roman;Times;Serif"/>
          <w:b/>
          <w:i w:val="false"/>
          <w:caps w:val="false"/>
          <w:smallCaps w:val="false"/>
          <w:sz w:val="20"/>
        </w:rPr>
        <w:t>DESCRIPTION OF SUBSCRIPTION RIGHTS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common stock, preferred stock or debt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that have not been subscribed for after such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ind w:left="1080" w:right="0" w:hanging="36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each share of our common stock or preferred stock or for debt securities upon the exercise of the subscription rights;</w:t>
            </w:r>
          </w:p>
        </w:tc>
      </w:tr>
    </w:tbl>
    <w:p>
      <w:pPr>
        <w:pStyle w:val="TextBody"/>
        <w:bidi w:val="0"/>
        <w:ind w:left="1080" w:right="0" w:firstLine="72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75"/>
        <w:gridCol w:w="110"/>
        <w:gridCol w:w="49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issued to each stockholder;</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each share of our common stock or preferred stock or debt securities that may be purchased per each subscription right;</w:t>
            </w:r>
          </w:p>
        </w:tc>
      </w:tr>
    </w:tbl>
    <w:p>
      <w:pPr>
        <w:pStyle w:val="TextBody"/>
        <w:bidi w:val="0"/>
        <w:ind w:left="1080" w:right="0" w:firstLine="72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10"/>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bl>
    <w:p>
      <w:pPr>
        <w:pStyle w:val="TextBody"/>
        <w:bidi w:val="0"/>
        <w:ind w:left="108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10"/>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offering of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subscription rights or the exercise price of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will commence, and the date on which the subscription rights will expire;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entered into by us in connection with the offering of subscription rights.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is subject to, and will be qualified in its entirety by reference to, the applicable subscription rights agreement and subscription rights certificate, which will be filed with the SEC in connection with any offering of subscription rights.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29" w:name="e26030_015"/>
      <w:bookmarkEnd w:id="29"/>
      <w:r>
        <w:rPr>
          <w:rFonts w:ascii="Times New Roman;Times;Serif" w:hAnsi="Times New Roman;Times;Serif"/>
          <w:b/>
          <w:i w:val="false"/>
          <w:caps w:val="false"/>
          <w:smallCaps w:val="false"/>
          <w:sz w:val="20"/>
        </w:rPr>
        <w:t>DESCRIPTION OF UNITS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any combination of two or more of the other securities described in this prospectus and as specified in the applicable prospectus supplement. Each unit will be issued so that the holder of the unit is also the holder, with rights and obligations of a holder, of each security included in the unit. The units may be issued under unit agreements to be entered into between us and a unit agent.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specify the terms of the units, including:</w:t>
      </w:r>
    </w:p>
    <w:p>
      <w:pPr>
        <w:pStyle w:val="TextBody"/>
        <w:bidi w:val="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any of the securities comprising the units, including whether and under what circumstances the securities comprising the units may be held or transferred separately;</w:t>
            </w:r>
          </w:p>
        </w:tc>
      </w:tr>
    </w:tbl>
    <w:p>
      <w:pPr>
        <w:pStyle w:val="TextBody"/>
        <w:bidi w:val="0"/>
        <w:ind w:left="1080" w:right="0" w:firstLine="72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10"/>
        <w:gridCol w:w="5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terms of any unit agreement governing the units;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provisions for the issuance, payment, settlement, transfer or exchange of the units or of the securities comprising the units;</w:t>
            </w:r>
          </w:p>
        </w:tc>
      </w:tr>
    </w:tbl>
    <w:p>
      <w:pPr>
        <w:pStyle w:val="TextBody"/>
        <w:bidi w:val="0"/>
        <w:ind w:left="108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10"/>
        <w:gridCol w:w="7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material United States federal income tax considerations, if applicable; and</w:t>
            </w:r>
          </w:p>
        </w:tc>
      </w:tr>
    </w:tbl>
    <w:p>
      <w:pPr>
        <w:pStyle w:val="TextBody"/>
        <w:bidi w:val="0"/>
        <w:ind w:left="108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10"/>
        <w:gridCol w:w="7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if issued as a separate security, will be issued in fully registered or global form.</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description in the applicable prospectus supplement of any units we offer will not necessarily be complete and is subject to, and will be qualified in its entirety by reference to, the applicable unit agreement, which will be filed with the SEC in connection with any offering of units.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30" w:name="e26030_016"/>
      <w:bookmarkEnd w:id="30"/>
      <w:r>
        <w:rPr>
          <w:rFonts w:ascii="Times New Roman;Times;Serif" w:hAnsi="Times New Roman;Times;Serif"/>
          <w:b/>
          <w:i w:val="false"/>
          <w:caps w:val="false"/>
          <w:smallCaps w:val="false"/>
          <w:sz w:val="20"/>
        </w:rPr>
        <w:t>PLAN OF DISTRIBUTION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pStyle w:val="TextBody"/>
        <w:bidi w:val="0"/>
        <w:ind w:left="0" w:right="0" w:firstLine="72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10"/>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w:t>
            </w:r>
          </w:p>
        </w:tc>
      </w:tr>
    </w:tbl>
    <w:p>
      <w:pPr>
        <w:pStyle w:val="TextBody"/>
        <w:bidi w:val="0"/>
        <w:ind w:left="1080" w:right="0" w:firstLine="72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bl>
    <w:p>
      <w:pPr>
        <w:pStyle w:val="TextBody"/>
        <w:bidi w:val="0"/>
        <w:ind w:left="1080" w:right="0" w:firstLine="72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10"/>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the prevailing market price; or</w:t>
            </w:r>
          </w:p>
        </w:tc>
      </w:tr>
    </w:tbl>
    <w:p>
      <w:pPr>
        <w:pStyle w:val="TextBody"/>
        <w:bidi w:val="0"/>
        <w:ind w:left="1080" w:right="0" w:firstLine="72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110"/>
        <w:gridCol w:w="1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type and series of securities offered, the applicable prospectus supplement will set forth the terms of the offering, including, without limitation:</w:t>
      </w:r>
    </w:p>
    <w:p>
      <w:pPr>
        <w:pStyle w:val="TextBody"/>
        <w:bidi w:val="0"/>
        <w:ind w:left="1080" w:right="0" w:firstLine="72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10"/>
        <w:gridCol w:w="2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 and the amount of securities underwritten or purchased by each of them, if any;</w:t>
            </w:r>
          </w:p>
        </w:tc>
      </w:tr>
    </w:tbl>
    <w:p>
      <w:pPr>
        <w:pStyle w:val="TextBody"/>
        <w:bidi w:val="0"/>
        <w:ind w:left="1080" w:right="0" w:firstLine="72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10"/>
        <w:gridCol w:w="2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bl>
    <w:p>
      <w:pPr>
        <w:pStyle w:val="TextBody"/>
        <w:bidi w:val="0"/>
        <w:ind w:left="1080" w:right="0" w:firstLine="72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10"/>
        <w:gridCol w:w="7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of securities to us and the use of proceeds from the sale of the securities;</w:t>
            </w:r>
          </w:p>
        </w:tc>
      </w:tr>
    </w:tbl>
    <w:p>
      <w:pPr>
        <w:pStyle w:val="TextBody"/>
        <w:bidi w:val="0"/>
        <w:ind w:left="108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concessions, commissions, agency fees or other compensation payable to underwriters, dealers or agents;</w:t>
            </w:r>
          </w:p>
        </w:tc>
      </w:tr>
    </w:tbl>
    <w:p>
      <w:pPr>
        <w:pStyle w:val="TextBody"/>
        <w:bidi w:val="0"/>
        <w:ind w:left="1080" w:right="0" w:firstLine="72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1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repaid to dealers;</w:t>
            </w:r>
          </w:p>
        </w:tc>
      </w:tr>
    </w:tbl>
    <w:p>
      <w:pPr>
        <w:pStyle w:val="TextBody"/>
        <w:bidi w:val="0"/>
        <w:ind w:left="1080" w:right="0" w:firstLine="72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110"/>
        <w:gridCol w:w="2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offering expenses; and</w:t>
            </w:r>
          </w:p>
        </w:tc>
      </w:tr>
    </w:tbl>
    <w:p>
      <w:pPr>
        <w:pStyle w:val="TextBody"/>
        <w:bidi w:val="0"/>
        <w:ind w:left="1080" w:right="0" w:firstLine="72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10"/>
        <w:gridCol w:w="5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exchanges on which the securities will be listed, if any.</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may make sales in privately negotiated transactions and/or any other method permitted by law, including sales deemed to be an “at-the-market” offering as defined in Rule 415 under the Securities Act, which includes sales made directly on Nasdaq, the existing trading market for our common stock, or sales made to or through a market maker other than on an exchange.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120" w:after="24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 Dealers or Agents; Direct Sales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underwriters in any sale of securities offered under this prospectus, the underwriters will buy the securities for their own account, including through underwriting, purchase, security lending or repurchase 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offered under this prospectus are sold directly, no underwriters, dealers or agents would be involved.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making an offer of securities in any state that does not permit such an offer. If we sell securities through dealers or agents, or directly, the terms of any such sales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 of a new series of securities, other than issuances of our common stock, will not have an established trading market, except as indicated in the applicable prospectus supplement.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 securities or preventing or delaying a decline in the market price of our securities. As a result, the market price of the securities may be higher than it otherwise would be in the absence of these transactions. The underwriters are not required to engage in these activities, and may end any of these activities at any time, all as described in the applicable prospectus supplement.</w:t>
      </w:r>
    </w:p>
    <w:p>
      <w:pPr>
        <w:pStyle w:val="TextBody"/>
        <w:bidi w:val="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 may affect the marketability of the securities offered under this prospectus and the ability of any person or entity to engage in market-making activities with respect to such securities.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with respect to any given offering will be described in the applicable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bookmarkStart w:id="31" w:name="e26030_017"/>
      <w:bookmarkEnd w:id="31"/>
      <w:r>
        <w:rPr>
          <w:rFonts w:ascii="Times New Roman;Times;Serif" w:hAnsi="Times New Roman;Times;Serif"/>
          <w:b/>
          <w:i w:val="false"/>
          <w:caps w:val="false"/>
          <w:smallCaps w:val="false"/>
          <w:sz w:val="20"/>
        </w:rPr>
        <w:t>LEGAL MATTERS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will be passed upon for us by Covington &amp; Burling LLP, Washington, D.C. If legal matters are passed upon by counsel for the underwriters, dealers or agents, if any, such counsel will be named in the prospectus supplement relating to such offering.</w:t>
      </w:r>
    </w:p>
    <w:p>
      <w:pPr>
        <w:pStyle w:val="TextBody"/>
        <w:bidi w:val="0"/>
        <w:ind w:left="0" w:right="0" w:firstLine="72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2" w:name="e26030_018"/>
      <w:bookmarkEnd w:id="32"/>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Five Star Bancorp incorporated in this prospectus by reference from our Annual Report on Form 10-K for the year ended December 31, 2024, have been audited by Baker Tilly US, LLP (formerly, Moss Adams LLP), an independent registered public accounting firm, as stated in their report (which report expresses an unqualified opinion and includes an explanatory paragraph relating to a change in the method of accounting for credit losses). Such consolidated financial statements are incorporated by reference in reliance upon the report of such firm given their authority as experts in accounting and auditing.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120" w:after="240"/>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2,725,000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07657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3076575" cy="581025"/>
                    </a:xfrm>
                    <a:prstGeom prst="rect">
                      <a:avLst/>
                    </a:prstGeom>
                  </pic:spPr>
                </pic:pic>
              </a:graphicData>
            </a:graphic>
          </wp:inline>
        </w:drawing>
      </w: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225"/>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Bookrunner</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48" w:after="283"/>
              <w:jc w:val="center"/>
              <w:rPr>
                <w:caps w:val="false"/>
                <w:smallCaps w:val="false"/>
              </w:rPr>
            </w:pPr>
            <w:r>
              <w:rPr>
                <w:caps w:val="false"/>
                <w:smallCaps w:val="false"/>
              </w:rPr>
              <w:t> </w:t>
            </w:r>
          </w:p>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Keefe, Bruyette &amp; Woods</w:t>
            </w:r>
          </w:p>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caps w:val="false"/>
                <w:smallCaps w:val="false"/>
                <w:sz w:val="20"/>
              </w:rPr>
              <w:t>A Stifel Company</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31" w:after="31"/>
        <w:ind w:left="31" w:right="31" w:hanging="0"/>
        <w:jc w:val="center"/>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1400"/>
        <w:gridCol w:w="2195"/>
        <w:gridCol w:w="1715"/>
        <w:gridCol w:w="1475"/>
      </w:tblGrid>
      <w:tr>
        <w:trPr/>
        <w:tc>
          <w:tcPr>
            <w:tcW w:w="140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center"/>
              <w:rPr>
                <w:i/>
              </w:rPr>
            </w:pPr>
            <w:r>
              <w:rPr>
                <w:i/>
              </w:rPr>
              <w:t>Co-Managers</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b/>
              </w:rPr>
            </w:pPr>
            <w:r>
              <w:rPr>
                <w:b/>
              </w:rPr>
              <w:t>Stephens Inc.</w:t>
            </w:r>
          </w:p>
        </w:tc>
        <w:tc>
          <w:tcPr>
            <w:tcW w:w="2195" w:type="dxa"/>
            <w:tcBorders/>
            <w:vAlign w:val="center"/>
          </w:tcPr>
          <w:p>
            <w:pPr>
              <w:pStyle w:val="TableContents"/>
              <w:bidi w:val="0"/>
              <w:spacing w:before="0" w:after="283"/>
              <w:jc w:val="center"/>
              <w:rPr>
                <w:b/>
              </w:rPr>
            </w:pPr>
            <w:r>
              <w:rPr>
                <w:b/>
              </w:rPr>
              <w:t>D.A. Davidson &amp; Co.</w:t>
            </w:r>
          </w:p>
        </w:tc>
        <w:tc>
          <w:tcPr>
            <w:tcW w:w="1715" w:type="dxa"/>
            <w:tcBorders/>
            <w:vAlign w:val="center"/>
          </w:tcPr>
          <w:p>
            <w:pPr>
              <w:pStyle w:val="TableContents"/>
              <w:bidi w:val="0"/>
              <w:spacing w:before="0" w:after="283"/>
              <w:jc w:val="center"/>
              <w:rPr>
                <w:b/>
              </w:rPr>
            </w:pPr>
            <w:r>
              <w:rPr>
                <w:b/>
              </w:rPr>
              <w:t>Raymond James</w:t>
            </w:r>
          </w:p>
        </w:tc>
        <w:tc>
          <w:tcPr>
            <w:tcW w:w="1475" w:type="dxa"/>
            <w:tcBorders/>
            <w:vAlign w:val="center"/>
          </w:tcPr>
          <w:p>
            <w:pPr>
              <w:pStyle w:val="TableContents"/>
              <w:bidi w:val="0"/>
              <w:spacing w:before="0" w:after="283"/>
              <w:jc w:val="center"/>
              <w:rPr>
                <w:b/>
              </w:rPr>
            </w:pPr>
            <w:r>
              <w:rPr>
                <w:b/>
              </w:rPr>
              <w:t>Brean Capital</w:t>
            </w:r>
          </w:p>
        </w:tc>
      </w:tr>
      <w:tr>
        <w:trPr/>
        <w:tc>
          <w:tcPr>
            <w:tcW w:w="140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bl>
    <w:p>
      <w:pPr>
        <w:pStyle w:val="TextBody"/>
        <w:bidi w:val="0"/>
        <w:spacing w:before="31" w:after="31"/>
        <w:ind w:left="31" w:right="31"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200" w:after="200"/>
        <w:ind w:left="200" w:right="20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22, 2026</w:t>
      </w:r>
    </w:p>
    <w:p>
      <w:pPr>
        <w:pStyle w:val="TextBody"/>
        <w:bidi w:val="0"/>
        <w:spacing w:before="0" w:after="0"/>
        <w:ind w:left="0" w:right="0" w:hanging="0"/>
        <w:jc w:val="left"/>
        <w:rPr>
          <w:bdr w:val="single" w:sz="16" w:space="6" w:color="DCDCDC"/>
        </w:rPr>
      </w:pPr>
      <w:r>
        <w:rPr>
          <w:bdr w:val="single" w:sz="16" w:space="6" w:color="DCDCD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75168/000162828026012724/fsbc-20251231.htm" TargetMode="External"/><Relationship Id="rId4" Type="http://schemas.openxmlformats.org/officeDocument/2006/relationships/hyperlink" Target="https://www.sec.gov/ix?doc=/Archives/edgar/data/0001275168/000162828026012724/fsbc-20251231.htm" TargetMode="External"/><Relationship Id="rId5" Type="http://schemas.openxmlformats.org/officeDocument/2006/relationships/hyperlink" Target="https://www.sec.gov/ix?doc=/Archives/edgar/data/0001275168/000162828026032282/fsbc-20260331.htm" TargetMode="External"/><Relationship Id="rId6" Type="http://schemas.openxmlformats.org/officeDocument/2006/relationships/hyperlink" Target="https://www.sec.gov/Archives/edgar/data/1275168/000162828026022075/def14a-proxy2026.htm" TargetMode="External"/><Relationship Id="rId7" Type="http://schemas.openxmlformats.org/officeDocument/2006/relationships/hyperlink" Target="https://www.sec.gov/ix?doc=/Archives/edgar/data/0001275168/000162828026038727/fsbc-20260521.htm" TargetMode="External"/><Relationship Id="rId8" Type="http://schemas.openxmlformats.org/officeDocument/2006/relationships/hyperlink" Target="https://www.sec.gov/Archives/edgar/data/1275168/000155278122000215/e22095_ex4-4.htm" TargetMode="External"/><Relationship Id="rId9" Type="http://schemas.openxmlformats.org/officeDocument/2006/relationships/image" Target="media/image2.jpeg"/><Relationship Id="rId10" Type="http://schemas.openxmlformats.org/officeDocument/2006/relationships/hyperlink" Target="https://www.sec.gov/ix?doc=/Archives/edgar/data/1275168/000127516825000038/fsbc-20241231.htm" TargetMode="External"/><Relationship Id="rId11" Type="http://schemas.openxmlformats.org/officeDocument/2006/relationships/hyperlink" Target="https://www.sec.gov/Archives/edgar/data/1275168/000127516825000056/def14a-proxy2025.htm" TargetMode="External"/><Relationship Id="rId12" Type="http://schemas.openxmlformats.org/officeDocument/2006/relationships/hyperlink" Target="https://www.sec.gov/ix?doc=/Archives/edgar/data/1275168/000127516825000106/fsbc-20250331.htm" TargetMode="External"/><Relationship Id="rId13" Type="http://schemas.openxmlformats.org/officeDocument/2006/relationships/hyperlink" Target="https://www.sec.gov/ix?doc=/Archives/edgar/data/1275168/000162828025038796/fsbc-20250630.htm" TargetMode="External"/><Relationship Id="rId14" Type="http://schemas.openxmlformats.org/officeDocument/2006/relationships/hyperlink" Target="https://www.sec.gov/ix?doc=/Archives/edgar/data/1275168/000162828025050090/fsbc-20250930.htm" TargetMode="External"/><Relationship Id="rId15" Type="http://schemas.openxmlformats.org/officeDocument/2006/relationships/hyperlink" Target="https://www.sec.gov/ix?doc=/Archives/edgar/data/1275168/000127516825000065/fsbc-20250417.htm" TargetMode="External"/><Relationship Id="rId16" Type="http://schemas.openxmlformats.org/officeDocument/2006/relationships/hyperlink" Target="https://www.sec.gov/ix?doc=/Archives/edgar/data/1275168/000127516825000108/fsbc-20250515.htm" TargetMode="External"/><Relationship Id="rId17" Type="http://schemas.openxmlformats.org/officeDocument/2006/relationships/hyperlink" Target="https://www.sec.gov/ix?doc=/Archives/edgar/data/1275168/000127516825000114/fsbc-20250603.htm" TargetMode="External"/><Relationship Id="rId18" Type="http://schemas.openxmlformats.org/officeDocument/2006/relationships/hyperlink" Target="https://www.sec.gov/ix?doc=/Archives/edgar/data/1275168/000162828025033029/fsbc-20250618.htm" TargetMode="External"/><Relationship Id="rId19" Type="http://schemas.openxmlformats.org/officeDocument/2006/relationships/hyperlink" Target="https://www.sec.gov/ix?doc=/Archives/edgar/data/1275168/000162828025049087/fsbc-20251104.htm" TargetMode="External"/><Relationship Id="rId20" Type="http://schemas.openxmlformats.org/officeDocument/2006/relationships/hyperlink" Target="https://www.sec.gov/Archives/edgar/data/1275168/000155278121000286/e21313_fsbc-8a12b.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38114</Words>
  <Characters>201561</Characters>
  <CharactersWithSpaces>239572</CharactersWithSpaces>
  <Paragraphs>3409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