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196850</wp:posOffset>
            </wp:positionH>
            <wp:positionV relativeFrom="page">
              <wp:posOffset>382905</wp:posOffset>
            </wp:positionV>
            <wp:extent cx="71869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698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403225</wp:posOffset>
            </wp:positionV>
            <wp:extent cx="71869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698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0" w:lineRule="exact"/>
        <w:rPr>
          <w:sz w:val="24"/>
          <w:szCs w:val="24"/>
          <w:color w:val="auto"/>
        </w:rPr>
      </w:pPr>
    </w:p>
    <w:p>
      <w:pPr>
        <w:ind w:left="240"/>
        <w:spacing w:after="0"/>
        <w:rPr>
          <w:sz w:val="20"/>
          <w:szCs w:val="20"/>
          <w:color w:val="auto"/>
        </w:rPr>
      </w:pPr>
      <w:r>
        <w:rPr>
          <w:rFonts w:ascii="Arial" w:cs="Arial" w:eastAsia="Arial" w:hAnsi="Arial"/>
          <w:sz w:val="14"/>
          <w:szCs w:val="14"/>
          <w:color w:val="auto"/>
        </w:rPr>
        <w:t xml:space="preserve">x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2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4"/>
          <w:szCs w:val="14"/>
          <w:color w:val="auto"/>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3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 to 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Commission file number: </w:t>
      </w:r>
      <w:r>
        <w:rPr>
          <w:rFonts w:ascii="Times New Roman" w:cs="Times New Roman" w:eastAsia="Times New Roman" w:hAnsi="Times New Roman"/>
          <w:sz w:val="14"/>
          <w:szCs w:val="14"/>
          <w:b w:val="1"/>
          <w:bCs w:val="1"/>
          <w:u w:val="single" w:color="auto"/>
          <w:color w:val="auto"/>
        </w:rPr>
        <w:t>001-40379</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FIVE STAR BANCORP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20" w:h="16838" w:orient="portrait"/>
          <w:cols w:equalWidth="0" w:num="1">
            <w:col w:w="11300"/>
          </w:cols>
          <w:pgMar w:left="320" w:top="691" w:right="298" w:bottom="1440" w:gutter="0" w:footer="0" w:header="0"/>
        </w:sectPr>
      </w:pPr>
    </w:p>
    <w:p>
      <w:pPr>
        <w:spacing w:after="0" w:line="98"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California</w:t>
      </w:r>
    </w:p>
    <w:p>
      <w:pPr>
        <w:spacing w:after="0" w:line="15" w:lineRule="exact"/>
        <w:rPr>
          <w:sz w:val="24"/>
          <w:szCs w:val="24"/>
          <w:color w:val="auto"/>
        </w:rPr>
      </w:pPr>
    </w:p>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3100 Zinfandel Drive, Suite 100</w:t>
      </w:r>
    </w:p>
    <w:p>
      <w:pPr>
        <w:spacing w:after="0" w:line="7"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4"/>
          <w:szCs w:val="14"/>
          <w:b w:val="1"/>
          <w:bCs w:val="1"/>
          <w:color w:val="auto"/>
        </w:rPr>
        <w:t>Rancho Cordova, California</w:t>
      </w:r>
    </w:p>
    <w:p>
      <w:pPr>
        <w:spacing w:after="0" w:line="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19"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(916) 626-5000</w:t>
      </w:r>
    </w:p>
    <w:p>
      <w:pPr>
        <w:spacing w:after="0" w:line="25"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6" w:lineRule="exact"/>
        <w:rPr>
          <w:sz w:val="24"/>
          <w:szCs w:val="24"/>
          <w:color w:val="auto"/>
        </w:rPr>
      </w:pPr>
    </w:p>
    <w:p>
      <w:pPr>
        <w:jc w:val="center"/>
        <w:ind w:left="39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57"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75-3100966</w:t>
      </w:r>
    </w:p>
    <w:p>
      <w:pPr>
        <w:spacing w:after="0" w:line="25"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53"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95670</w:t>
      </w:r>
    </w:p>
    <w:p>
      <w:pPr>
        <w:spacing w:after="0" w:line="25"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11" w:lineRule="exact"/>
        <w:rPr>
          <w:sz w:val="24"/>
          <w:szCs w:val="24"/>
          <w:color w:val="auto"/>
        </w:rPr>
      </w:pPr>
    </w:p>
    <w:p>
      <w:pPr>
        <w:sectPr>
          <w:pgSz w:w="11920" w:h="16838" w:orient="portrait"/>
          <w:cols w:equalWidth="0" w:num="2">
            <w:col w:w="7380" w:space="40"/>
            <w:col w:w="3880"/>
          </w:cols>
          <w:pgMar w:left="320" w:top="691" w:right="298" w:bottom="1440" w:gutter="0" w:footer="0" w:header="0"/>
          <w:type w:val="continuous"/>
        </w:sectPr>
      </w:pPr>
    </w:p>
    <w:tbl>
      <w:tblPr>
        <w:tblLayout w:type="fixed"/>
        <w:tblInd w:w="70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880" w:type="dxa"/>
            <w:vAlign w:val="bottom"/>
          </w:tcPr>
          <w:p>
            <w:pPr>
              <w:spacing w:after="0"/>
              <w:rPr>
                <w:sz w:val="13"/>
                <w:szCs w:val="13"/>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4"/>
        </w:trPr>
        <w:tc>
          <w:tcPr>
            <w:tcW w:w="338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Common Stock, no par value per share</w:t>
            </w:r>
          </w:p>
        </w:tc>
        <w:tc>
          <w:tcPr>
            <w:tcW w:w="1000" w:type="dxa"/>
            <w:vAlign w:val="bottom"/>
          </w:tcPr>
          <w:p>
            <w:pPr>
              <w:spacing w:after="0"/>
              <w:rPr>
                <w:sz w:val="18"/>
                <w:szCs w:val="18"/>
                <w:color w:val="auto"/>
              </w:rPr>
            </w:pPr>
          </w:p>
        </w:tc>
        <w:tc>
          <w:tcPr>
            <w:tcW w:w="3020" w:type="dxa"/>
            <w:vAlign w:val="bottom"/>
            <w:gridSpan w:val="2"/>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FSBC</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6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b w:val="1"/>
          <w:bCs w:val="1"/>
          <w:u w:val="single" w:color="auto"/>
          <w:color w:val="auto"/>
        </w:rPr>
        <w:t>None</w:t>
      </w:r>
    </w:p>
    <w:p>
      <w:pPr>
        <w:spacing w:after="0" w:line="54" w:lineRule="exact"/>
        <w:rPr>
          <w:sz w:val="24"/>
          <w:szCs w:val="24"/>
          <w:color w:val="auto"/>
        </w:rPr>
      </w:pPr>
    </w:p>
    <w:p>
      <w:pPr>
        <w:ind w:right="4720"/>
        <w:spacing w:after="0" w:line="344" w:lineRule="auto"/>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w:cs="Arial" w:eastAsia="Arial" w:hAnsi="Arial"/>
          <w:sz w:val="12"/>
          <w:szCs w:val="12"/>
          <w:color w:val="auto"/>
        </w:rPr>
        <w:t>o</w:t>
      </w:r>
      <w:r>
        <w:rPr>
          <w:rFonts w:ascii="Times New Roman" w:cs="Times New Roman" w:eastAsia="Times New Roman" w:hAnsi="Times New Roman"/>
          <w:sz w:val="12"/>
          <w:szCs w:val="12"/>
          <w:color w:val="auto"/>
        </w:rPr>
        <w:t xml:space="preserve"> No </w:t>
      </w:r>
      <w:r>
        <w:rPr>
          <w:rFonts w:ascii="Arial" w:cs="Arial" w:eastAsia="Arial" w:hAnsi="Arial"/>
          <w:sz w:val="12"/>
          <w:szCs w:val="12"/>
          <w:color w:val="auto"/>
        </w:rPr>
        <w:t>x</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Arial" w:cs="Arial" w:eastAsia="Arial" w:hAnsi="Arial"/>
          <w:sz w:val="12"/>
          <w:szCs w:val="12"/>
          <w:color w:val="auto"/>
        </w:rPr>
        <w:t>o</w:t>
      </w:r>
      <w:r>
        <w:rPr>
          <w:rFonts w:ascii="Times New Roman" w:cs="Times New Roman" w:eastAsia="Times New Roman" w:hAnsi="Times New Roman"/>
          <w:sz w:val="12"/>
          <w:szCs w:val="12"/>
          <w:color w:val="auto"/>
        </w:rPr>
        <w:t xml:space="preserve"> No </w:t>
      </w:r>
      <w:r>
        <w:rPr>
          <w:rFonts w:ascii="Arial" w:cs="Arial" w:eastAsia="Arial" w:hAnsi="Arial"/>
          <w:sz w:val="12"/>
          <w:szCs w:val="12"/>
          <w:color w:val="auto"/>
        </w:rPr>
        <w:t>x</w:t>
      </w:r>
    </w:p>
    <w:p>
      <w:pPr>
        <w:spacing w:after="0" w:line="1"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(l)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o</w:t>
      </w:r>
    </w:p>
    <w:p>
      <w:pPr>
        <w:spacing w:after="0" w:line="18"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o</w:t>
      </w:r>
    </w:p>
    <w:p>
      <w:pPr>
        <w:spacing w:after="0" w:line="7" w:lineRule="exact"/>
        <w:rPr>
          <w:sz w:val="24"/>
          <w:szCs w:val="24"/>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00" w:type="dxa"/>
            <w:vAlign w:val="bottom"/>
          </w:tcPr>
          <w:p>
            <w:pPr>
              <w:ind w:left="1240"/>
              <w:spacing w:after="0"/>
              <w:rPr>
                <w:sz w:val="20"/>
                <w:szCs w:val="20"/>
                <w:color w:val="auto"/>
              </w:rPr>
            </w:pPr>
            <w:r>
              <w:rPr>
                <w:rFonts w:ascii="Arial" w:cs="Arial" w:eastAsia="Arial" w:hAnsi="Arial"/>
                <w:sz w:val="13"/>
                <w:szCs w:val="13"/>
                <w:color w:val="auto"/>
              </w:rPr>
              <w:t>o</w:t>
            </w:r>
          </w:p>
        </w:tc>
        <w:tc>
          <w:tcPr>
            <w:tcW w:w="374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Accelerated filer</w:t>
            </w:r>
          </w:p>
        </w:tc>
        <w:tc>
          <w:tcPr>
            <w:tcW w:w="1300" w:type="dxa"/>
            <w:vAlign w:val="bottom"/>
          </w:tcPr>
          <w:p>
            <w:pPr>
              <w:ind w:left="1220"/>
              <w:spacing w:after="0"/>
              <w:rPr>
                <w:sz w:val="20"/>
                <w:szCs w:val="20"/>
                <w:color w:val="auto"/>
              </w:rPr>
            </w:pPr>
            <w:r>
              <w:rPr>
                <w:rFonts w:ascii="Arial" w:cs="Arial" w:eastAsia="Arial" w:hAnsi="Arial"/>
                <w:sz w:val="13"/>
                <w:szCs w:val="13"/>
                <w:color w:val="auto"/>
                <w:w w:val="91"/>
              </w:rPr>
              <w:t>x</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00" w:type="dxa"/>
            <w:vAlign w:val="bottom"/>
          </w:tcPr>
          <w:p>
            <w:pPr>
              <w:ind w:left="1240"/>
              <w:spacing w:after="0"/>
              <w:rPr>
                <w:sz w:val="20"/>
                <w:szCs w:val="20"/>
                <w:color w:val="auto"/>
              </w:rPr>
            </w:pPr>
            <w:r>
              <w:rPr>
                <w:rFonts w:ascii="Arial" w:cs="Arial" w:eastAsia="Arial" w:hAnsi="Arial"/>
                <w:sz w:val="13"/>
                <w:szCs w:val="13"/>
                <w:color w:val="auto"/>
              </w:rPr>
              <w:t>o</w:t>
            </w:r>
          </w:p>
        </w:tc>
        <w:tc>
          <w:tcPr>
            <w:tcW w:w="374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300" w:type="dxa"/>
            <w:vAlign w:val="bottom"/>
          </w:tcPr>
          <w:p>
            <w:pPr>
              <w:ind w:left="1220"/>
              <w:spacing w:after="0"/>
              <w:rPr>
                <w:sz w:val="20"/>
                <w:szCs w:val="20"/>
                <w:color w:val="auto"/>
              </w:rPr>
            </w:pPr>
            <w:r>
              <w:rPr>
                <w:rFonts w:ascii="Arial" w:cs="Arial" w:eastAsia="Arial" w:hAnsi="Arial"/>
                <w:sz w:val="13"/>
                <w:szCs w:val="13"/>
                <w:color w:val="auto"/>
                <w:w w:val="82"/>
              </w:rPr>
              <w:t>o</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0" w:type="dxa"/>
            <w:vAlign w:val="bottom"/>
          </w:tcPr>
          <w:p>
            <w:pPr>
              <w:ind w:left="1240"/>
              <w:spacing w:after="0"/>
              <w:rPr>
                <w:sz w:val="20"/>
                <w:szCs w:val="20"/>
                <w:color w:val="auto"/>
              </w:rPr>
            </w:pPr>
            <w:r>
              <w:rPr>
                <w:rFonts w:ascii="Arial" w:cs="Arial" w:eastAsia="Arial" w:hAnsi="Arial"/>
                <w:sz w:val="13"/>
                <w:szCs w:val="13"/>
                <w:color w:val="auto"/>
              </w:rPr>
              <w:t>x</w:t>
            </w:r>
          </w:p>
        </w:tc>
        <w:tc>
          <w:tcPr>
            <w:tcW w:w="374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20"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18"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3"/>
          <w:szCs w:val="13"/>
          <w:color w:val="auto"/>
        </w:rPr>
        <w:t>o</w:t>
      </w:r>
    </w:p>
    <w:p>
      <w:pPr>
        <w:spacing w:after="0" w:line="18"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3"/>
          <w:szCs w:val="13"/>
          <w:color w:val="auto"/>
        </w:rPr>
        <w:t>o</w:t>
      </w:r>
    </w:p>
    <w:p>
      <w:pPr>
        <w:spacing w:after="0" w:line="7" w:lineRule="exact"/>
        <w:rPr>
          <w:sz w:val="24"/>
          <w:szCs w:val="24"/>
          <w:color w:val="auto"/>
        </w:rPr>
      </w:pPr>
    </w:p>
    <w:p>
      <w:pPr>
        <w:ind w:right="160"/>
        <w:spacing w:after="0" w:line="278"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w:cs="Arial" w:eastAsia="Arial" w:hAnsi="Arial"/>
          <w:sz w:val="13"/>
          <w:szCs w:val="13"/>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w:cs="Arial" w:eastAsia="Arial" w:hAnsi="Arial"/>
          <w:sz w:val="13"/>
          <w:szCs w:val="13"/>
          <w:color w:val="auto"/>
        </w:rPr>
        <w:t>o</w:t>
      </w:r>
      <w:r>
        <w:rPr>
          <w:rFonts w:ascii="Times New Roman" w:cs="Times New Roman" w:eastAsia="Times New Roman" w:hAnsi="Times New Roman"/>
          <w:sz w:val="13"/>
          <w:szCs w:val="13"/>
          <w:color w:val="auto"/>
        </w:rPr>
        <w:t xml:space="preserve"> No </w:t>
      </w:r>
      <w:r>
        <w:rPr>
          <w:rFonts w:ascii="Arial" w:cs="Arial" w:eastAsia="Arial" w:hAnsi="Arial"/>
          <w:sz w:val="13"/>
          <w:szCs w:val="13"/>
          <w:color w:val="auto"/>
        </w:rPr>
        <w:t>x</w:t>
      </w:r>
    </w:p>
    <w:p>
      <w:pPr>
        <w:spacing w:after="0" w:line="56"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of the registrant held by non-affiliates as of June 30, 2025 was $477.2 million. As of February 24, 2026, the number of shares outstanding of the registrant’s common stock was 21,376,153.</w:t>
      </w:r>
    </w:p>
    <w:p>
      <w:pPr>
        <w:spacing w:after="0" w:line="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Registrant’s Definitive Proxy Statement to be filed with the Securities and Exchange Commission pursuant to Regulation 14A for its 2026 Annual Meeting of Shareholders are incorporated by reference into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329565</wp:posOffset>
            </wp:positionV>
            <wp:extent cx="72123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58420</wp:posOffset>
            </wp:positionV>
            <wp:extent cx="71869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78740</wp:posOffset>
            </wp:positionV>
            <wp:extent cx="71869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6985"/>
                    </a:xfrm>
                    <a:prstGeom prst="rect">
                      <a:avLst/>
                    </a:prstGeom>
                    <a:noFill/>
                  </pic:spPr>
                </pic:pic>
              </a:graphicData>
            </a:graphic>
          </wp:anchor>
        </w:drawing>
      </w:r>
    </w:p>
    <w:p>
      <w:pPr>
        <w:sectPr>
          <w:pgSz w:w="11920" w:h="16838" w:orient="portrait"/>
          <w:cols w:equalWidth="0" w:num="1">
            <w:col w:w="11300"/>
          </w:cols>
          <w:pgMar w:left="320" w:top="691" w:right="298"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0" w:type="dxa"/>
            <w:vAlign w:val="bottom"/>
            <w:gridSpan w:val="7"/>
          </w:tcPr>
          <w:p>
            <w:pPr>
              <w:ind w:left="6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80" w:type="dxa"/>
            <w:vAlign w:val="bottom"/>
          </w:tcPr>
          <w:p>
            <w:pPr>
              <w:spacing w:after="0"/>
              <w:rPr>
                <w:sz w:val="13"/>
                <w:szCs w:val="13"/>
                <w:color w:val="auto"/>
              </w:rPr>
            </w:pPr>
          </w:p>
        </w:tc>
      </w:tr>
      <w:tr>
        <w:trPr>
          <w:trHeight w:val="363"/>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182"/>
        </w:trPr>
        <w:tc>
          <w:tcPr>
            <w:tcW w:w="11020" w:type="dxa"/>
            <w:vAlign w:val="bottom"/>
            <w:gridSpan w:val="28"/>
          </w:tcPr>
          <w:p>
            <w:pPr>
              <w:spacing w:after="0"/>
              <w:rPr>
                <w:sz w:val="20"/>
                <w:szCs w:val="20"/>
                <w:color w:val="auto"/>
              </w:rPr>
            </w:pPr>
            <w:r>
              <w:rPr>
                <w:rFonts w:ascii="Times New Roman" w:cs="Times New Roman" w:eastAsia="Times New Roman" w:hAnsi="Times New Roman"/>
                <w:sz w:val="14"/>
                <w:szCs w:val="14"/>
                <w:color w:val="0000FF"/>
              </w:rPr>
              <w:t>Cautionary Note Regarding Forward-Looking Statements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95"/>
        </w:trPr>
        <w:tc>
          <w:tcPr>
            <w:tcW w:w="8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PART I</w:t>
            </w:r>
          </w:p>
        </w:tc>
        <w:tc>
          <w:tcPr>
            <w:tcW w:w="5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85"/>
        </w:trPr>
        <w:tc>
          <w:tcPr>
            <w:tcW w:w="4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1.</w:t>
            </w:r>
          </w:p>
        </w:tc>
        <w:tc>
          <w:tcPr>
            <w:tcW w:w="460" w:type="dxa"/>
            <w:vAlign w:val="bottom"/>
            <w:gridSpan w:val="2"/>
          </w:tcPr>
          <w:p>
            <w:pPr>
              <w:spacing w:after="0"/>
              <w:rPr>
                <w:sz w:val="24"/>
                <w:szCs w:val="24"/>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Item 1A.</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Risk Factors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1B.</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3"/>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1C.</w:t>
            </w:r>
          </w:p>
        </w:tc>
        <w:tc>
          <w:tcPr>
            <w:tcW w:w="400" w:type="dxa"/>
            <w:vAlign w:val="bottom"/>
          </w:tcPr>
          <w:p>
            <w:pPr>
              <w:spacing w:after="0"/>
              <w:rPr>
                <w:sz w:val="16"/>
                <w:szCs w:val="16"/>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Cybersecurity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2.</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Properties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3.</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Legal Proceedings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5"/>
        </w:trPr>
        <w:tc>
          <w:tcPr>
            <w:tcW w:w="4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0"/>
              </w:rPr>
              <w:t>PART II</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385"/>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400" w:type="dxa"/>
            <w:vAlign w:val="bottom"/>
          </w:tcPr>
          <w:p>
            <w:pPr>
              <w:spacing w:after="0"/>
              <w:rPr>
                <w:sz w:val="24"/>
                <w:szCs w:val="24"/>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6.</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7.</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3"/>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Item 7A.</w:t>
            </w:r>
          </w:p>
        </w:tc>
        <w:tc>
          <w:tcPr>
            <w:tcW w:w="400" w:type="dxa"/>
            <w:vAlign w:val="bottom"/>
          </w:tcPr>
          <w:p>
            <w:pPr>
              <w:spacing w:after="0"/>
              <w:rPr>
                <w:sz w:val="16"/>
                <w:szCs w:val="16"/>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8.</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Item 9.</w:t>
            </w: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0"/>
        </w:trPr>
        <w:tc>
          <w:tcPr>
            <w:tcW w:w="40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8"/>
              </w:rPr>
              <w:t>Item 9A.</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89"/>
              </w:rPr>
              <w:t>Item 9B.</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5"/>
        </w:trPr>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PART III</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385"/>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Item 10.</w:t>
            </w:r>
          </w:p>
        </w:tc>
        <w:tc>
          <w:tcPr>
            <w:tcW w:w="400" w:type="dxa"/>
            <w:vAlign w:val="bottom"/>
          </w:tcPr>
          <w:p>
            <w:pPr>
              <w:spacing w:after="0"/>
              <w:rPr>
                <w:sz w:val="24"/>
                <w:szCs w:val="24"/>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11.</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Executive Compensation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3"/>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12.</w:t>
            </w:r>
          </w:p>
        </w:tc>
        <w:tc>
          <w:tcPr>
            <w:tcW w:w="400" w:type="dxa"/>
            <w:vAlign w:val="bottom"/>
          </w:tcPr>
          <w:p>
            <w:pPr>
              <w:spacing w:after="0"/>
              <w:rPr>
                <w:sz w:val="16"/>
                <w:szCs w:val="16"/>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Shareholder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
        </w:trPr>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13.</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
        </w:trPr>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14.</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Principal Accountant Fees and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20"/>
        </w:trPr>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5"/>
        </w:trPr>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PART IV</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385"/>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4"/>
              </w:rPr>
              <w:t>Item 15.</w:t>
            </w:r>
          </w:p>
        </w:tc>
        <w:tc>
          <w:tcPr>
            <w:tcW w:w="400" w:type="dxa"/>
            <w:vAlign w:val="bottom"/>
          </w:tcPr>
          <w:p>
            <w:pPr>
              <w:spacing w:after="0"/>
              <w:rPr>
                <w:sz w:val="24"/>
                <w:szCs w:val="24"/>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260" w:type="dxa"/>
            <w:vAlign w:val="bottom"/>
            <w:gridSpan w:val="6"/>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2"/>
        </w:trPr>
        <w:tc>
          <w:tcPr>
            <w:tcW w:w="48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4"/>
              </w:rPr>
              <w:t>Item 16.</w:t>
            </w:r>
          </w:p>
        </w:tc>
        <w:tc>
          <w:tcPr>
            <w:tcW w:w="400" w:type="dxa"/>
            <w:vAlign w:val="bottom"/>
          </w:tcPr>
          <w:p>
            <w:pPr>
              <w:spacing w:after="0"/>
              <w:rPr>
                <w:sz w:val="15"/>
                <w:szCs w:val="15"/>
                <w:color w:val="auto"/>
              </w:rPr>
            </w:pPr>
          </w:p>
        </w:tc>
        <w:tc>
          <w:tcPr>
            <w:tcW w:w="10140" w:type="dxa"/>
            <w:vAlign w:val="bottom"/>
            <w:gridSpan w:val="24"/>
          </w:tcPr>
          <w:p>
            <w:pPr>
              <w:ind w:left="580"/>
              <w:spacing w:after="0"/>
              <w:rPr>
                <w:sz w:val="20"/>
                <w:szCs w:val="20"/>
                <w:color w:val="auto"/>
              </w:rPr>
            </w:pPr>
            <w:r>
              <w:rPr>
                <w:rFonts w:ascii="Times New Roman" w:cs="Times New Roman" w:eastAsia="Times New Roman" w:hAnsi="Times New Roman"/>
                <w:sz w:val="14"/>
                <w:szCs w:val="14"/>
                <w:color w:val="0000FF"/>
              </w:rPr>
              <w:t>Form 10-K Summary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20"/>
        </w:trPr>
        <w:tc>
          <w:tcPr>
            <w:tcW w:w="4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95"/>
        </w:trPr>
        <w:tc>
          <w:tcPr>
            <w:tcW w:w="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r>
    </w:tbl>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1" w:right="298"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Glossary of Acronyms, Abbreviations, and Terms</w:t>
      </w:r>
    </w:p>
    <w:p>
      <w:pPr>
        <w:spacing w:after="0" w:line="15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The terms identified below are used in various sections of this Annual Report on Form 10-K, including the section entitled “Management’s Discussion and Analysis of Financial Condition and Results of Operations” in Item 2 and the unaudited Consolidated Financial Statements and Notes to the Financial Statements in Item 1 of this Annual Report on Form 10-K.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AAA</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Accumulated Adjustments Account</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FNMA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Federal National Mortgage Association</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ACL</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GAAP</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Generally Accepted Accounting Principles in the U.S.</w:t>
            </w:r>
          </w:p>
        </w:tc>
      </w:tr>
      <w:tr>
        <w:trPr>
          <w:trHeight w:val="19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ASC</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Accounting Standards Codification</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GNMA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Government National Mortgage Association</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ASU</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Accounting Standards Update</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GSE</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Government Sponsored Entity</w:t>
            </w:r>
          </w:p>
        </w:tc>
      </w:tr>
      <w:tr>
        <w:trPr>
          <w:trHeight w:val="18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Bancorp</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Five Star Bancorp and its subsidiary</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ICS</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Insured Cash Sweep®</w:t>
            </w:r>
          </w:p>
        </w:tc>
      </w:tr>
      <w:tr>
        <w:trPr>
          <w:trHeight w:val="18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Bank</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Five Star Bank</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IPO</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Initial Public Offering</w:t>
            </w:r>
          </w:p>
        </w:tc>
      </w:tr>
      <w:tr>
        <w:trPr>
          <w:trHeight w:val="18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Basel III</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 capital framework and rules for U.S. banking organizations</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IRC</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Internal Revenue Code</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BOLI</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Bank-owned Life Insurance</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IRS</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Internal Revenue Service</w:t>
            </w:r>
          </w:p>
        </w:tc>
      </w:tr>
      <w:tr>
        <w:trPr>
          <w:trHeight w:val="19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CDARS</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Certificate of Deposit Account Registry Service®</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LM</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Loan modification made to borrower experiencing financial difficulty</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CECL</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Current Expected Credit Loss</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Nasdaq</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8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CFPB</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Consumer Financial Protection Bureau</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NI</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w:t>
            </w:r>
          </w:p>
        </w:tc>
      </w:tr>
      <w:tr>
        <w:trPr>
          <w:trHeight w:val="18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CRA</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Community Reinvestment Act</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NII</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Interest Income</w:t>
            </w:r>
          </w:p>
        </w:tc>
      </w:tr>
      <w:tr>
        <w:trPr>
          <w:trHeight w:val="18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CME</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Chicago Mercantile Exchange</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OCI</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CRE</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Real Estate</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OFAC</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Office of Foreign Assets Control</w:t>
            </w:r>
          </w:p>
        </w:tc>
      </w:tr>
      <w:tr>
        <w:trPr>
          <w:trHeight w:val="19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C&amp;I</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&amp; Industrial</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OREO</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Real Estate Owned</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DFPI</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Department of Financial Protection and Innovation</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RSA</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Stock Award</w:t>
            </w:r>
          </w:p>
        </w:tc>
      </w:tr>
      <w:tr>
        <w:trPr>
          <w:trHeight w:val="18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EPS</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Earnings per Share</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ROAA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Return on Average Assets, annualized</w:t>
            </w:r>
          </w:p>
        </w:tc>
      </w:tr>
      <w:tr>
        <w:trPr>
          <w:trHeight w:val="18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EVE</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Economic Value of Equity</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ROAE</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Return on Average Equity, annualized</w:t>
            </w:r>
          </w:p>
        </w:tc>
      </w:tr>
      <w:tr>
        <w:trPr>
          <w:trHeight w:val="185"/>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FASB</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ROUA</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 Asset</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FDIC</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SBA</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Small Business Administration</w:t>
            </w:r>
          </w:p>
        </w:tc>
      </w:tr>
      <w:tr>
        <w:trPr>
          <w:trHeight w:val="192"/>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Federal Reserve</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Board of Governors of the Federal Reserve System</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SEC</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and Exchange Commission</w:t>
            </w:r>
          </w:p>
        </w:tc>
      </w:tr>
      <w:tr>
        <w:trPr>
          <w:trHeight w:val="18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FFIEC</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Financial Institutions Examination Council</w:t>
            </w:r>
          </w:p>
        </w:tc>
        <w:tc>
          <w:tcPr>
            <w:tcW w:w="1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SOFR</w:t>
            </w:r>
          </w:p>
        </w:tc>
        <w:tc>
          <w:tcPr>
            <w:tcW w:w="4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1"/>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w:t>
            </w:r>
          </w:p>
        </w:tc>
        <w:tc>
          <w:tcPr>
            <w:tcW w:w="4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Federal Home Loan Bank of San Francisco</w:t>
            </w:r>
          </w:p>
        </w:tc>
        <w:tc>
          <w:tcPr>
            <w:tcW w:w="1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Treasury Department</w:t>
            </w:r>
          </w:p>
        </w:tc>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Department of the Treasury</w:t>
            </w:r>
          </w:p>
        </w:tc>
      </w:tr>
      <w:tr>
        <w:trPr>
          <w:trHeight w:val="184"/>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FHLMC</w:t>
            </w:r>
          </w:p>
        </w:tc>
        <w:tc>
          <w:tcPr>
            <w:tcW w:w="41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Home Loan Mortgage Corporation</w:t>
            </w:r>
          </w:p>
        </w:tc>
        <w:tc>
          <w:tcPr>
            <w:tcW w:w="1820" w:type="dxa"/>
            <w:vAlign w:val="bottom"/>
          </w:tcPr>
          <w:p>
            <w:pPr>
              <w:spacing w:after="0"/>
              <w:rPr>
                <w:sz w:val="16"/>
                <w:szCs w:val="16"/>
                <w:color w:val="auto"/>
              </w:rPr>
            </w:pPr>
          </w:p>
        </w:tc>
        <w:tc>
          <w:tcPr>
            <w:tcW w:w="4200" w:type="dxa"/>
            <w:vAlign w:val="bottom"/>
          </w:tcPr>
          <w:p>
            <w:pPr>
              <w:spacing w:after="0"/>
              <w:rPr>
                <w:sz w:val="16"/>
                <w:szCs w:val="16"/>
                <w:color w:val="auto"/>
              </w:rPr>
            </w:pPr>
          </w:p>
        </w:tc>
      </w:tr>
      <w:tr>
        <w:trPr>
          <w:trHeight w:val="709"/>
        </w:trPr>
        <w:tc>
          <w:tcPr>
            <w:tcW w:w="1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ii</w:t>
            </w:r>
          </w:p>
        </w:tc>
        <w:tc>
          <w:tcPr>
            <w:tcW w:w="4200" w:type="dxa"/>
            <w:vAlign w:val="bottom"/>
          </w:tcPr>
          <w:p>
            <w:pPr>
              <w:spacing w:after="0"/>
              <w:rPr>
                <w:sz w:val="24"/>
                <w:szCs w:val="24"/>
                <w:color w:val="auto"/>
              </w:rPr>
            </w:pPr>
          </w:p>
        </w:tc>
      </w:tr>
      <w:tr>
        <w:trPr>
          <w:trHeight w:val="87"/>
        </w:trPr>
        <w:tc>
          <w:tcPr>
            <w:tcW w:w="118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27" w:lineRule="exact"/>
        <w:rPr>
          <w:sz w:val="20"/>
          <w:szCs w:val="20"/>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concentration of our business in California, and specifically within Northern California, including risks associated with any downturn in the real estate sector;</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interest rates that affect the pricing of our loans and deposits, our net interest income, and our borrowers’ ability to repay loans;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U.S. economy, including an economic slowdown, recession, inflation, deflation, tariffs, housing prices, employment levels, rate of growth, and general business conditions;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market conditions and economic trends nationally, regionally, and particularly in Northern California and California;</w:t>
      </w:r>
    </w:p>
    <w:p>
      <w:pPr>
        <w:spacing w:after="0" w:line="115"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71"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recent and future legislative and regulatory changes, including changes in banking, securities, and tax laws and regulations and their application by our regulators;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from a wide variety of local, regional, national, and other providers of financial and investment services;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risks associated with our loan portfolios, and specifically with our commercial real estate loans;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adequate liquidity and to maintain capital necessary to fund our growth strategy and operations and to satisfy minimum regulatory capital levels;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strategic focus on lending to small to medium-sized businesses;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the assumptions and estimates we make in establishing reserves for potential credit losses and the value of loan collateral and securities;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level of nonperforming assets and the costs associated with resolving problem loans, if any;</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various governmental and regulatory requirements applicable to financial institutions, including supervisory actions by federal and state banking agencies;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monetary and fiscal policies, including the policies of the Federal Reserve;</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unauthorized access, cybersecurity breaches, cyber-crime, and other threats and disruptions to data security;</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maintain, and improve effective risk management framework, disclosure controls and procedures, and internal controls over financial reporting;</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adopt and successfully integrate new initiatives or technologies into our business in a strategic manner;</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4" w:name="page5"/>
    <w:bookmarkEnd w:id="4"/>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executive officers and key employees and their customer and community relationships;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future U.S. federal government shutdown and uncertainty regarding the U.S. federal government’s debt limit and credit rating;</w:t>
      </w:r>
    </w:p>
    <w:p>
      <w:pPr>
        <w:spacing w:after="0" w:line="126"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or impact of climate change or natural or man-made disasters or calamities, such as wildfires, droughts, mudslides, floods, and earthquakes, and particularly in California, and specifically Northern California;</w:t>
      </w:r>
    </w:p>
    <w:p>
      <w:pPr>
        <w:spacing w:after="0" w:line="71"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impact of local, regional, and global business, economic, and political conditions and geopolitical events, such as pandemics, civil unrest, wars, and acts of terrorism; and</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other factors that are discussed in the sections entitled “Management’s Discussion and Analysis of Financial Condition and Results of Operations” and “Risk Factors.”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foregoing factors should not be considered exhaustive and should be read together with other cautionary statements that are included in this Annual Report on Form 10-K, including those discussed in the section entitled “Risk Factors.” Additional factors that could cause results or performance to materially differ from those expressed in our forward-looking statements are detailed in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Annual Report on Form 10-K.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76" w:right="298"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Headquartered in the greater Sacramento metropolitan area of California, Five Star Bancorp is a bank holding company that operates through its wholly owned subsidiary, Five Star Bank, a California state-chartered non-member bank. The Bank began operations on December 20, 1999. Bancorp was incorporated on September 16, 2002 and became the sole shareholder of the Bank on June 2, 2003. Our executive offices are located at 3100 Zinfandel Drive, Suite 100, Rancho Cordova, California 95670 and our telephone number is (916) 626-5000. Our website address is https://www.fivestarbank.com. Information on our website should not be considered a part of this Annual Report on Form 10-K.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provides a broad range of banking products and services to small and medium-sized businesses, professionals, and individuals primarily in Northern California through nine branch offices. The Bank opened a full-service branch in Walnut Creek in September 2025. The Bank’s deposits are insured in whole or in part by the FDIC. The Bank’s loans and deposits are primarily within Northern California, and the Bank’s primary funding source is deposits from customers.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expectations of our shareholders, customers, employees, business partners, and community. We refer to our mission as “purpose-driven and integrity-centered banking.” At December 31, 2025, we had total assets of $4.8 billion, total loans held for investment of $4.1 billion, and total deposits of $4.2 billion.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May 2021, the Company completed its IPO, in connection with which the Company terminated its status as a Subchapter S corporation as of May 5, 2021 and became a taxable C Corporation.</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Unless otherwise indicated, references in this report to “we,” “our,” “us,” “the Company,” or “Bancorp” refer to Five Star Bancorp and our consolidated subsidiary. All references to “the Bank” or “Five Star” refer to Five Star Bank, our wholly owned subsidiary.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through the Bank, provides financial services to customers who are predominately small and middle-market businesses, professionals, and individuals primarily in the Northern California region. Our primary loan products are commercial real estate loans, land development loans, construction loans, and operating lines of credit and our primary deposit products are checking accounts, savings accounts, money market accounts, and term certificate accounts.</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principal geographic market is the Roseville/Sacramento/Rancho Cordova/Elk Grove area (the “Greater Sacramento Area”). The Greater Sacramento Area has a profitable and productive economy driven by the governmental, education, technology, health care, agricultural, and manufacturing sectors. Since 2016, our market share of the total deposits in the Greater Sacramento Area has increased significantly, according to the FDIC Deposit Market Share Reports. We believe that our market growth confirms the quality of the purpose-driven and integrity-centered banking that we strive to deliver to our customers.</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During 2025, we continued our expansion into the San Francisco Bay Area, including the opening of a full service branch in Walnut Creek in September 2025. We hired three business development officers, three loan officers, and four additional staff to support these operations during 2025 as part of our expansion.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Lending Activities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focus primarily on commercial lending, with an emphasis on commercial real estate. We offer a variety of loans to small and medium-sized businesses, professionals, and individuals, including commercial real estate, commercial, commercial land and construction, and farmland loans. Although a substantial portion of our loan portfolio consists of commercial real estate loans within our market, our portfolio is diverse and includes SBA loans to customers nationwide. To a lesser extent, we also offer residential real estate and construction loans and consumer loans.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757" w:right="298" w:bottom="1440" w:gutter="0" w:footer="0" w:header="0"/>
        </w:sectPr>
      </w:pPr>
    </w:p>
    <w:bookmarkStart w:id="6" w:name="page7"/>
    <w:bookmarkEnd w:id="6"/>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Commercial real estate loans</w:t>
      </w:r>
      <w:r>
        <w:rPr>
          <w:rFonts w:ascii="Times New Roman" w:cs="Times New Roman" w:eastAsia="Times New Roman" w:hAnsi="Times New Roman"/>
          <w:sz w:val="14"/>
          <w:szCs w:val="14"/>
          <w:color w:val="auto"/>
        </w:rPr>
        <w:t>: As of December 31, 2025, we had $3.3 billion in total commercial real estate loans, representing 81.08% of total loans before deferred fees. These loans are viewed primarily as cash flow loans and secondarily as loans secured by real estate. These loans are generally collateralized by first liens on real estate and amortized over a period of years. We monitor and evaluate commercial real estate loans based on collateral, geography, and risk grade criteria. Our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by conditions in the real estate markets or in the general economy. The properties securing our commercial real estate portfolio are diverse in terms of type and industry. This diversity helps reduce our exposure to adverse economic events that affect any single market or industry.</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Commercial land and construction loans</w:t>
      </w:r>
      <w:r>
        <w:rPr>
          <w:rFonts w:ascii="Times New Roman" w:cs="Times New Roman" w:eastAsia="Times New Roman" w:hAnsi="Times New Roman"/>
          <w:sz w:val="14"/>
          <w:szCs w:val="14"/>
          <w:color w:val="auto"/>
        </w:rPr>
        <w:t>: As of December 31, 2025, we had $98.1 million in commercial land and construction loans, representing 2.40% of total loans before deferred fees. We make loans to established builders to construct residential properties, loans to developers of commercial real estate investment properties and residential developments, and, to a lesser extent, loans to individual clients for construction of single-family homes in our market. On rare occasions, we also make loans for the acquisition of undeveloped land subject to heightened underwriting requirements. Construction loans are typically disbursed as construction progresses and carry either fixed or variable interest rates generally based on the borrowers’ ability to repay the loans from the cash flow of their businesses. The terms of our commercial land and construction loans vary depending on factors such as the type and size of the development and the financial strength of the borrower/guarantor. Loans are typically structured with an interest-only construction period and mature at the completion of construction.</w:t>
      </w:r>
    </w:p>
    <w:p>
      <w:pPr>
        <w:spacing w:after="0" w:line="1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Residential real estate and construction loans</w:t>
      </w:r>
      <w:r>
        <w:rPr>
          <w:rFonts w:ascii="Times New Roman" w:cs="Times New Roman" w:eastAsia="Times New Roman" w:hAnsi="Times New Roman"/>
          <w:sz w:val="14"/>
          <w:szCs w:val="14"/>
          <w:color w:val="auto"/>
        </w:rPr>
        <w:t>: As of December 31, 2025, we had $46.0 million in residential real estate and construction loans, representing 1.13% of total loans before deferred fees. Residential real estate loans are underwritten based upon income, credit history, and collateral. To monitor and manage residential loan risk, policies and procedures are developed and modified, as needed. We believe that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Farmland loans</w:t>
      </w:r>
      <w:r>
        <w:rPr>
          <w:rFonts w:ascii="Times New Roman" w:cs="Times New Roman" w:eastAsia="Times New Roman" w:hAnsi="Times New Roman"/>
          <w:sz w:val="14"/>
          <w:szCs w:val="14"/>
          <w:color w:val="auto"/>
        </w:rPr>
        <w:t>: As of December 31, 2025, we had $59.6 million in farmland loans, representing 1.46% of total loans before deferred fees. We are a strong agricultural lender, with both lines of credit and term loans.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Commercial loans</w:t>
      </w:r>
      <w:r>
        <w:rPr>
          <w:rFonts w:ascii="Times New Roman" w:cs="Times New Roman" w:eastAsia="Times New Roman" w:hAnsi="Times New Roman"/>
          <w:sz w:val="14"/>
          <w:szCs w:val="14"/>
          <w:color w:val="auto"/>
        </w:rPr>
        <w:t>: As of December 31, 2025, we had $292.2 million in commercial loans, representing 7.16% of total loans before deferred fees. Commercial loans are underwritten after evaluating the borrower’s ability to operate profitably and prudently expand its business. Underwriting standards are designed to promote relationship banking rather than transactional banking.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1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4"/>
          <w:szCs w:val="14"/>
          <w:i w:val="1"/>
          <w:iCs w:val="1"/>
          <w:u w:val="single" w:color="auto"/>
          <w:color w:val="auto"/>
        </w:rPr>
        <w:t>SBA loans</w:t>
      </w:r>
      <w:r>
        <w:rPr>
          <w:rFonts w:ascii="Times New Roman" w:cs="Times New Roman" w:eastAsia="Times New Roman" w:hAnsi="Times New Roman"/>
          <w:sz w:val="14"/>
          <w:szCs w:val="14"/>
          <w:color w:val="auto"/>
        </w:rPr>
        <w:t>: As of December 31, 2025, our total commercial SBA portfolio held for investment was $34.3 million, representing 0.84% of total loans before deferred fees. In 2025, we sold 10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SBA 7(a) loans with government-guaranteed portions totaling approximately $3.3 million. We participate in the SBA 7(a) program in order to meet the needs of our small business community as well as customers nationwide. As an approved participant in the SBA Preferred Lender Program, we enable our clients to obtain SBA loans without being subject to the potentially lengthy SBA approval process necessary for lenders that are not SBA Preferred Lenders. The SBA presently guarantees 75% to 90% of the principal amount of qualifying loans originated under the 7(a) loan program. The guarantee is conditional and covers a portion of the risk of payment default by the borrower, but not the risk of improper closing and servicing by the lender. As such, prudent underwriting and closing processes are essential to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7" w:name="page8"/>
    <w:bookmarkEnd w:id="7"/>
    <w:p>
      <w:pPr>
        <w:ind w:left="500"/>
        <w:spacing w:after="0"/>
        <w:rPr>
          <w:sz w:val="20"/>
          <w:szCs w:val="20"/>
          <w:color w:val="auto"/>
        </w:rPr>
      </w:pPr>
      <w:r>
        <w:rPr>
          <w:rFonts w:ascii="Times New Roman" w:cs="Times New Roman" w:eastAsia="Times New Roman" w:hAnsi="Times New Roman"/>
          <w:sz w:val="14"/>
          <w:szCs w:val="14"/>
          <w:color w:val="auto"/>
        </w:rPr>
        <w:t>effective utilization of the 7(a) program. We typically sell the SBA-guaranteed portion of the SBA loans we originate in the secondary market.</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Consumer and other loans</w:t>
      </w:r>
      <w:r>
        <w:rPr>
          <w:rFonts w:ascii="Times New Roman" w:cs="Times New Roman" w:eastAsia="Times New Roman" w:hAnsi="Times New Roman"/>
          <w:sz w:val="14"/>
          <w:szCs w:val="14"/>
          <w:color w:val="auto"/>
        </w:rPr>
        <w:t>: As of December 31, 2025, we had $275.5 million in consumer and other loans, representing 6.77% of total loans before deferred fees. These loans consist primarily of loans purchased in a loan purchase program with a non-bank lender, generally made to professionals for the purpose of large personal or household purchases. The loans are unsecured, fixed rate loans. These loans also include loans purchased or originated through financing partnerships which are no longer active. Under those financing programs, we made a variety of loans in relatively small amounts to individuals for personal purposes, primarily for home repairs and improvements. Consumer loans are underwritten based on the individual borrower’s income, current debt level, past credit history, and the value of any available collateral. The terms of consumer loans vary considerably based upon the loan type, nature of collateral, and size of the loan. The performance of consumer loans is affected by the local and regional economy as well as the rates of personal bankruptcies, job loss, divorce, and other individual-specific characteristics. We do not expect these consumer and other loans to make up a significant portion of our lending activity.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Lending Philosophy</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keeping with our mission of purpose-driven and integrity-centered banking, we seek credit arrangements that serve our local community and provide attractive risk-adjusted returns to us. We pursue our objectives while remaining mindful of liquidity, flexibility, and risk considerations by exercising controls on non-interest expenses and close management of our assets and liabilities. We periodically set guidelines designed to maintain stability of our loan-to-deposit ratio, minimize past-due and non-accrual loans, and achieve an optimal loan mix and concentration. We seek well-margined and collateralized loan opportunities to borrowers with extensive professional asset operating experience.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Lending Policy and Procedures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have established common documentation, policies, and standards for lending based on the type of loan. A thorough credit analysis precedes commercial and real estate loan decisions, and we follow well-established and proven procedures when approving consumer loans.</w:t>
      </w:r>
    </w:p>
    <w:p>
      <w:pPr>
        <w:spacing w:after="0" w:line="1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established a Management Loan Committee and a Director Loan Committee. Our Management Loan Committee is comprised of our Chief Executive Officer, our Chief Credit Officer, certain other members of management, and select senior loan officers and is primarily responsible for day-to-day implementation and oversight of our loan approval procedures. Our board of directors approves, from time to time, a delegated lending authority to members of the Management Loan Committee. The amount of authority delegated to each member of the committee varies based on years of direct lending experience, responsibility, and performance. The authority limits also vary by collateral type.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Concentrations of Credit Risk</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Although we have a diversified loan portfolio, a substantial portion is secured by commercial and residential real estate located in Northern California. As of December 31, 2025, approximately 56.89% of our real estate loans measured by dollar amount were secured by collateral located in California, a majority of which is in Northern California. Additionally, we have a high concentration of real estate related loans, which represented approximately 86.07% of total loans before deferred fees at December 31, 2025. Although management believes such concentrations have no more than the normal risk of collectability, a substantial decline in the economy in general, or a decline in real estate values in our primary market in particular, could have an adverse impact on the collectability of these loans. Personal and business incomes represent the primary source of repayment for the majority of these loans.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Deposit Products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Representing 97.49% of our total liabilities as of December 31, 2025, deposits are our primary source of funding for our business operations. As of December 31, 2025, we held total deposits of $4.2 billion, including $1.1 billion in non-interest-bearing deposits.</w:t>
      </w:r>
    </w:p>
    <w:p>
      <w:pPr>
        <w:spacing w:after="0" w:line="10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offer a comprehensive array of deposit products for small and medium-sized businesses, professionals, and individuals, including a variety of checking and savings accounts, time deposits, and money market accounts. We also provide a wide range of deposit services, including debit cards, remote deposit capture, online banking, mobile banking, and direct deposit services.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8" w:name="page9"/>
    <w:bookmarkEnd w:id="8"/>
    <w:p>
      <w:pPr>
        <w:jc w:val="both"/>
        <w:spacing w:after="0" w:line="265" w:lineRule="auto"/>
        <w:rPr>
          <w:sz w:val="20"/>
          <w:szCs w:val="20"/>
          <w:color w:val="auto"/>
        </w:rPr>
      </w:pPr>
      <w:r>
        <w:rPr>
          <w:rFonts w:ascii="Times New Roman" w:cs="Times New Roman" w:eastAsia="Times New Roman" w:hAnsi="Times New Roman"/>
          <w:sz w:val="14"/>
          <w:szCs w:val="14"/>
          <w:color w:val="auto"/>
        </w:rPr>
        <w:t>We obtain most of our deposits from individuals, small and medium-sized businesses, and municipalities in our market. We solicit deposits through our relationship-driven team of dedicated and accessible bankers, as well as through community-focused marketing. We emphasize obtaining deposit relationships at loan origination. We provide a high level of customer service to our depositors. We have invested in personnel, business and compliance processes, and technology that enable us to acquire, as well as efficiently and effectively serve a wide array of business deposit accounts, while continuing to provide the level of customer service for which we are known.</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2025, our 53 largest deposit relationships, each accounting for more than $10.0 million, totaled $2.0 billion, or 47.82% of our total deposits. This includes $789.6 million of our total deposits held by municipalities, of which we conduct a monthly review. Our management maintains our liquidity position and lines of credit with correspondent banks to mitigate the risk of large withdrawals by this group of large depositors.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2025, the carrying value of our investment portfolio, which represented 2.04% of total assets, totaled $96.9 million and had an average effective yield of 2.03% and an estimated modified duration of approximately 6.06 years. The primary objectives of the investment portfolio are to provide a source of liquidity and provide collateral that can be readily sold or pledged for public deposits or other business purposes. At December 31, 2025, 49.73% and 40.41% of our investment portfolio consisted of mortgage-backed securities and obligations of states and political subdivisions, respectively. The remainder of our securities portfolio is invested in U.S. government agencies, collateralized mortgage obligations, and corporate bonds. We regularly evaluate the composition of our investment portfolio as the interest rate yield curve changes and may sell or pledge investment securities from time to time to adjust our exposure to interest rates or to provide liquidity to meet loan demand. Due to loan growth, we are holding the majority of our on-balance sheet liquidity in the Federal Reserve Bank to provide readily available funds for loan growth and deposit activities in the normal course of business for our existing clients.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banking business is highly competitive, and we face strong competition from many other financial institutions and financial services providers.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Our profitability depends in large part upon our continued ability to successfully compete with these institutions for lending opportunities, deposit funds, financial products, bankers, and potential acquisition targets.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conduct business through nine branches in our key market of Northern California. We opened a full service branch in Walnut Creek in September 2025. Many other commercial and community banks, savings institutions, credit unions, and other financial institutions maintain a physical presence in our primary market area, and some maintain only a virtual presence.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To offset these competitive disadvantages, we concentrate marketing efforts in the local markets we service with local advertisements and personal contacts. We depend on our reputation of having greater personal service than our competitors, as well as consistency, flexibility, our ability to make credit and other business decisions quickly, and our deep knowledge of competitor strengths and weaknesses.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Based on the FDIC Summary of Deposits as of June 30, 2025, the Bank ranks sixth in the Sacramento-Roseville-Folsom metropolitan statistical area (“MSA”) by deposit market share with deposits of $3.1 billion and four branches. As of June 30, 2025, total market deposits in the Sacramento-Roseville-Folsom MSA were $94.7 billion, of which $77.3 billion, or approximately 81.55%, was held by five money center banks across 174 branches. We are the 39th largest insured depository institution in California by deposits as of June 30,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Technology Systems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have made, and continue to make, significant investments in our information technology systems and staff for our banking and lending operations and treasury management activities. We believe this investment will support our continued growth and enable us to enhance our capabilities to offer new products, improve overall customer experience, improve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 w:name="page10"/>
    <w:bookmarkEnd w:id="9"/>
    <w:p>
      <w:pPr>
        <w:jc w:val="both"/>
        <w:spacing w:after="0" w:line="271" w:lineRule="auto"/>
        <w:rPr>
          <w:sz w:val="20"/>
          <w:szCs w:val="20"/>
          <w:color w:val="auto"/>
        </w:rPr>
      </w:pPr>
      <w:r>
        <w:rPr>
          <w:rFonts w:ascii="Times New Roman" w:cs="Times New Roman" w:eastAsia="Times New Roman" w:hAnsi="Times New Roman"/>
          <w:sz w:val="14"/>
          <w:szCs w:val="14"/>
          <w:color w:val="auto"/>
        </w:rPr>
        <w:t>profitability through efficiencies, and provide scalability for future growth. We utilize nationally recognized software vendors and their cloud/hosted models, which allow us to outsource the processing of our data. Our internal network and e-mail systems are administered by a managed service provider specializing in financial institutions, and we maintain our production infrastructure in a data center facility near Reno, Nevada. This site provides for power and connectivity redundancy, and we maintain a disaster recovery program, including a cloud-based recovery environment.</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majority of our other systems, including our electronic funds transfer, transaction processing, and online banking services are hosted by third-party service providers. The scalability of this infrastructure will support our growth strategy. In addition, the tested capability of these vendors to automatically switch over to standby systems should allow us to recover our systems and provide business continuity quickly in case of a disaster.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Emerging Growth Company Status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qualify as an “emerging growth company” under the Jumpstart Our Business Startups Act of 2012 (the “JOBS Act”). An emerging growth company may take advantage of reduced reporting requirements and is relieved of certain other significant requirements that are otherwise generally applicable to public companies. Among other factors, as an emerging growth company:</w:t>
      </w:r>
    </w:p>
    <w:p>
      <w:pPr>
        <w:spacing w:after="0" w:line="93" w:lineRule="exact"/>
        <w:rPr>
          <w:sz w:val="20"/>
          <w:szCs w:val="20"/>
          <w:color w:val="auto"/>
        </w:rPr>
      </w:pPr>
    </w:p>
    <w:p>
      <w:pPr>
        <w:ind w:left="500" w:hanging="254"/>
        <w:spacing w:after="0" w:line="288" w:lineRule="auto"/>
        <w:tabs>
          <w:tab w:leader="none" w:pos="50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we may discuss our results of operations for only two years in the section entitled “Management’s Discussion and Analysis of Financial Condition and Results of Operations,” provided that we reference disclosure where the third year of our results of operations may be found;</w:t>
      </w:r>
    </w:p>
    <w:p>
      <w:pPr>
        <w:spacing w:after="0" w:line="71" w:lineRule="exact"/>
        <w:rPr>
          <w:rFonts w:ascii="Times New Roman" w:cs="Times New Roman" w:eastAsia="Times New Roman" w:hAnsi="Times New Roman"/>
          <w:sz w:val="14"/>
          <w:szCs w:val="14"/>
          <w:b w:val="1"/>
          <w:bCs w:val="1"/>
          <w:color w:val="auto"/>
        </w:rPr>
      </w:pPr>
    </w:p>
    <w:p>
      <w:pPr>
        <w:ind w:left="500" w:hanging="254"/>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exempt from the requirement to provide an opinion from our auditors on the design and operating effectiveness of our internal control over financial reporting pursuant to the Sarbanes-Oxley Act of 2002, as amended (the “Sarbanes-Oxley Act”);</w:t>
      </w:r>
    </w:p>
    <w:p>
      <w:pPr>
        <w:spacing w:after="0" w:line="71"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comply with any new requirements adopted by the PCAOB requiring mandatory audit firm rotation or a supplement to the auditor’s report providing additional information about the audit and our audited financial statements;</w:t>
      </w:r>
    </w:p>
    <w:p>
      <w:pPr>
        <w:spacing w:after="0" w:line="60" w:lineRule="exact"/>
        <w:rPr>
          <w:rFonts w:ascii="Times New Roman" w:cs="Times New Roman" w:eastAsia="Times New Roman" w:hAnsi="Times New Roman"/>
          <w:sz w:val="14"/>
          <w:szCs w:val="14"/>
          <w:color w:val="auto"/>
        </w:rPr>
      </w:pPr>
    </w:p>
    <w:p>
      <w:pPr>
        <w:jc w:val="both"/>
        <w:ind w:left="500" w:hanging="254"/>
        <w:spacing w:after="0" w:line="271" w:lineRule="auto"/>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permitted to provide less extensive disclosure regarding our executive compensation arrangements pursuant to the rules applicable to smaller reporting companies and with which emerging growth companies may comply, which means we are not required to include a compensation discussion and analysis and other disclosures regarding our executive compensation in this Annual Report on Form 10-K; and</w:t>
      </w:r>
    </w:p>
    <w:p>
      <w:pPr>
        <w:spacing w:after="0" w:line="8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not required to hold nonbinding advisory votes on executive compensation or golden parachute arrangements.</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may take advantage of these provisions for up to five years unless we earlier cease to qualify as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 We have elected to adopt the reduced disclosure requirements described above regarding the number of periods for which we are providing audited financial statements and selected financial data, and our executive compensation arrangements. In addition, we take advantage of the reduced reporting and other requirements under the JOBS Act with respect to the periodic reports we file with the SEC and proxy statements that we use to solicit proxies from our shareholders. Accordingly, the information contained herein may be different than the information you receive from other public companies in which you invest.</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JOBS Act exempts emerging growth companies from compliance with new or revised financial accounting standards until private companies (that is, those that have not had a registration statement declared effective under the Securities Act of 1933, as amended, or do not have a class of securities registered under the Securities Exchange Act of 1934, as amended (the “Exchange Act”)) are required to comply with the new or revised financial accounting standards. The JOBS Act provides that a company can elect to opt out of this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However, we may early adopt certain accounting standards, as the JOBS Act does not preclude an emerging growth company from adopting a new or revised accounting standard early than the time that such standard applies to private companies to the extent early adoption is permitted. As such, our consolidated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 w:name="page11"/>
    <w:bookmarkEnd w:id="10"/>
    <w:p>
      <w:pPr>
        <w:jc w:val="both"/>
        <w:spacing w:after="0" w:line="288" w:lineRule="auto"/>
        <w:rPr>
          <w:sz w:val="20"/>
          <w:szCs w:val="20"/>
          <w:color w:val="auto"/>
        </w:rPr>
      </w:pPr>
      <w:r>
        <w:rPr>
          <w:rFonts w:ascii="Times New Roman" w:cs="Times New Roman" w:eastAsia="Times New Roman" w:hAnsi="Times New Roman"/>
          <w:sz w:val="14"/>
          <w:szCs w:val="14"/>
          <w:color w:val="auto"/>
        </w:rPr>
        <w:t>financial statements may not be comparable with those of a public company that is not an emerging growth company, or those of a public company that is an emerging growth company that has opted out of using the extended transition period, because of the potential differences in accounting standards used.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believe that effective risk management and control processes are critical to our safety and soundness, our ability to predict and manage the challenges that we face, and, ultimately, our long-term corporate success. Risk management refers to the activities by which we identify, measure, monitor, evaluate, and manage the risks we face in the course of our banking activities. These include liquidity, interest rate, credit, operational, compliance, regulatory, strategic, financial, and reputational risk exposures. Our board of directors, both directly and through its committees, is responsible for overseeing our risk management processes, including quarterly enterprise risk management assessments and annual assessments in the following areas: (i) cyber; (ii) Bank Secrecy Act of 1970 (“Bank Secrecy Act”)/anti-money laundering; and (iii) third-party risk, with each of the committees of our board of directors assuming a different and important role in overseeing the management of the risks we face.</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Audit Committee of our board of directors is responsible for overseeing risks associated with financial matters (particularly financial reporting, accounting practices and policies, disclosure controls and procedures, and internal control over financial reporting). The Compensation Committee of our board of directors has primary responsibility for risks and exposures associated with our compensation policies, plans, and practices regarding executive compensation, board compensation, and our compensation structure generally. Our Compensation Committee, in conjunction with our President and Chief Executive Officer and other members of our management, as appropriate, reviews our incentive compensation arrangements to ensure these programs are consistent with applicable laws and regulations, including safety and soundness requirements, and do not encourage imprudent or excessive risk-taking by our employees. The Governance and Nominating Committee of our board of directors oversees risks associated with the independence of our board of directors and potential conflicts of interest.</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senior management is responsible for implementing our risk management processes by assessing and managing the risks we face, including strategic, operational, regulatory, investment, and execution risks, on a day-to-day basis, and reporting to our board of directors regarding our risk management processes. Our senior management is also responsible for creating and recommending to our board of directors for approval appropriate risk appetite metrics reflecting the aggregate levels and types of risk we are willing to accept in connection with the operation of our business and pursuit of our business objectives.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role of our board of directors in our risk oversight is consistent with our leadership structure, with our President and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To facilitate talent attraction and retention, we strive to create an inclusive, safe, and healthy workplace with opportunities for our employees to grow and develop in their careers, supported by strong compensation, benefits, and health and welfare programs.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Employee Profile</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As of December 31, 2025, we had 233 full-time employees and five part-time employees. None of our employees are covered by a collective bargaining agreement. We consider our relationship with our employees to be good and have not experienced interruptions of operations due to labor disagreements.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and Benefits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provide a competitive compensation and benefits program to help meet the needs of our employees. In addition to salaries, this program includes annual bonus opportunities, a 401(k) plan with an employer matching contribution, healthcare and insurance benefits, health reimbursement accounts, paid time off and family leave, and an employee assistance program.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color w:val="auto"/>
        </w:rPr>
        <w:t>Learning and Development</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invest in the growth and development of our employees by providing a multi-dimensional approach to learning that empowers, intellectually grows, and professionally develops our colleagues under the leadership of a Director of Employee Engagement. We facilitate the educational and professional development of our employees through support to attend conferences and obtain degrees, licenses, and certifications while employed by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Commitment to Environmental, Social, and Governance</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are executing an Environmental, Social, and Governance strategy designed to promote positive change that focuses on the environmental impacts of our business and the geographical service areas in which we serve, social factors in the communities we serve, and the governance of our board of directors.</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Environmental</w:t>
      </w:r>
      <w:r>
        <w:rPr>
          <w:rFonts w:ascii="Times New Roman" w:cs="Times New Roman" w:eastAsia="Times New Roman" w:hAnsi="Times New Roman"/>
          <w:sz w:val="14"/>
          <w:szCs w:val="14"/>
          <w:color w:val="auto"/>
        </w:rPr>
        <w:t>: Climate change impacts our customers, communities, employees, and shareholders. We are committed to developing policies and procedures that can contribute to reducing the effects of climate change, including funding customer business ventures that create a positive environmental impact through agriculture or technology. We continue to sponsor and support environmental impact initiatives by partnering with our customers that aid in the efforts of a clean and sustainable community. Additionally, we equip customers with technology tools designed to reduce their carbon footprint by reducing in-branch customer visits.</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taken steps designed to help reduce our own carbon footprint by utilizing e-signatures to conduct business to reduce paper consumption, occupying sustainable facilities when possible, and encouraging our employees to work remotely, where possible. We recognize that reducing the effects of climate change and helping to drive the transformation to a lower carbon environment are ongoing efforts, and plan to continually seek out opportunities that can positively impact the effect that climate change has on the environment.</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Social</w:t>
      </w:r>
      <w:r>
        <w:rPr>
          <w:rFonts w:ascii="Times New Roman" w:cs="Times New Roman" w:eastAsia="Times New Roman" w:hAnsi="Times New Roman"/>
          <w:sz w:val="14"/>
          <w:szCs w:val="14"/>
          <w:color w:val="auto"/>
        </w:rPr>
        <w:t>: We work to create positive social impacts in the communities in which our business operates, including by assisting unhoused populations, supporting affordable housing projects, and prioritizing non-profit donations. We believe it is our shared responsibility to build a strong foundation of community by fostering a culture of belonging and inclusion. We also remain focused on investing and economically developing the geographical service areas in which we serve, as well as on their sustainability.</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Governance</w:t>
      </w:r>
      <w:r>
        <w:rPr>
          <w:rFonts w:ascii="Times New Roman" w:cs="Times New Roman" w:eastAsia="Times New Roman" w:hAnsi="Times New Roman"/>
          <w:sz w:val="14"/>
          <w:szCs w:val="14"/>
          <w:color w:val="auto"/>
        </w:rPr>
        <w:t>: The Governance and Nominating Committee is committed to diversity on our board of directors and compliance with applicable rules, regulations, and guidance regarding the composition of our leadership. Members of our board of directors represent diverse backgrounds, including diversity of race, ethnicity, gender, and other demographics. We are committed to ethical business practices and accounting transparency, as evidenced through our involvement in the community and results of examinations by regulators.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Dedication to Community Impact and Inclusion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Community Impact and Inclusion is essential in our workplace. We have an Executive Vice President, Chief Operating Officer and a Vice President, Director of Community Impact and Inclusion who lead our efforts in this area. Our Human Resources department is focused on our commitment to inclusion through hiring practices and employee training. We are committed to ensuring that all employees feel a sense of belonging in the workplace and that processes and programs are impartial, fair, and provide equal opportunity for every individual. We also have a history of serving customers in the non-profit community who are dedicated to the success of under-resourced and vulnerable populations, the empowerment of women, and the continued vitality of the environment.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Company’s annual reports on Form 10-K, quarterly reports on Form 10-Q, proxy statements, current reports on Form 8-K, amendments to those reports filed or furnished pursuant to Section 13(a) or 15(d) of the Exchange Act, and other filings with the SEC are available free of charge at https://investors.fivestarbank.com under the heading “Financials &amp; Filings,” as soon as reasonably practicable after the Company electronically files such material with, or furnishes it to, the SEC. These reports are also available for free on the SEC’s website at https://www.sec.gov. The information contained on the Company’s website as referenced in this Annual Report on Form 10-K should not be considered a part of this report.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Supervision and Regulation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and state banking laws impose a comprehensive system of supervision, examination, regulation, and enforcement on the operations of insured banks and their holding companies. Supervision and regulation of banks, their holding companies, and affiliates is intended primarily for the protection of depositors and customers, the Deposit Insurance Fund (the “DIF”) of the FDIC, and the U.S. banking and financial system, rather than holders of our capital stock. As a result, our growth, earnings performance, and operations may be affected by the requirements of federal and state statutes and by the regulations and policies of various bank regulatory agencies, including the DFPI, the FDIC, the Federal Reserve, and the CFPB. Furthermore, tax laws administered by the IRS and state taxing authorities, accounting rules developed by the FASB, securities laws administered by the SEC and state securities authorities, anti-money laundering laws enforced by the Treasury Department, and SBA regulations with respect to small business loans, have an impact on our business. These statutes, regulations, and policies are continually under the review of the United States Congress and state legislatures, as well as federal and state regulatory agencies, and the nature and extent of future legislative, regulatory, or other developments affecting financial institutions are impossible to predict with any certainty. Any change in the statutes, regulations or regulatory policies applicable to us, including changes in their interpretation, expectations or implementation, could have a material effect on our business and operations.</w:t>
      </w:r>
    </w:p>
    <w:p>
      <w:pPr>
        <w:spacing w:after="0" w:line="1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following is a summary of material elements of the regulatory and supervisory framework applicable to us and the Bank. It does not describe all of the statutes, regulations, and regulatory policies that apply, nor does it provide complete summaries of the statutes, regulations, and policies referenced therein.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Supervision and Regulation of the Company</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are a bank holding company registered under the Bank Holding Company Act of 1956, as amended (the “BHC Act”). As a result, we are primarily subject to the supervision, examination, and reporting requirements of the BHC Act, Federal Deposit Insurance Act (the “FDI Act”), and the regulations of the Federal Reserve and FDIC.</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Federal law subjects bank holding companies, such as the Company, to restrictions on the types of activities in which they may engage and to a range of supervisory requirements and activities, including regulatory enforcement actions for violations of laws and regulations. Violations of laws and regulations, or other unsafe and unsound practices, may result in regulatory agencies imposing fines, penalties, or cease and desist orders, or taking other enforcement actions. Under certain circumstances, these agencies may enforce these remedies directly against officers, directors, employees, and other parties participating in the affairs of a bank or bank holding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Oversight over Mergers and Acquisitions, Investments, and Activities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BHC Act requires a bank holding company to obtain the prior approval of the Federal Reserve before: (i) it may acquire direct or indirect ownership or control of any voting shares of any bank if, after such acquisition, the bank holding company will directly or indirectly own or control 5% or more of the voting shares of the bank; (ii) it or any of its subsidiaries, other than a bank, may acquire all or substantially all of the assets of any bank; or (iii) it may merge or consolidate with any other bank holding company.</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Before approving any such transaction, the Federal Reserve is required by the BHC Act to consider a number of factors, including the transaction’s competitive impact, the financial and managerial resources and future prospects of the bank holding companies and banks concerned, the convenience and needs of the community to be served, and the effectiveness of the parties in combating money laundering activities.</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Provisions of the FDI Act known as the Bank Merger Act impose similar approval standards for an insured depository institution to merge with another insured depository institution or a non-insured institution. On September 17, 2024, the United States Department of Justice (the “DOJ”) withdrew its 1995 Bank Merger Guidelines and announced that it will instead evaluate the competitive impact of bank mergers using its 2023 Merger Guidelines that the DOJ applies to mergers in all industries. Compared to the 1995 Bank Merger Guidelines, the 2023 Merger Guidelines set forth more stringent concentration limits and add several largely qualitative bases on which the DOJ may challenge a merger. While the effect of changes in the DOJ’s bank merger antitrust policy for particular transactions remains unclear, the changes may make it more difficult and/or costly for us to obtain regulatory approval for an acquisition or otherwise result in more onerous conditions to obtain approval for an acquisition.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4"/>
          <w:szCs w:val="14"/>
          <w:color w:val="auto"/>
        </w:rPr>
        <w:t>The BHC Act, as amended by the interstate banking provisions of the Riegle-Neal Interstate Banking and Branching Efficiency Act of 1994 (the “Riegle-Neal Act”), permits us to acquire a bank located in any other state, regardless of state law to the contrary, subject to certain deposit concentration limits, aging requirements, and other restrictions. The Riegle-Neal Act also generally permits national- and state-chartered banks to branch interstate through acquisitions of banks in other states. Bank holding companies must be “well-capitalized” and “well-managed” to obtain federal bank regulatory approval of an interstate acquisition without regard to state law prohibiting the transaction.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BHC Act also generally requires Federal Reserve approval for a bank holding company’s acquisition of a company that is not an insured depository institution. Bank holding companies generally may engage, directly or indirectly, only in managing or controlling banks, and such other activities as are determined by the Federal Reserve to be closely related to banking, and certain other permissible nonbanking activities. Bank holding companies generally must notify the Federal Reserve before acquiring a company that is not an insured depository institution or engaging in a permissible nonbanking activity, and the Federal Reserve considers several factors in reviewing such a notice. The Federal Reserve may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1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Gramm-Leach-Bliley Act (the “GLB Act”)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spacing w:after="0" w:line="9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The FDIC has the authority to approve applications by state non-member banks to establish </w:t>
      </w:r>
      <w:r>
        <w:rPr>
          <w:rFonts w:ascii="Times New Roman" w:cs="Times New Roman" w:eastAsia="Times New Roman" w:hAnsi="Times New Roman"/>
          <w:sz w:val="14"/>
          <w:szCs w:val="14"/>
          <w:i w:val="1"/>
          <w:iCs w:val="1"/>
          <w:color w:val="auto"/>
        </w:rPr>
        <w:t>de novo</w:t>
      </w:r>
      <w:r>
        <w:rPr>
          <w:rFonts w:ascii="Times New Roman" w:cs="Times New Roman" w:eastAsia="Times New Roman" w:hAnsi="Times New Roman"/>
          <w:sz w:val="14"/>
          <w:szCs w:val="14"/>
          <w:color w:val="auto"/>
        </w:rPr>
        <w:t xml:space="preserve"> branches, including, under the Riegle-Neal Act, in states other than the bank’s home state if the law of the state in which the branch is located, or is to be located, would permit establishment of the branch if the bank were a state bank chartered by that state.</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Source of Strength</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FDI Act 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Capital Adequacy</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Bank holding companies and banks are subject to various regulatory capital requirements administered by federal and state bank regulatory agencies. Capital adequacy regulations and prompt corrective action regulations involve quantitative measures of assets, liabilities, and certain off-balance sheet items calculated under regulatory accounting practices, as well as qualitative judgments by the regulators about components of capital, risk-weightings, and other factors. The Federal Reserve and the FDIC, the primary federal regulators of the Company and Bank, respectively, have substantially similar generally applicable risk-based capital ratio and leverage ratio requirements.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Under the generally applicable capital requirements of the Federal Reserve and the FDIC, the Company and the Bank are required to meet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8.0% plus a capital conservation buffer of 2.5%), and a Tier 1 leverage ratio of at least 4.0%. In addition, insured depository institutions such as the Bank, unlike bank holding companies, are subject to further capital requirements to be deemed “well-capitalized” under the prompt corrective action provisions of the FDI Act and implementing regulations of the federal banking agencies, as described in the section entitled “—Supervision and Regulation of the Bank—Prompt Corrective Action” below.</w:t>
      </w:r>
    </w:p>
    <w:p>
      <w:pPr>
        <w:spacing w:after="0" w:line="11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For purposes of calculating the denominator of the risk-based capital ratios, a banking institution’s assets and some of its specified off-balance sheet commitments and obligations are assigned to various risk categories. For purposes of calculating the numerator of the capital ratios, capital, at both the holding company and bank levels, is classified in one of</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4" w:name="page15"/>
    <w:bookmarkEnd w:id="14"/>
    <w:p>
      <w:pPr>
        <w:jc w:val="both"/>
        <w:spacing w:after="0" w:line="260" w:lineRule="auto"/>
        <w:rPr>
          <w:sz w:val="20"/>
          <w:szCs w:val="20"/>
          <w:color w:val="auto"/>
        </w:rPr>
      </w:pPr>
      <w:r>
        <w:rPr>
          <w:rFonts w:ascii="Times New Roman" w:cs="Times New Roman" w:eastAsia="Times New Roman" w:hAnsi="Times New Roman"/>
          <w:sz w:val="14"/>
          <w:szCs w:val="14"/>
          <w:color w:val="auto"/>
        </w:rPr>
        <w:t>three tiers depending on the “quality” and loss-absorbing features of the capital instrument. Common equity Tier 1 capital is predominantly comprised of common stock instruments (including related surplus) and retained earnings, net of treasury stock, and after making necessary capital deductions and adjustments. Tier 1 capital is comprised of common equity Tier 1 capital and additional Tier 1 capital, which includes non-cumulative perpetual preferred stock and similar instruments meeting specified eligibility criteria (including related surplus). Total capital is comprised of Tier 1 capital and Tier 2 capital, which includes certain subordinated notes with a minimum original maturity of five years (including related surplus) and a limited amount of allowance for credit losses. Newly issued trust preferred securities and cumulative perpetual preferred stock may not be included in Tier 1 capital, but generally may be included in Tier 2 capital, provided they do not include features that are disallowed by the capital rules, such as the acceleration of principal other than in the event of a bankruptcy, insolvency, or receivership of the issuer.</w:t>
      </w:r>
    </w:p>
    <w:p>
      <w:pPr>
        <w:spacing w:after="0" w:line="1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Failure to meet minimum capital requirements could subject a banking organization to a variety of enforcement remedies. A banking organization’s failure to exceed the capital conservation buffer with common equity Tier 1 capital would result in limitations on the banking organization’s ability to make capital distributions and discretionary bonus payments.</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At December 31, 2025, common equity Tier 1 capital, Tier 1 capital, and total capital of the Company on a consolidated basis equaled 10.58%, 10.58%, and 13.33% of its total risk-weighted assets, respectively, and its Tier 1 leverage ratio on a consolidated basis was 9.70%. At December 31, 2025, the Bank exceeded its minimum capital requirements with common equity Tier 1 capital, Tier 1 capital, and total capital equal to 11.89%, 11.89%, and 12.92% of its total risk-weighted assets, respectively, and a Tier 1 leverage ratio of 10.89%. As a result, the Bank was “well-capitalized” for prompt corrective action purposes based on the ratios and guidelines described above.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Payment of Dividends and Stock Repurchases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is limited in its ability to pay dividends or repurchase its stock by the Federal Reserve, including if doing so would be an unsafe or unsound banking practice. When a bank holding company intends to declare or pay a dividend that could raise safety and soundness concerns, it generally will be required to inform and consult with the Federal Reserve in advance. It is the policy of the Federal Reserve that a bank holding company should generally pay dividends on common stock only out of earnings, and only if prospective earnings retention is consistent with the company’s capital needs and overall current and prospective financial condition. Additionally, bank holding companies should inform and consult with the Federal Reserve in advance of declaring and paying a dividend that exceeds earnings for the period for which the dividend is being paid.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 to guidance from the Federal Reserve, a bank holding company’s dividend policies will be assessed against, among other things, its ability to achieve applicable capital ratio requirements.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bank holding company does not achieve applicable capital ratio requirements, it may not be able to pay dividends.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 bank holding company is also required to give the Federal Reserve prior written notice before purchasing or redeeming its equity securities if the gross consideration for the purchase or redemption, when aggregated with the net consideration paid by the Company for all such purchases or redemptions during the preceding twelve months, is equal to 10% or more of the Company’s consolidated net worth. The Federal Reserve may disapprove such a purchase or redemption if it determines that the proposal would constitute an unsafe or unsound practice or would violate any law, regulation, Federal Reserve order, or any condition imposed by or written agreement with the Federal Reserve. This prior notice requirement does not apply to any bank holding company that meets certain “well-capitalized” and “well-managed” standards and is not the subject of any unresolved supervisory issues.</w:t>
      </w:r>
    </w:p>
    <w:p>
      <w:pPr>
        <w:spacing w:after="0" w:line="11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In addition, a bank holding company is required to consult with the Federal Reserve before redeeming any equity or other capital instrument included in Tier 1 or Tier 2 capital prior to stated maturity if such redemption could have a material effect on the level or composition of the organization’s capital base.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Examinations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Bank holding companies and banks are subject to regular examination by their respective regulatory agencies, which results in examination reports and ratings that, while not publicly available, can impact the conduct and growth of their businesses. These examinations may consider not only compliance with applicable laws and regulations, but also capital levels, asset quality and risk, management ability and performance, earnings, liquidity, sensitivity to market risk, and various other factors. The regulatory agencies generally have broad authority to impose restrictions and limitations on the operations of a regulated entity when an agency determines, among other things, that such operations are unsafe or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unsound, fail to comply with applicable law, or are otherwise inconsistent with laws and regulations or with the supervisory policies of these agencies.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Anti-Money Laundering Initiatives and Sanctions Compliance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and Bank are subject to extensive regulations aimed at combating money laundering and terrorist financing. The Uniting and Strengthening America by Providing Appropriate Tools Required to Intercept and Obstruct Terrorism Act of 2001 (the “Patriot Act”) substantially broadened the scope of U.S. anti-money laundering laws and regulations by imposing significant compliance and due diligence obligations, creating new crimes and penalties, and expanding the extra-territorial jurisdiction of the United States. Treasury Department regulations implementing the Patriot Act impose obligations on financial institutions to maintain appropriate policies, procedures, and controls to detect, prevent, and report money laundering and terrorist financing and to verify the identity of their customers. In addition, the Anti-Money Laundering Act of 2020 (the “AML Act”), enacted in January 2021, includes the most substantial changes to U.S. anti-money laundering law since the Patriot Act. Among other things, the AML Act creates new beneficial ownership reporting requirements for certain entities doing business in the United States, requires the Treasury Department’s Financial Crimes Enforcement Network to establish national anti-money laundering priorities and combating the financing of terrorism priorities, increases anti-money laundering whistleblower awards and expands whistleblower protections, and enhances penalties for Bank Secrecy Act and anti-money laundering violations. Failure of a financial institution to maintain and implement adequate programs to combat money laundering and terrorist financing, or to comply with all of the relevant laws or regulations, could have serious legal and financial consequences for the institution.</w:t>
      </w:r>
    </w:p>
    <w:p>
      <w:pPr>
        <w:spacing w:after="0" w:line="2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Treasury Department’s Office of Foreign Assets Control (“OFAC”) is responsible for helping to ensure that U.S. entities do not engage in transactions with certain prohibited parties, as defined by various Executive Orders and Acts of Congress. OFAC publishes lists of persons, organizations, and countries suspected of aiding, harboring, or engaging in terrorist acts, known as Specially Designated Nationals and Blocked Persons. OFAC administers and enforces applicable economic and trade sanctions programs. These sanctions are usually targeted against foreign countries, terrorists, international narcotics traffickers, and those believed to be involved in the proliferation of weapons of mass destruction. These regulations generally require either the blocking of accounts or other property of specified entities or individuals, but they may also require the rejection of certain transactions involving specified entities or individuals. The Company maintains policies, procedures, and other internal controls designed to comply with anti-money laundering requirements and sanctions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Sarbanes-Oxley Act</w:t>
      </w:r>
    </w:p>
    <w:p>
      <w:pPr>
        <w:spacing w:after="0" w:line="14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Sarbanes-Oxley Act represents a comprehensive revision of laws affecting corporate governance, accounting obligations, and corporate reporting. The Sarbanes-Oxley Act is applicable to all companies with equity securities registered, or that file reports, under the Exchange Act. In particular, the act established: (i) requirements for audit committees, including independence, expertise, and responsibilities; (ii) responsibilities regarding financial statements for the chief executive officer and chief financial officer of the reporting company and new requirements for them to certify the accuracy of periodic reports; (iii) standards for auditors and regulation of audits; (iv) disclosure and reporting obligations for the reporting company and its directors and executive officers; and (v) civil and criminal penalties for violations of the federal securities laws. The legislation also established a new accounting oversight board to enforce auditing standards and restrict the scope of services that accounting firms may provide to their publicly traded company audit clients.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Supervision and Regulation of the Bank</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Bank is a commercial bank chartered under the laws of the state of California and is primarily subject to the supervision, examination, and reporting requirements of the FDIC and the DFPI. Almost every area of the operations and financial condition of the Bank is subject to extensive regulation and supervision and to various requirements and restrictions under federal and state law, including loans, reserves, investments, issuance of securities, establishment of branches, capital adequacy, liquidity, earnings, dividends, management practices, and the provision of services. The FDIC and the DFPI regularly examine the Bank’s operations and have the authority to approve or disapprove mergers, the establishment of branches, and similar corporate actions. Both regulatory agencies have the power to take enforcement action to prevent the development or continuance of unsafe or unsound banking practices or other violations of law. The Bank is subject to supervision, examination, enforcement, and reporting requirements under the FDI Act, the California Financial Code, regulations of the FDIC and the DFPI, and certain of the requirements imposed by the Dodd-Frank Wall Street Reform and Consumer Protection Act of 2010 (the “Dodd-Frank Act”). The Company and the Bank are also subject to a wide range of consumer protection laws and regulations.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auto"/>
        </w:rPr>
        <w:t>California Law</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California law governs the chartering and regulation of California commercial banks like ours, including organizational and capital requirements, fiduciary powers, investment authority, banking offices and electronic terminals, declaration of dividends, changes of control and mergers, out of state activities, interstate branching and banking, debt offerings, borrowing limits, and limits on loans to one borrower. The DFPI is charged with the Bank’s supervision and regulation. The DFPI may take possession of a bank if certain conditions exist, such as insufficient shareholders’ equity, unsafe or unauthorized operations, or violations of law.</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Under California law, we may engage in the general business of banking, including, but not limited to, accepting deposits, making secured and unsecured loans, purchasing and holding real property for our own use, and issuing, advising, and confirming letters of credit. The amount a bank generally may borrow may not exceed the amount of its shareholders’ equity without the consent of the DFPI.</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Restrictions on Lending, Insider Transactions, and Affiliate Transactions</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California law limits California banks in the amount they may lend to one borrower and the amount they may lend to insiders. Under California law, with limited exceptions, unsecured loans to one person may not exceed 15% of the sum of a bank’s shareholders’ equity, allowance for credit losses, capital notes, and debentures. Additionally, both secured and unsecured loans to one person (excluding certain secured lending and letters of credit) at any given time generally may not exceed 25% of the sum of a bank’s shareholders’ equity, allowance for credit losses, capital notes, and debentures.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Section 22(g) of the Federal Reserve Act, as implemented by the Federal Reserve’s Regulation O, governs and restricts extensions of credit by a member bank to an executive officer, director, or principal shareholder of the bank and its affiliates. By making these provisions applicable to state non-member banks, the FDI Act and FDIC regulations impose these restrictions on the Bank’s purchases or sales of assets from or to insiders of the Bank and the Company. In general, extensions of credit to insiders: (i) may not exceed certain dollar limitations; (ii) must be made on substantially the same terms, including interest rates and collateral, as those prevailing at the time for comparable transactions with third parties; and (iii) must not involve more than the normal risk of repayment or present other unfavorable features. Additionally, California law imposes insider lending limits that are similar to the restrictions of the Federal Reserve’s Regulation O.</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Sections 23A and 23B of the Federal Reserve Act, which the FDI Act makes applicable to a state non-member bank like ours in the same manner and to the same extent as if it were a member bank, establish parameters for an insured bank to conduct “covered transactions” with its affiliates, generally: (i) limiting the extent to which the bank or its subsidiaries may engage in “covered transactions” with any one affiliate to an amount not greater than 10% of the bank’s capital stock and surplus, and limiting the aggregate of all such transactions with all affiliates to an amount not greater than 20% of the bank’s capital stock and surplus; and (ii) requiring that all such transactions be on terms substantially the same, or at least as favorable, to the bank or subsidiary as those that would be provided to a non-affiliate. In addition, an insured bank’s loans to affiliates generally must be fully collateralized. The term “covered transaction” includes the making of loans to the affiliate, purchase of assets from the affiliate, issuance of a guarantee on behalf of the affiliate, and several other types of transactions.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Concentrations in Lending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2006, the federal bank regulatory agencies released guidance advising financial institutions of the risks posed by commercial real estate lending concentrations and reinforcing that financial institutions should implement sound risk management processes to identify, monitor, and control risks associated with commercial real estate concentrations. Higher allowances for credit losses and capital levels may also be required. The commercial real estate guidance provides that further supervisory analysis of an institution’s commercial real estate loan concentrations is warranted when its concentrations exceed either: (i) total reported loans for construction, land development, and other land of 100% or more of a bank’s total risk-based capital; or (ii) total reported loans secured by multifamily and non-farm non-residential properties and loans for construction, land development, and other land of 300% or more of a bank’s total risk-based capital, where the outstanding balance of the institution’s commercial real estate portfolio has also increased by 50% or more during the prior 36 months. We have exposures to loans secured by commercial real estate due to the nature of our market and the loan needs of both our retail and commercial customers. We believe that our long-term experience in commercial real estate lending, underwriting policies, internal controls, and other policies currently in place, as well as our loan and credit monitoring and administration procedures, are generally appropriate to managing our concentrations as required under the commercial real estate guidance.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auto"/>
        </w:rPr>
        <w:t>Prompt Corrective Action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FDI Act identifies five capital categories for insured depository institutions: well-capitalized, adequately capitalized, undercapitalized, significantly undercapitalized, and critically undercapitalized. Under the banking agencies’ prompt corrective action framework, an insured depository institution is subject to differential regulation corresponding to the capital category within which the institution falls. For an insured depository institution to be “well-capitalized” under this framework, it must have a common equity Tier 1 capital ratio of at least 6.50%, a Tier 1 capital ratio of at least 8.00%, a total capital ratio of at least 10.00%, and a leverage ratio of at least 5.00%, and must not be subject to any written agreement, order or capital directive, or prompt corrective action directive issued by its primary federal or state banking regulator to meet and maintain a specific capital level for any capital measure. These limitations apply to the Bank, and not to the Company on a standalone basis.</w:t>
      </w:r>
    </w:p>
    <w:p>
      <w:pPr>
        <w:spacing w:after="0" w:line="2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FDI Act requires the federal banking agencies to take prompt corrective action whenever an insured depository institution does not meet minimum capital requirements. Failure to meet the capital guidelines could also subject an insured depository institution to capital raising requirements. In addition, an insured depository institution is generally prohibited from making capital distributions, including paying dividends or paying management fees to a holding company, if the institution would thereafter be undercapitalized. Finally, failure to meet statutorily mandated capital guidelines or more restrictive ratios separately established for an insured depository institution could subject the institution to a variety of enforcement remedies available to federal regulatory authorities, including issuance of a capital directive, the termination of deposit insurance by the FDIC, a prohibition on accepting or renewing brokered deposits, limitations on the rates of interest that the institution may pay on its deposits, and other restrictions on its business.</w:t>
      </w:r>
    </w:p>
    <w:p>
      <w:pPr>
        <w:spacing w:after="0" w:line="1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FDI Act also requires the federal banking agencies to prescribe certain noncapital standards for safety and soundness relating generally to operations and management, asset quality, and executive compensation, and permits regulatory action against an insured depository institution that does not meet such standards.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Payment of Dividends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principal source of the Company’s cash flow is dividends from the Bank. There are various legal and regulatory provisions that limit the amount of dividends the Bank can pay to the Company without regulatory approval. Under the California Financial Code, the Bank may not make any distribution to shareholders that exceeds the lesser of its retained earnings or its net income for the last three fiscal years, less the amount of any distributions made by the Bank to shareholders of the Bank during such period. However, with prior approval of the DFPI, the Bank may make a distribution to shareholders that exceeds such amounts, subject to limits set forth in the California Financial Code. Moreover, an institution’s failure to exceed the capital conservation buffer set forth in the federal banking agencies’ capital rules with common equity Tier 1 capital would result in limitations on an institution’s ability to make capital distributions and discretionary bonus payments. In addition, an insured depository institution is generally prohibited from making capital distributions, including paying dividends or paying management fees to a holding company, if the institution would thereafter be undercapitalized. Finally, the FDI Act prohibits an insured depository institution from paying dividends on its capital stock if it is in default of its payment of deposit insurance assessments to the FDIC.</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Reserve Requirements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Reserve rules require depository institutions, such as the Bank, to maintain reserves against their transaction accounts. In response to the COVID-19 pandemic, the Federal Reserve reduced reserve requirement ratios to 0.00% effective March 26, 2020. Increases to the reserve requirement would decrease the amount of the Bank’s assets that it may make available for lending and investment activities. Currently, the Federal Reserve has no plans to re-impose reserve requirements. However, the Federal Reserve may adjust reserve requirement ratios in the future if conditions warrant. Balances maintained by or on behalf of depository institutions in accounts at Federal Reserve Banks continue to receive interest when reserve requirement ratios are set to 0.00%. All balances earned the interest on excess reserves rate through July 28, 2021. Thereafter, all balances earn the Interest on Reserve Balances (the “IORB”) rate. The IORB rate is the rate of interest paid by the Federal Reserve Bank on balances maintained by or on behalf of an eligible institution in an account at a Federal Reserve Bank. The Board of Governors votes on the level of the IORB rate at each Federal Open Market Committee meeting that is consistent with the announced monetary policy stance. The amount of interest on reserve balances is calculated by multiplying the IORB rate on a day by the end of day balance maintained in an account on that day.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auto"/>
        </w:rPr>
        <w:t>Consumer Protection Laws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While consumer lending is not currently a significant focus of our business, we are subject to numerous laws and regulations intended to protect consumers, in addition to those discussed above, when lending or offering deposit products to consumers. These laws include, among others: the Truth in Lending Act, the Truth in Savings Act, the Electronic Fund Transfer Act, the Expedited Funds Availability Act, the Equal Credit Opportunity Act, the Fair and Accurate Credit Transactions Act, the Fair Housing Act, the Fair Credit Reporting Act, the Fair Debt Collection Act, the GLB Act, the Home Mortgage Disclosure Act, the Right to Financial Privacy Act, the Real Estate Settlement Procedures Act, laws regarding unfair and deceptive acts and practices, and usury and other fair lending laws and regulations, including state laws and regulations.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Because the Bank has assets of not more than $10 billion, its primary federal regulator, the FDIC, examines and enforces the Bank’s compliance with consumer financial protection laws. However, the CFPB has rulemaking authority, including with respect to regulations prohibiting unfair, deceptive, or abusive acts or practices. Additionally, the CFPB may participate in examinations of banks with not more than $10 billion in assets on a “sampling basis” and may refer potential enforcement actions against such banks to their primary federal regulators.</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Many states and local jurisdictions have consumer protection laws analogous, and in addition, to those listed above. These include, for instance, the California Unfair Competition Law, which broadly prohibits any unlawful, unfair, or fraudulent business act or practice, and false, deceptive, or misleading advertising. Violations of applicable consumer protection laws can result in significant potential liability, including actual damages, restitution, and injunctive relief, from litigation brought by customers, state attorneys general, and other plaintiffs, as well as enforcement actions by banking regulators.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Financial Privacy Laws</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GLB Act and California Consumer Privacy Act impose requirements related to the privacy of customer financial information. Among other things, these laws require disclosure of privacy policies to consumers and, in some circumstances, allow consumers to prevent disclosure of certain personal information to a nonaffiliated third party. The California Consumer Privacy Act grants California residents the rights to know about personal information collected about them, to delete certain of this personal information, to opt out of the sale of personal information, and to non-discrimination for exercising these rights. The privacy provisions of these laws may affect how consumer information is transmitted through diversified financial companies and conveyed to outside vendors.</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October 22, 2024, the CFPB issued a final rule to implement Section 1033 of the Dodd-Frank Act. Under the final rule, financial institutions such as the Bank that offer a consumer product or service covered by the rule would be required, upon request, to make available to a consumer or third party authorized by the consumer certain information the Bank has concerning such a product or service. Industry organizations challenged the final rule in court. On July 29, 2025, the district court granted a motion by the CFPB to stay the proceedings while the CFPB conducts a rulemaking to revise the final rule substantially. On August 22, 2025, the CFPB issued an advance notice of proposed rulemaking to solicit comments and data on several issues as part of a reconsideration of the final rule. On October 29, 2025, the district court issued a preliminary injunction preventing the CFPB from enforcing the final rule until the CFPB has completed its reconsideration of the rule.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Branching</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Under California law, the Bank may open branch offices throughout California with the prior approval of the DFPI. In addition, with prior DFPI approval, the Bank may acquire branches of existing banks located in California. Under federal law, the Bank may establish branch offices with the prior approval of the FDIC. Federal law allows a bank to branch into a new state through the establishment of a new branch if, among other factors, the bank is “well-managed” and “well-capitalized” and, under the laws of the state in which the branch is to be located, a state bank chartered by that state would be permitted to establish the branch.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FDIC Deposit Insurance Assessments</w:t>
      </w:r>
    </w:p>
    <w:p>
      <w:pPr>
        <w:spacing w:after="0" w:line="14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deposits of the Bank are insured by the DIF as administered by the FDIC and, accordingly, are subject to deposit insurance assessments to maintain the DIF at minimum levels required by statute. The Dodd-Frank Act increased the minimum reserve ratio requirement for the DIF to 1.35% of total estimated insured deposits or the comparable percentage of the deposit assessment base. The DIF reserve ratio fell to below the statutory minimum of 1.35% during the COVID-19 pandemic. The FDIC adopted a restoration plan in September 2020, which it amended in June 2022, to restore the DIF</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14"/>
          <w:szCs w:val="14"/>
          <w:color w:val="auto"/>
        </w:rPr>
        <w:t>reserve ratio to at least 1.35% by September 30, 2028. On October 18, 2022, the FDIC adopted a final rule to increase initial base deposit insurance assessment rates for insured depository institutions by two basis points, beginning with the first quarterly assessment period of 2023. The increased assessment rate schedules will remain in effect unless and until the reserve ratio of the DIF meets or exceeds 2.00%. As a result of the new rule, the FDIC insurance costs of insured depository institutions, including the Bank, generally increased.</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FDIC uses a risk-based assessment system that imposes insurance premiums as determined by multiplying an insured bank’s assessment base by its assessment rate. A bank’s deposit insurance assessment base is generally equal to its total assets minus its average tangible equity during the assessment period. For a depository institution that has been insured for more than five years and that has total consolidated assets of less than $10.0 billion, such as the Bank, the FDIC determines the assessment rate within a range of base assessment rates based on the bank’s CAMELS composite rating, considering other factors and adjustments. The CAMELS rating system is a supervisory rating system developed to classify a bank’s overall condition by considering capital adequacy, assets, management capability, earnings, liquidity, and sensitivity to market and interest rate risk.</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Insurance of deposits may be terminated by the FDIC upon a finding that a bank has engaged in unsafe and unsound practices, is in an unsafe or unsound condition to continue operations, or has violated any applicable law, regulation, rule, order, or condition imposed by the bank’s federal regulatory agency. In addition, the FDI Act provides that, in the event of the liquidation or other resolution of an insured depository institution, the claims of depositors of the institution, including the claims of the FDIC as subrogee of insured depositors, and certain claims for administrative expenses of the FDIC as a receiver, will have priority over other general unsecured claims against the institution, including those of its parent bank holding company.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Community Reinvestment Act (“CRA”)</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CRA requires that, in connection with examinations of insured depository institutions within their respective jurisdictions, the federal banking agencies must evaluate the record of each financial institution in meeting the credit needs of its local community, including low- and moderate-income neighborhoods. A bank’s CRA performance is also considered in evaluating applications seeking approval for mergers, acquisitions, and new offices or facilities, and a CRA rating of less than “Satisfactory” may adversely affect the ability of a bank or its parent company to engage in such transactions. The Bank received a rating of “Satisfactory” at its most recent CRA evaluation, dated as of July 22, 2024 and covering activities from 2021 through the evaluation date. The FDIC’s evaluation of the Bank’s record of performance under the CRA is publicly available.</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October 24, 2023, the federal banking agencies issued a final rule revising their framework for evaluating banks’ records of community reinvestment under the CRA. On July 16, 2025, these agencies issued a notice of proposed rulemaking to rescind the October 2023 final rule and restore the CRA framework that existed prior to the October 2023 final rule. The Bank’s most recent performance evaluation was conducted using the CRA framework that existed prior to the October 2023 final rule.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FHLB Membership</w:t>
      </w:r>
    </w:p>
    <w:p>
      <w:pPr>
        <w:spacing w:after="0" w:line="14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Bank is a member of the FHLB, which is one of 11 regional Federal Home Loan Banks that administer the home financing credit function of banking institutions. Each Federal Home Loan Bank is funded primarily from proceeds derived from the sale of consolidated obligations of the Federal Home Loan Bank system and makes advances to members in accordance with policies and procedures established by the Board of Directors of the Federal Home Loan Bank and subject to the oversight of the Federal Housing Finance Agency. All advances from a Federal Home Loan Bank are required to be fully secured by sufficient collateral as determined by the Federal Home Loan Bank. In addition, all long-term advances are required to provide funds for residential home financing.</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Cybersecurity</w:t>
      </w:r>
    </w:p>
    <w:p>
      <w:pPr>
        <w:spacing w:after="0" w:line="1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Federal banking agencies pay close attention to the cybersecurity practices of banks and their holding companies and affiliates. The interagency council of the agencies, the FFIEC, has issued several policy statements and other guidance for banks as new cybersecurity threats arise. The FFIEC has recently focused on such matters as compromised customer credentials and business continuity planning. Examinations by the banking agencies now include review of an institution’s information technology and its ability to thwart cyber-attacks.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0" w:name="page21"/>
    <w:bookmarkEnd w:id="20"/>
    <w:p>
      <w:pPr>
        <w:jc w:val="both"/>
        <w:spacing w:after="0" w:line="271" w:lineRule="auto"/>
        <w:rPr>
          <w:sz w:val="20"/>
          <w:szCs w:val="20"/>
          <w:color w:val="auto"/>
        </w:rPr>
      </w:pPr>
      <w:r>
        <w:rPr>
          <w:rFonts w:ascii="Times New Roman" w:cs="Times New Roman" w:eastAsia="Times New Roman" w:hAnsi="Times New Roman"/>
          <w:sz w:val="14"/>
          <w:szCs w:val="14"/>
          <w:color w:val="auto"/>
        </w:rPr>
        <w:t>Banking organizations are required to notify their primary federal regulator of significant computer security incidents within 36 hours of determining that such an incident has occurred. In addition, the SEC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Certain factors may have an adverse effect on our business, financial condition, and results of operations. You should carefully consider the following risks, together with all of the other information contained in this Annual Report on Form 10-K, including the sections entitled “Cautionary Note Regarding Forward-Looking Statements” and “Management’s Discussion and Analysis of Financial Condition and Results of Operations” and our financial statements and the related notes thereto. Any of the following risks could have an adverse effect on our business, financial condition, and results of operations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 Summary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most significant risks that may have an adverse effect on our business, financial condition, and results of operations are summarized below.</w:t>
      </w:r>
    </w:p>
    <w:p>
      <w:pPr>
        <w:spacing w:after="0" w:line="148" w:lineRule="exact"/>
        <w:rPr>
          <w:sz w:val="20"/>
          <w:szCs w:val="20"/>
          <w:color w:val="auto"/>
        </w:rPr>
      </w:pPr>
    </w:p>
    <w:p>
      <w:pPr>
        <w:ind w:left="500" w:hanging="254"/>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operations are concentrated in Northern California, and we are sensitive to adverse changes in the local economy.</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competitive market and face increasing competition from traditional and new financial services providers.</w:t>
      </w:r>
    </w:p>
    <w:p>
      <w:pPr>
        <w:spacing w:after="0" w:line="126"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various risks associated with our banking business and operations, including, among others, credit, market, liquidity, interest rate, and compliance risks, which may have an adverse effect on our business, financial condition, and results of operations if we are unable to manage such risks.</w:t>
      </w:r>
    </w:p>
    <w:p>
      <w:pPr>
        <w:spacing w:after="0" w:line="60"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effectively manage our growth, which could have an adverse effect on our business, financial condition, and results of operations.</w:t>
      </w:r>
    </w:p>
    <w:p>
      <w:pPr>
        <w:spacing w:after="0" w:line="126"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operate in a highly regulated industry, and current regulatory requirements, including stringent capital requirements, consumer protection laws, and anti-money laundering laws, and failure to comply with these requirements and any future legislative and regulatory changes may have an adverse effect on our business, financial condition, and results of operations.</w:t>
      </w:r>
    </w:p>
    <w:p>
      <w:pPr>
        <w:spacing w:after="0" w:line="71" w:lineRule="exact"/>
        <w:rPr>
          <w:rFonts w:ascii="Times New Roman" w:cs="Times New Roman" w:eastAsia="Times New Roman" w:hAnsi="Times New Roman"/>
          <w:sz w:val="14"/>
          <w:szCs w:val="14"/>
          <w:color w:val="auto"/>
        </w:rPr>
      </w:pPr>
    </w:p>
    <w:p>
      <w:pPr>
        <w:jc w:val="both"/>
        <w:ind w:left="500" w:hanging="254"/>
        <w:spacing w:after="0" w:line="271"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laws regarding privacy, information security, and protection of personal information, and any violation of these laws or incidents involving personal, confidential, or proprietary information of individuals, including, among others, system failures or cybersecurity breaches of our network security, could damage our reputation and otherwise adversely affect our business, financial condition, and results of operations.</w:t>
      </w:r>
    </w:p>
    <w:p>
      <w:pPr>
        <w:spacing w:after="0" w:line="72"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charter documents contain certain provisions, including anti-takeover and exclusive forum provisions, that limit the ability of our shareholders to take certain actions and could delay or discourage takeover attempts that shareholders may consider favorable.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Business</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Our business and operations are concentrated in California, specifically Northern California, and we are more sensitive than our more geographically diversified competitors to adverse changes in the local economy.</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Unlike many of our larger competitors that maintain significant operations located outside our market, substantially all of our customers are individuals and businesses located and doing business in the state of California. As of December 31, 2025, approximately 56.89% of our real estate loans measured by dollar amount were secured by collateral located in California, a majority of which is in Northern California. Therefore, our success will depend upon the general economic conditions and real estate activity in these areas, which we cannot predict with certainty. As a result, our operations and profitability may be more adversely affected by a local economic downturn than those of larger, more geographically diverse competitors. A downturn in the local economy could make it more difficult for our borrowers to repay their loans,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1" w:name="page22"/>
    <w:bookmarkEnd w:id="21"/>
    <w:p>
      <w:pPr>
        <w:jc w:val="both"/>
        <w:spacing w:after="0" w:line="265" w:lineRule="auto"/>
        <w:rPr>
          <w:sz w:val="20"/>
          <w:szCs w:val="20"/>
          <w:color w:val="auto"/>
        </w:rPr>
      </w:pPr>
      <w:r>
        <w:rPr>
          <w:rFonts w:ascii="Times New Roman" w:cs="Times New Roman" w:eastAsia="Times New Roman" w:hAnsi="Times New Roman"/>
          <w:sz w:val="14"/>
          <w:szCs w:val="14"/>
          <w:color w:val="auto"/>
        </w:rPr>
        <w:t>may lead to credit losses that are not offset by operations in other markets, and may also reduce the ability of depositors to make or maintain deposits with us. In addition, businesses operating in Northern California, and Sacramento in particular, depend on California state government employees for business, and reduced spending activity by such employees in the event of furloughing or termination of such employees could have an adverse impact on the success or failure of these businesses, some of which are current or could become future customers of the Bank. For these reasons, any regional or local economic downturn could have an adverse effect on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small to medium-sized businesses to which we lend may have fewer resources to weather adverse business developments, which may impair a borrower’s ability to repay a loan.</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target our business development and marketing strategy primarily to serve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their ability as a borrower to repay a loan. In addition, the success of small and medium-sized businesses often depends on the management skills, talents, and efforts of one or two people or a small group of people, and the death, disability, or resignation of one or more of these people could have an adverse impact on the business and its ability to repay its loan. If general economic conditions negatively impact the markets in which we operate or any of our borrowers are otherwise affected by adverse business developments, our small to medium-sized borrowers may be disproportionately affected and their ability to repay outstanding loans may be negatively affected, resulting in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is significantly dependent on the real estate markets in which we operate, as a significant percentage of our loan portfolio is secured by real estate.</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of December 31, 2025, a substantial portion of our loan portfolio was comprised of loans with real estate as a primary or secondary component of collateral, with a majority of these real estate loans concentrated in Northern California. Real property values in our market may be different from, and in some instances worse than, real property values in other markets or in the United States as a whole and may be affected by a variety of factors outside of our control and the control of our borrowers, including national and local economic conditions, generally. Declines in real estate values, including prices for homes and commercial properties, could result in a deterioration of the credit quality of our borrowers, an increase in the number of loan delinquencies, defaults, and charge-offs, and reduced demand for our products and services, generally. Our commercial real estate loans may have a greater risk of loss than residential mortgage loans, in part because these loans are generally larger or more complex to underwrite. In particular, real estate construction and land acquisition and development loans have risks not present in other types of loans, including risks associated with construction cost overruns, project completion risk, general contractor credit risk, and risks associated with the ultimate sale or use of the completed construction. In addition, declines in real property values in California could reduce the value of any collateral we realize following a default on these loans and could adversely affect our ability to continue to grow our loan portfolio consistent with our underwriting standards. We may have to foreclose on real estate assets if borrowers default on their loans, in which case we are required to record the related asset to the then-fair market value of the collateral, which may ultimately result in a loss. An increase in the level of nonperforming assets increases our risk profile and may affect the capital levels regulators believe are appropriate in light of the ensuing risk profile. Our failure to effectively mitigate these risks could have an adverse effect on our business, financial condition, and results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interest rate risk, which could adversely affect our profitability.</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profitability, like that of most financial institutions of our type, depends to a large extent on our net interest income, which is the difference between our interest income on interest-earning assets, such as loans and investment securities, and our interest expense on interest-bearing liabilities, such as deposits and borrowings. Changes in interest rates can increase or decrease our net interest income because different types of assets and liabilities may react differently, and at different times, to market interest rate changes.</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Interest rates are highly sensitive to many factors that are beyond our control, including general economic conditions and policies of various governmental and regulatory agencies and, in particular, the Federal Reserve. Changes in interest rates can increase competitive pressures on the cost of deposit funds. These pressures have been exacerbated by the bank failures in the first half of 2023 and the resulting heightened competition for deposits, which has also affected the interest we pay on deposits. It is not possible to predict the pace and magnitude of changes in interest rates, or the impact rate changes will have on our results of operations. Changes in monetary policy, including changes in interest rates, could influence not only the interest we receive on loans and securities and the interest we pay on deposits and borrowings, but such changes could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2" w:name="page23"/>
    <w:bookmarkEnd w:id="22"/>
    <w:p>
      <w:pPr>
        <w:jc w:val="both"/>
        <w:spacing w:after="0" w:line="262" w:lineRule="auto"/>
        <w:rPr>
          <w:sz w:val="20"/>
          <w:szCs w:val="20"/>
          <w:color w:val="auto"/>
        </w:rPr>
      </w:pPr>
      <w:r>
        <w:rPr>
          <w:rFonts w:ascii="Times New Roman" w:cs="Times New Roman" w:eastAsia="Times New Roman" w:hAnsi="Times New Roman"/>
          <w:sz w:val="14"/>
          <w:szCs w:val="14"/>
          <w:color w:val="auto"/>
        </w:rPr>
        <w:t>also affect our ability to originate loans and obtain deposits, the fair value of our financial assets and liabilities, and the average duration of our assets and liabilities. If the interest rates paid on deposits and other borrowings increase at a faster rate than the interest rates received on loans and other investments, our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or prolonged change in market interest rates could have an adverse effect on our business, financial condition, and results of operations. As of December 31, 2025, significant portions of our interest-bearing liabilities were variable rate, where our variable rate liabilities reprice at a faster rate than our variable rate assets.</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an increase in interest rates could also have a negative impact on our results of operations by reducing the demand for loans, decreasing the ability of borrowers to repay their current loan obligations, and increasing early withdrawals on term deposits. These circumstances could not only result in increased loan defaults, foreclosures, and charge-offs, but also reduce collateral values and necessitate further increases to the allowance for credit losses, which could have an adverse effect on our business, financial condition, and results of operations. Conversely, a decrease in the general level of interest rates may affect us through, among other things, increased prepayments on our loan portfolio, and our cost of funds may not fall as quickly as yields on interest-earning assets. Our asset-liability management strategy may not be effective in mitigating exposure to the risks related to changes in market interest rates.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Inflation can have an adverse impact on our business and on our customers.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Inflation results in the value of assets or income from investments being worth less in the future due to a decrease in the value of money. Interest rates are likely to be higher during periods of elevated inflation and, together, these factors typically cause the value of our investment securities, particularly those with longer maturities, to decrease, although this effect is less pronounced for floating rate instruments than for fixed-rate instruments. Prolonged periods of inflation also may impact our profitability by negatively impacting our costs and expenses, including increasing funding costs and expenses related to talent acquisition and retention, and negatively impacting the demand for our products and services. Moreover, our customers are also affected by inflation and the rising costs of goods and services used in their households and businesses, which could have a negative impact on their ability to repay their loans. Adverse changes in inflation and interest rates could negatively impact consumer and business confidence, and adversely affect the economy as well as our business, results of operations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operate in a highly competitive market and face increasing competition from a variety of traditional and new financial services providers.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many competitors. Our principal competitors are commercial and community banks, credit unions, savings and loan associations, mortgage banking firms and online mortgage lenders, and commercial and consumer finance companies, including large national financial institutions that operate in our market. Many of these competitors are larger than we are, have significantly more resources, greater brand recognition, and more extensive and established branch networks or geographic footprints than we do, and may be able to attract customers more effectively than we can. Because of their scale, many of these competitors can be more aggressive on loan and deposit pricing than we can and may better afford and make broader use of media advertising, support services, and electronic technology than we do. Also, many of our non-bank competitors have fewer regulatory constraints and may have lower cost structures. Additionally, financial technology companies and other firms have begun to offer services such as stablecoins that may serve as alternatives to traditional banking products such as deposits. We compete with these other companies both in attracting deposits and making loans. We expect competition to continue to increase as a result of legislative, regulatory, and technological changes, the continuing trend of consolidation in the financial services industry, and the emergence of alternative banking sources. Our profitability in large part depends upon our continued ability to compete successfully with traditional and new financial services providers, some of which maintain a physical presence in our market and others of which maintain only a virtual presence. Increased competition could require us to increase the rates we pay on deposits or lower the rates that we offer on loans, which could reduce our profitability.</w:t>
      </w:r>
    </w:p>
    <w:p>
      <w:pPr>
        <w:spacing w:after="0" w:line="1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Additionally, like many of our competitors, we rely on customer deposits as our primary source of funding for our lending activities, and we continue to seek and compete for customer deposits to maintain this funding base. Our future growth will largely depend on our ability to retain and grow our deposit base. Although we have historically maintained a high deposit customer retention rate, these deposits are subject to potentially dramatic fluctuations in availability or price due to certain factors outside of our control, such as increasing competitive pressures for deposits, changes in interest rates and returns on other investment classes, customer perceptions of our financial health and general reputation, and a loss of confidence by customers in us or the banking sector generally, which could result in significant outflows of deposits within short periods of time or significant changes in pricing necessary to maintain current customer deposits or attract additional deposits.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3" w:name="page24"/>
    <w:bookmarkEnd w:id="23"/>
    <w:p>
      <w:pPr>
        <w:jc w:val="both"/>
        <w:spacing w:after="0" w:line="288" w:lineRule="auto"/>
        <w:rPr>
          <w:sz w:val="20"/>
          <w:szCs w:val="20"/>
          <w:color w:val="auto"/>
        </w:rPr>
      </w:pPr>
      <w:r>
        <w:rPr>
          <w:rFonts w:ascii="Times New Roman" w:cs="Times New Roman" w:eastAsia="Times New Roman" w:hAnsi="Times New Roman"/>
          <w:sz w:val="14"/>
          <w:szCs w:val="14"/>
          <w:color w:val="auto"/>
        </w:rPr>
        <w:t>Additionally, any such loss of funds could result in lower loan originations, which could have an adverse effect on our business, financial condition, and results of operations. Our failure to compete effectively in our market could restrain our growth or cause us to lose market share, which could have an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Failure to keep up with the rapid technological changes in the financial services industry could have an adverse effect on our competitive position and profitability.</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financial services industry is undergoing rapid technological changes, with frequent introductions of new technology-driven products and services. The effective use of technology increases efficiency and enables financial institutions to better serve customers and reduce costs. Our future success will depend, in part, upon our ability to address the needs of our customers by using technology to provide products and services that will satisfy customer demands for convenience, as well as to create additional efficiencies in our operations. Many of our competitors have substantially greater resources to invest in technological improvements than we do. We may not be able to implement new technology-driven products and services effectively or be successful in marketing these products and services to our customers. Failure to keep pace successfully with technological change affecting the financial services industry could harm our ability to compete effectively and could have an adverse effect on our business, financial condition, and results of operations. As these technologies improve in the future, we may be required to make significant capital expenditures in order to remain competitive, which may increase our overall expenses and have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dependent on the use of data and modeling in both our management’s decision-making generally and in meeting regulatory expectations in particular.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use of statistical and quantitative models and other quantitatively based analyses is endemic to bank decision making and regulatory compliance processes, and the employment of such analyses is becoming increasingly widespread in our operations. Liquidity stress testing, interest rate sensitivity analysis, allowance for credit loss measurement, portfolio stress testing, and the identification of possible violations of anti-money laundering regulations are examples of areas in which we are dependent on models and the data that underlie them. We anticipate that model-derived insights will be used more widely in our decision making in the future. While these quantitative techniques and approaches improve our decision making, they also create the possibility that faulty data or flawed quantitative approaches could yield adverse outcomes or regulatory scrutiny. Secondarily, because of the complexity inherent in these approaches, misunderstanding or misuse of their outputs could similarly result in suboptimal decision making, which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 able to measure and limit our credit risk adequately, which could adversely affect our profitability.</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risks resulting from changes in economic and industry conditions, and risks inherent in dealing with individual loans and borrowers. The creditworthiness of a borrower is affected by many factors, including local market conditions and general economic conditions. Many of our loans are made to small to medium-sized businesses that are less able to withstand competitive, economic, and financial pressures than larger borrowers. If the overall economic climate in the United States, generally, or in our market specifically, experiences material disruption, our borrowers may experience difficulties in repaying their loans, the collateral we hold may decrease in value or become illiquid, and the level of nonperforming loans, charge-offs, and delinquencies could rise and require significant additional provisions for credit losses. Additional factors related to the credit quality of multifamily residential, real estate construction, and other commercial real estate loans include the quality of management of the business and tenant vacancy rates.</w:t>
      </w:r>
    </w:p>
    <w:p>
      <w:pPr>
        <w:spacing w:after="0" w:line="1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risk management practices, such as monitoring the concentration of our loans within specific markets and our credit approval, review, and administrative practices, may not adequately reduce credit risk, and our credit administration personnel, policies, and procedures may not adequately adapt to changes in economic or any other conditions affecting customers and the quality of the loan portfolio. A failure to effectively measure and limit the credit risk associated with our loan portfolio may result in loan defaults, foreclosures, and additional charge-offs, and may necessitate that we significantly increase our allowance for credit losses, each of which could adversely affect our net income. As a result, our inability to successfully manage credit risk could have an adverse effect on our business, financial condition, and results of operations.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4" w:name="page25"/>
    <w:bookmarkEnd w:id="24"/>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We are exposed to higher credit risk and other risks and costs by our commercial real estate, commercial land and construction, commercial construction, farmland loans and other real estate assets.</w:t>
      </w:r>
    </w:p>
    <w:p>
      <w:pPr>
        <w:spacing w:after="0" w:line="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Commercial real estate, commercial land and construction, commercial construction, and farmland-based lending, which form significant portions of our loan portfolio, usually involve higher credit risks than other types of mortgage loans. These types of loans also involve larger loan balances to a single borrower or groups of related borrowers. These higher credit risks are further heightened when the loans are concentrated in a small number of larger borrowers, leading to relationship exposure.</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Non-owner-occupied commercial real estate loans may be affected to a greater extent than residential loans by adverse conditions in real estate markets or the economy because commercial real estate borrowers’ ability to repay their loans depends on successful development of their properties, in addition to the factors affecting residential real estate borrowers. These loans also involve greater risk because they generally are not fully amortizing over the loan period but have a balloon payment due at maturity. A borrower’s ability to make a balloon payment typically will depend on being able to either refinance the loan or sell the underlying property in a timely manner.</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Banking regulators closely supervise banks’ commercial real estate lending activities and may require banks with higher levels of commercial real estate loans to implement improved underwriting, internal controls, risk management policies, and portfolio stress testing, as well as possibly higher levels of allowances for losses and capital levels as a result of commercial real estate lending growth and exposures.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Commercial land development loans and owner-occupied commercial real estate loans are typically based on the borrowers’ ability to repay the loans from the cash flow of their businesses. These loans may involve greater risk because the availability of funds to repay each loan depends substantially on the success of the business itself. In addition, the assets securing the loans have the following characteristics: (i) they depreciate over time; (ii) they are difficult to appraise and liquidate; and (iii) they fluctuate in value based on the success of the business.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Commercial real estate loans, commercial and industrial loans, and construction loans are more susceptible to a risk of loss during a downturn in the business cycle. Our underwriting, review, and monitoring cannot eliminate all the risks related to these loans.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also make both secured and unsecured loans to our commercial clients. Secured commercial loans are generally collateralized by real estate, accounts receivable, inventory, equipment, or other assets owned by the borrower, or may include a personal guaranty of the business owner. Unsecured loans generally involve a higher degree of risk of loss than do secured loans because, without collateral, repayment is wholly dependent upon the success of the borrowers’ businesses. Because of this lack of collateral, we are limited in our ability to collect on defaulted unsecured loans. Furthermore, the collateral that secures our secured commercial and industrial loans typically includes inventory, accounts receivable, and equipment, which, if the business is unsuccessful, usually has a value that is insufficient to satisfy the loan without a loss.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may be forced to foreclose on the collateral and own the underlying real estate, subjecting us to the costs and potential risks associated with the ownership of real property, or consumer protection initiatives or changes in state or federal law may substantially raise the cost of foreclosure or prevent us from foreclosing at all. The amount that we, as a mortgagee, may realize after a foreclosure depends on factors outside of our control, including, but not limited to, general or local economic conditions, environmental cleanup liabilities, assessments, interest rates, real estate tax rates, operating 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if we foreclose on and take title to real property securing loans, there is a risk that hazardous or toxic substances could be found on these properties and that we could be liable for remediation costs, as well as personal injury and property damage. Environmental laws may require us to incur substantial expenses and may materially reduce the affected property’s value or limit our ability to sell the affected property. The remediation costs and any other financial liabilities associated with an environmental hazard could have an adverse effect on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Curtailment of government-guaranteed loan programs or changes in federal government funding could affect our business.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One component of our business consists of originating and periodically selling U.S. government-guaranteed loans, in particular those guaranteed by the SBA under its 7(a) loan program. The SBA presently guarantees 75% to 90% of the principal amount of qualifying loans originated under the 7(a) loan program. The U.S. government may not maintain the SBA 7(a) loan program, and even if it does, the guaranteed portion may not remain at its current or anticipated level. In addition, from time to time, the SBA may reach its funding limits and cease to guarantee future loans. In addition, the SBA may change its rules for qualifying loans or Congress may adopt legislation that would have the effect of discontinuing or changing the loan guarantee programs.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If these changes occur, the volume of loans to small business and industrial borrowers of the types that now qualify for government-guaranteed loans could decline. Also, the profitability of the sale of the guaranteed portion of these loans could decline as a result of market displacements due to increases in interest rates, and premiums realized on the sale of the guaranteed portions could decline from current levels. Any significant changes to the SBA 7(a) loan program, such as its funding or eligibility requirements, may have an unfavorable impact on our prospects, future performance, and results of operations. The aggregate principal balance of SBA 7(a) loans with government-guaranteed portions sold during the year ended December 31, 2025 was approximately $3.3 million, compared to approximately $18.3 million for the year ended December 31,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risk could impair our ability to fund operations and meet our obligations as they become due.</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Liquidity is essential to our business, and we monitor our liquidity and manage our liquidity risk at the holding company and bank levels. We require sufficient liquidity to fund asset growth, meet customer loan requests, facilitate customer deposit maturities and withdrawals, make payments on our debt obligations as they come due, and fulfill other cash commitments under both normal operating conditions and other unpredictable circumstances, including events causing industry or general financial market stress. Liquidity risk can increase due to a number of factors, which include, but are not limited to, an over-reliance on a particular source of funding, changes in the liquidity needs of our depositors, adverse regulatory actions against us, or a downturn in the markets in which our loans are concentrated.</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Market conditions or other events could also negatively affect the level or cost of funding, affecting our ongoing ability to accommodate liability maturities and deposit withdrawals, meet contractual obligations, and fund asset growth and new business transactions at a reasonable cost, in a timely manner, and without adverse consequences. Our inability to raise funds through deposits, borrowings, the sale of loans, and other sources could have an adverse effect on our business, financial condition, and results of operations, and could result in the closure of the Bank.</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Other primary sources of funds consist of cash flows from operations, maturities and sales of investment securities, and proceeds from issuance and sale of our equity and debt securities. Additional liquidity is provided by the ability to borrow from the FHLB and the Federal Reserve Bank of San Francisco to fund our operations. We may also borrow funds from third-party lenders, such as other financial institutions. Our access to funding sources in amounts adequate to finance our activities or on acceptable terms could be impaired by factors that affect our organization specifically or the financial services industry or economy in general. Our access to funding sources could also be affected by a decrease in the level of our business activity as a result of a downturn in our primary market or by one or more adverse regulatory actions against us.</w:t>
      </w:r>
    </w:p>
    <w:p>
      <w:pPr>
        <w:spacing w:after="0" w:line="1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Any substantial, unexpected, and/or prolonged change in the level or cost of liquidity could impair our ability to fund operations and meet our obligations as they become due and could have an adverse effect on our business, financial condition, and results of operations. Although we have historically been able to replace maturing deposits and advances if desired, we may not be able to replace such funds in the future if our financial condition, the financial condition of the FHLB, or market conditions change. FHLB borrowings and other current sources of liquidity may not be available or, if available, may not be sufficient to provide adequate funding for operations and to support our continued growth. The unavailability of sufficient funding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adversely affected by the soundness of other financial institutions.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Our ability to engage in routine funding transactions could be adversely affected by the actions and commercial soundness of other financial institutions. Financial services companies may be interrelated as a result of trading, clearing, counterparty, and other relationships. The failures of Silicon Valley Bank, Signature Bank, and First Republic Bank in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26" w:name="page27"/>
    <w:bookmarkEnd w:id="26"/>
    <w:p>
      <w:pPr>
        <w:jc w:val="both"/>
        <w:spacing w:after="0" w:line="271" w:lineRule="auto"/>
        <w:rPr>
          <w:sz w:val="20"/>
          <w:szCs w:val="20"/>
          <w:color w:val="auto"/>
        </w:rPr>
      </w:pPr>
      <w:r>
        <w:rPr>
          <w:rFonts w:ascii="Times New Roman" w:cs="Times New Roman" w:eastAsia="Times New Roman" w:hAnsi="Times New Roman"/>
          <w:sz w:val="14"/>
          <w:szCs w:val="14"/>
          <w:color w:val="auto"/>
        </w:rPr>
        <w:t>2023 resulted in significant disruption in the financial services industry and negative media attention, which has also adversely impacted the volatility and market prices of the securities of financial institutions and resulted in outflows of deposits for us and many other financial institutions. These events have adversely impacted and could continue to adversely affect our business, results of operations, and financial condition, as well as the market price and volatility of our common stock.</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While the volatility and uncertainty with respect to the health of the United States banking system has abated somewhat since the bank failures that occurred in the spring of 2023, there remains heightened awareness around liquidity, uninsured deposits, deposit composition, unrecognized investment losses, and capital among counterparties, customers, and regulators. We are exposed to different industries and counterparties through transactions with counterparties in the financial services industry, including broker-dealers, commercial banks, investment banks, and other financial intermediaries. As a result, defaults by, declines in the financial condition of, or even rumors or questions about one or more financial services companies, or the financial services industry generally, could lead to market-wide liquidity problems and losses or defaults by us or other institutions. These losses could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requirements affecting our loans secured by commercial real estate could limit our ability to leverage our capital and adversely affect our growth and profitability.</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federal banking agencies have issued guidance regarding concentrations in commercial real estate lending for institutions that are deemed to have particularly high concentrations of commercial real estate loans within their lending portfolios. Under this guidance, an institution that has: (i) total reported loans for construction, land development, and other land which represent 100% or more of the institution’s total risk-based capital; or (ii) total reported loans secured by multifamily and non-farm non-residential properties and loans for construction, land development, and other land of 300% or more of the institution’s total risk-based capital, where the outstanding balance of the institution’s commercial real estate loan portfolio has increased 50% or more during the prior 36 months, is identified as having potential commercial real estate concentration risk. An institution that is deemed to have concentrations in commercial real estate lending is expected to employ heightened levels of risk management with respect to its commercial real estate portfolios and may be required to maintain higher levels of capital. We have a concentration in commercial real estate loans, and we have experienced significant growth in our commercial real estate portfolio in recent years. We cannot guarantee that any risk management practices we implement will be effective to prevent losses relating to our commercial real estate portfolio. Management has extensive experience in commercial real estate lending and has implemented and continues to maintain heightened portfolio monitoring and reporting, and strong underwriting criteria with respect to our commercial real estate portfolio. Nevertheless, we could be required to maintain higher levels of capital as a result of our commercial real estate concentration, which could limit our growth, require us to obtain additional capital, and have an adverse effect on our business, financial condition, and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recovery on commercial real estate loans could be further reduced by a lack of a liquid secondary market for such mortgage loans and mortgage-backed securities.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current business strategy includes an emphasis on commercial real estate lending. Although we sold 10 SBA 7(a) loans with government-guaranteed portions totaling approximately $3.3 million in the year ended December 31, 2025, we may decide to sell more loans in the future. A secondary market for most types of commercial real estate loans is not readily liquid, so we have less opportunity to mitigate credit risk by selling part or all of our interest in these loans. As a result of these characteristics, if we foreclose on a commercial real estate loan, our holding period for the collateral typically is longer than for residential mortgage loans because there are fewer potential purchasers of the collateral. Accordingly, charge-offs on commercial real estate loans may be larger as a percentage of the total principal outstanding than those incurred with our residential or consumer loan portfolios.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appraisals and other valuation techniques we use in evaluating and monitoring loans secured by real property and OREO may not accurately reflect the net value of the asset.</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reflect the net value of the collateral after the loan is made. As a result, we may not be able to realize the full amount of any remaining indebtedness when we foreclose on and sell the relevant property. In addition, we rely on appraisals and other valuation techniques to establish the value of OREO that we acquire through foreclosure proceedings and to determine loan impairments. If any of these valuations are inaccurate, our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7" w:name="page28"/>
    <w:bookmarkEnd w:id="27"/>
    <w:p>
      <w:pPr>
        <w:jc w:val="both"/>
        <w:spacing w:after="0" w:line="288" w:lineRule="auto"/>
        <w:rPr>
          <w:sz w:val="20"/>
          <w:szCs w:val="20"/>
          <w:color w:val="auto"/>
        </w:rPr>
      </w:pPr>
      <w:r>
        <w:rPr>
          <w:rFonts w:ascii="Times New Roman" w:cs="Times New Roman" w:eastAsia="Times New Roman" w:hAnsi="Times New Roman"/>
          <w:sz w:val="14"/>
          <w:szCs w:val="14"/>
          <w:color w:val="auto"/>
        </w:rPr>
        <w:t>consolidated financial statements may not reflect the correct value of our OREO, if any, and our allowance for credit losses may not reflect accurate loan impairments. Inaccurate valuation of OREO or inaccurate provisioning for credit losses could have an adverse effect on our business, financial condition, and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state, and local consumer lending laws may restrict our or our partners’ ability to originate certain loans or increase our risk of liability with respect to such loans.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Federal, state, and local laws have been adopted that are intended to prevent certain lending practices considered “predatory.” These laws prohibit practices such as steering borrowers away from more affordable products, selling unnecessary insurance to borrowers, repeatedly refinancing loans, and making loans without a reasonable expectation that the borrowers will be able to repay the loans irrespective of the value of the underlying property. It is our policy to determine borrowers’ ability to repay and not to make predatory loans. Nonetheless, the law and related rules create the potential for increased liability with respect to our lending and loan investment activities. Compliance with these laws increases our cost of doing business.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Additionally, consumer protection initiatives or changes in state or federal law may substantially increase the time and expenses associated with the foreclosure process or prevent us from foreclosing at all. A number of states in recent years have either considered or adopted foreclosure reform laws that make it substantially more difficult and expensive for lenders to foreclose on properties in default, and we cannot be certain that the state in which we operate will not adopt similar legislation in the future. Additionally, federal regulators have prosecuted or pursued enforcement actions against a number of mortgage servicing companies for alleged consumer protection law violations. If new state or federal laws or regulations are ultimately enacted that significantly raise the cost of foreclosure or raise outright barriers to foreclosure, such laws or regulations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largest loan relationships make up a material percentage of our total loan portfolio, and credit risks relating to these would have a disproportionate impact.</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As of December 31, 2025, our 30 largest borrowing relationships ranged from approximately $25.0 million to $293.3 million (including unfunded commitments) and totaled approximately $1.5 billion in total commitments (representing, in the aggregate, 35.64% of our total loans held for investment before deferred fees at that date).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credit losses may not be adequate to cover losses associated with any of these relationships, and any loss or increase in the allowance would negatively affect our earnings and capital. Even if these loans are adequately collateralized, an increase in classified assets could harm our reputation with our regulators and inhibit our ability to execute our business plan.</w:t>
      </w:r>
    </w:p>
    <w:p>
      <w:pPr>
        <w:spacing w:after="0" w:line="1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Our largest deposit relationships currently make up a material percentage of our deposits and the withdrawal of deposits by our largest depositors, or withdrawals of other large deposits over a short period of time, could force us to fund our business through more expensive and less stable sources.</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December 31, 2025, our 53 largest deposit relationships, each accounting for more than $10.0 million, amounted to $2.0 billion, or 47.82% of our total deposits. This includes $789.6 million in deposits from municipalities, of which we conduct a monthly review. Withdrawals of deposits by any one of our largest depositors or by one of our related customer groups could force us to rely more heavily on borrowings and other sources of funding for our business and withdrawal demands, adversely affecting our net interest margin and results of operations. If a significant amount of these deposits, or other large deposits, including deposits that exceed applicable FDIC insurance limits, were withdrawn within a short period of time, it could have a negative impact on our short-term liquidity and have an adverse impact on our earnings. The ease and speed of the electronic withdrawals may increase this risk. We may also be forced, as a result of withdrawals of deposits, to rely more heavily on other, potentially more expensive and less stable, funding sources. Additionally, such circumstances could require us to raise deposit rates in an attempt to attract new deposits, which would adversely affect our results of operations, and/or to raise funding through brokered deposits. Moreover, obtaining adequate funding to meet our deposit obligations may be more challenging during periods of elevated interest rates and financial industry instability. Our ability to attract depositors during a time of actual or perceived distress or instability in the marketplace may be limited. Under applicable regulations, if the Bank were no longer “well-capitalized,” the Bank would not be able to accept brokered deposits without the approval of the FDIC.</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Our allowance for credit losses may be inadequate to absorb losses inherent in the loan portfolio.</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Experience in the banking industry indicates that a portion of our loans will become delinquent, and that some may only be partially repaid or may never be repaid at all. We may experience losses for reasons beyond our control, such as the impact of general economic conditions on customers and their businesses. Accordingly, we maintain an allowance for credit losses that represents management’s judgment of probable losses and risks inherent in our loan portfolio. In determining the size of our allowance for credit losses, we rely on an analysis of our loan portfolio that considers historical loss experience, volume and types of loans, trends in classification, volume and trends in delinquencies and non-accruals, economic conditions, and other pertinent information. The determination of the appropriate level of the allowance for credit losses is inherently highly subjective and requires us to make significant estimates of and assumptions regarding current credit risk and future trends, all of which may change materially. Although we endeavor to maintain our allowance for credit losses at a level adequate to absorb any inherent losses in the loan portfolio, these estimates of credit losses are necessarily subjective, and their accuracy depends on the outcome of future events. At December 31, 2025, the allowance for credit losses was $44.4 million.</w:t>
      </w:r>
    </w:p>
    <w:p>
      <w:pPr>
        <w:spacing w:after="0" w:line="12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Deterioration of economic conditions affecting borrowers, new information regarding existing loans, inaccurate management assumptions, identification of additional problem loans, temporary modifications, loan forgiveness, automatic forbearance, and other factors, both within and outside of our control, may result in our experiencing higher levels of nonperforming assets and charge-offs, and incurring credit losses in excess of our current allowance for credit losses, requiring us to make material additions to our allowance for credit losses, which could have an adverse effect on our business, financial condition, and results of operations.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Additionally, federal and state banking regulators, as an integral part of their supervisory function, periodically review the allowance for credit losses. These regulatory agencies may require us to increase our allowance for credit losses or to recognize further loan charge-offs based upon their judgments, which may be different from ours. If we need to make significant and unanticipated increases in the loss allowance in the future, or to take additional charge-offs for which we have not established adequate reserves, our business, financial condition, and results of operations could be adversely affected at that time.</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On January 1, 2023, the Company adopted ASU No.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auto"/>
        </w:rPr>
        <w:t xml:space="preserve"> and all subsequent amendments that modified ASU 2016-13 (collectively,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Under the CECL model, the calculated allowance for credit losses was $5.3 million higher on January 1, 2023 than the allowance under the incurred loss model. For further information, please see Note 2, Recently Issued Accounting Standards, in the notes to our audited consolidated financial statements included in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recognize losses on investment securities held in our securities portfolio, particularly if interest rates increase or economic and market conditions deteriorate.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of December 31, 2025, the carrying value of our investment securities portfolio was approximately $96.9 million. As of the same date, 7.60% of our investments were U.S. government agency securities. Factors beyond our control can significantly influence the fair value of securities in our portfolio and can cause potential adverse changes to the fair value of these securities. These factors include, but are not limited to, rating agency actions with respect to the securities, defaults by the issuer or with respect to the underlying securities, and changes in market interest rates and instability in the capital markets. Any of these factors, among others, could require the Company to record an allowance for credit losses, which could have an adverse effect on our business, financial condition, and results of operations. The process for determining whether an allowance for credit losses is required involves complex, subjective judgments about the future financial performance and liquidity of the issuer, any collateral underlying the security, and our intent and ability to hold the security for a sufficient period of time to allow for any anticipated recovery in fair value, in order to assess the probability of receiving all contractual principal and interest payments on the security. Our failure to correctly and timely assess any impairments or losses with respect to our securities could have an adverse effect on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We depend on the accuracy and completeness of information provided by customers and counterparties.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deciding whether to extend credit or enter into other transactions with customers and counterparties, we may rely on information furnished by or on behalf of customers and counterparties, including financial information. We may also rely on representations of customers and counterparties as to the accuracy and completeness of that information. In deciding whether to extend credit, we may rely upon customers’ representations that their financial statements conform to GAAP and present fairly the financial condition, results of operations, and cash flows of the customer. We also may rely on customer representations and certifications, or other audit or accountants’ reports, with respect to the business and financial condition of our customers. Our business, financial condition, and results of operations could be adversely affected if we rely on misleading, false, inaccurate, or fraudulent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Our Industry and Regulation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industry is highly regulated, and the regulatory framework, together with any future legislative or regulatory changes, may have an adverse effect on our operations.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banking industry is highly regulated and supervised under both federal and state laws and regulations that are intended primarily for the protection of depositors, customers, the public, the banking system as a whole, and/or the FDIC DIF, not for the protection of our shareholders and creditors. We are subject to regulation and supervision by the Federal Reserve, and our Bank is subject to regulation and supervision by the FDIC and the DFPI. Compliance with these laws and regulations can be difficult and costly, and changes to laws and regulations can impose additional compliance costs. The laws and regulations applicable to us govern a variety of matters, including permissible types, amounts, and terms of loans and investments we may make, the maximum interest rate that may be charged, the amount of reserves we must hold against deposits we take, the types of deposits we may accept and the rates we may pay on such deposits, maintenance of adequate capital and liquidity, changes in control of us and our Bank, transactions between us and our Bank, handling of nonpublic information, restrictions on dividends, and establishment of new offices. We must obtain approval from our regulators before engaging in certain activities, and there is risk that such approvals may not be granted, either in a timely manner or at all. These requirements may constrain our operations, and the adoption of new laws and changes to or repeal of existing laws may have an adverse effect on our business, financial condition, and results of operations. Also, the burden imposed by those federal and state regulations may place banks in general, including our Bank in particular, at a competitive disadvantage compared to their non-bank competitors. Compliance with current and potential regulation, as well as supervisory scrutiny by our regulators, may significantly increase our costs, impede the efficiency of our internal business processes, require us to increase our regulatory capital, and limit our ability to pursue business opportunities in an efficient manner by requiring us to expend significant time, effort, and resources to ensure compliance and respond to any regulatory inquiries or investigations. Our failure to comply with any applicable laws or regulations, interpretations of such laws and regulations, or regulatory policies could result in sanctions by regulatory agencies, civil money penalties, and/or damage to our reputation, all of which could have an adverse effect on our business, financial condition, and results of operations.</w:t>
      </w:r>
    </w:p>
    <w:p>
      <w:pPr>
        <w:spacing w:after="0" w:line="2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Applicable laws, regulations, interpretations, enforcement policies, and accounting principles have been subject to significant changes in recent years and may be subject to significant future changes. Additionally, federal and state regulatory agencies may change the manner in which existing regulations are applied. We cannot predict the substance or effect of pending or future legislation or regulation or changes to the application of laws and regulations to us. Future changes may have an adverse effect on our business, financial condition, and results of operations.</w:t>
      </w:r>
    </w:p>
    <w:p>
      <w:pPr>
        <w:spacing w:after="0" w:line="1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addition, given the current economic and financial environment, regulators may elect to alter standards or the interpretation of the standards used to measure regulatory compliance or to determine the adequacy of liquidity, risk management, or other operational practices for financial service companies. This could impact our ability to implement our strategy, could affect us in substantial and unpredictable ways, and could have an adverse effect on our business, financial condition, and results of operations. Furthermore, the regulatory agencies have broad discretion in their interpretation of laws and regulations and their assessment of the quality of our loan portfolio, securities portfolio, and other assets. Based on our regulators’ assessment of the quality of our assets, operations, lending practices, investment practices, capital structure, or other aspects of our business, we may be required to take additional charges or undertake, or refrain from taking, actions that could have an adverse effect on our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Monetary policies and regulations of the Federal Reserve could have an adverse effect on our business, financial condition, and results of operations.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earnings and growth are affected by the policies of the Federal Reserve. An important function of the Federal Reserve is to regulate the money supply and credit conditions. Among the instruments used by the Federal Reserve to implement these objectives are open market purchases and sales of U.S. government securities, adjustments of the discount rate, and changes in banks’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monetary policies and regulations of the Federal Reserve have had a significant effect on the operating results of commercial banks in the past and are expected to continue to do so in the future.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such policies upon our business, financial condition, and results of operations cannot be predicted with certainty.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Federal and state regulators periodically examine our business and may require us to remediate adverse examination findings or may take enforcement action against us.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Federal Reserve periodically examines our business, and the FDIC and the DFPI periodically examine the business of the Bank, including compliance with laws and regulations. If, as a result of an examination, the Federal Reserve, the FDIC, or the DFPI were to determine that our or the Bank’s financial condition, capital resources, asset quality, earnings prospects, management, liquidity, or other aspects of any of our or the Bank’s operations had become unsatisfactory, or that we or the Bank were in violation of any law or regulation, they may take a number of different remedial actions as they deem appropriate. These actions may include requiring us or the Bank to remediate any such adverse examination findings.</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addition, these agencies have the power to take enforcement action against us and/or the Bank to enjoin “unsafe or unsound” practices, to require affirmative action to correct any conditions resulting from any violation of law or regulation or unsafe or unsound practice, to issue an administrative order that can be judicially enforced, to direct an increase in our capital, to direct the sale of subsidiaries or other assets, to limit dividends and distributions, to restrict our growth, to assess civil money penalties against us or our officers or directors, to remove officers and directors, and, if it is concluded that such conditions cannot be corrected or there is imminent risk of loss to depositors, to terminate the Bank’s deposit insurance and place the Bank into receivership or conservatorship. Any regulatory enforcement action against us or the Bank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are subject to stringent capital requirements, which could have an adverse effect on our operations.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Federal regulations establish minimum capital requirements for insured depository institutions, including minimum risk-based capital and leverage ratios, and define different forms of capital for calculating these ratios. The capital rules generally require bank holding companies and banks to maintain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8.0% plus a capital conservation buffer of 2.5%), and a Tier 1 leverage ratio of at least 4.0%. An institution’s failure to exceed the capital conservation buffer with common equity Tier 1 capital would result in limitations on an institution’s ability to make capital distributions and discretionary bonus payments. In addition, for an insured depository institution to be “well-capitalized” under the banking agencies’ prompt corrective action framework, it must have a common equity Tier 1 capital ratio of at least 6.5%, a Tier 1 capital ratio of at least 8.0%, a total capital ratio of at least 10.0%, and a Tier 1 leverage ratio of at least 5.0%, and must not be subject to any written agreement, order or capital directive, or prompt corrective action directive issued by its primary federal or state banking regulator to meet and maintain a specific capital level for any capital measure.</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new or revised standards adopted in the future may require us to maintain materially more capital, with common equity as a more predominant component, or manage the configuration of our assets and liabilities to comply with formulaic capital requirements. We may not be able to raise additional capital at all, or on terms acceptable to us. Failure to maintain capital to meet current or future regulatory requirements could have an adverse effect on our business,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31" w:name="page32"/>
    <w:bookmarkEnd w:id="31"/>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We are subject to numerous “fair and responsible banking” laws and other laws and regulations designed to protect consumers, and failure to comply with these laws could lead to a wide variety of sanctions.</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are subject to extensive and evolving federal and state fair lending laws and regulations. For example, the Equal Credit Opportunity Act, the Fair Housing Act, and other fair lending laws and regulations, including state laws and regulations, prohibit discriminatory lending practices by financial institutions. The Federal Trade Commission Act prohibits unfair or deceptive acts or practices, and the Dodd-Frank Act prohibits unfair, deceptive, or abusive acts or practices by financial institutions. The FDIC, the U.S. Department of Justice, and/or other federal and state agencies are responsible for enforcing these laws and regulations.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A successful regulatory challenge to an institution’s compliance with fair lending or consumer protection laws and regulations could result in a wide variety of sanctions, including damages and civil money penalties, injunctive relief, restrictions on mergers and acquisitions activity, restrictions on expansion, and restrictions on entering new business lines. Private parties may also have the ability to challenge an institution’s performance under fair lending laws in private litigation, including through class action litigation. In addition, an institution’s receipt of a less-than-Satisfactory CRA rating, which could result from a violation of fair lending or consumer protection laws or from an unsatisfactory record of meeting the credit needs of low- and moderate-income communities, could similarly result in an inability of the institution to engage in mergers or other expansionary activity. Such actions and limitations could have a material adverse effect on our business, financial condition, and results of operations.</w:t>
      </w:r>
    </w:p>
    <w:p>
      <w:pPr>
        <w:spacing w:after="0" w:line="1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We are a bank holding company and are dependent upon the Bank for cash flow, and the Bank’s ability to make cash distributions is restricted. Additionally, the Federal Reserve may require us to commit capital resources to support the Bank.</w:t>
      </w:r>
    </w:p>
    <w:p>
      <w:pPr>
        <w:spacing w:after="0" w:line="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is dividends received from the Bank. The holding company, Five Star Bancorp, is a legal entity separate and distinct from the Bank. Furthermore, the Bank is not obligated to pay dividends to us, and any dividends paid to us would depend on the earnings or financial condition of the Bank, various business considerations, and applicable law and regulation. As is generally the case for banking institutions, the profitability of the Bank is subject to the fluctuating cost and availability of money, changes in interest rates, and economic conditions in general. In addition, various federal and state statutes and regulations limit the amount of dividends that the Bank may pay to the Company without regulatory approval.</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the Federal Reserve requires a bank holding company to act as a source of financial and managerial strength to its subsidiary banks and to commit resources to support its subsidiary banks. Under this “source of strength” doctrine, the Federal Reserve may require a bank holding company to make capital injections into a subsidiary bank, including at times when the bank holding company may not be inclined to do so, and may charge the bank holding company with engaging in unsafe and unsound practices for failure to commit resources to such a subsidiary bank. Accordingly, we could be required to provide financial assistance to the Bank if it experiences financial distress.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 capital injection may be required at a time when our resources are limited, and we may be required to borrow the funds or raise capital to make the required capital injection. Any loan by a bank holding company to its subsidiary bank is subordinate in right of payment to deposits and certain other indebtedness of such subsidiary bank.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any note obligations. Thus, any borrowing by a bank holding company for the purpose of making a capital injection to a subsidiary bank may become more difficult and expensive relative to other corporate borrowings.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face a risk of noncompliance and enforcement action with the Bank Secrecy Act and other anti-money laundering statutes and regulations.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Bank Secrecy Act, the Patriot Act, and other laws and regulations require financial institutions, among other duties, to institute and maintain an effective anti-money laundering program and to file reports such as suspicious activity reports and currency transaction reports. We are required to comply with these and other anti-money laundering requirements. Our federal and state banking regulators, the Treasury Department’s Financial Crimes Enforcement Network, and other government agencies are authorized to impose significant civil money penalties for violations of anti-money laundering</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32" w:name="page33"/>
    <w:bookmarkEnd w:id="32"/>
    <w:p>
      <w:pPr>
        <w:jc w:val="both"/>
        <w:spacing w:after="0" w:line="262" w:lineRule="auto"/>
        <w:rPr>
          <w:sz w:val="20"/>
          <w:szCs w:val="20"/>
          <w:color w:val="auto"/>
        </w:rPr>
      </w:pPr>
      <w:r>
        <w:rPr>
          <w:rFonts w:ascii="Times New Roman" w:cs="Times New Roman" w:eastAsia="Times New Roman" w:hAnsi="Times New Roman"/>
          <w:sz w:val="14"/>
          <w:szCs w:val="14"/>
          <w:color w:val="auto"/>
        </w:rPr>
        <w:t>requirements. We are also subject to increased scrutiny of compliance with the regulations issued and enforced by the Treasury Department’s OFAC, which is responsible for helping to ensure that U.S. entities do not engage in transactions with certain prohibited parties, as defined by various Executive Orders and Acts of Congress. If our program is deemed deficient, we could be subject to liability, including fines, civil money penalties, and other regulatory actions, which may include restrictions on our business operations and our ability to pay dividends, restrictions on mergers and acquisitions activity, restrictions on expansion, and restrictions on entering new business lines. Failure to maintain and implement adequate programs to combat money laundering and terrorist financing could also have significant reputational consequences for us. Any of these circumstances could have an adverse effect on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Risks Related to Ownership of Our Common Stock</w:t>
      </w:r>
    </w:p>
    <w:p>
      <w:pPr>
        <w:spacing w:after="0" w:line="18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The market price of our common stock may be volatile, and we may not be able to meet investor or analyst expectations. You may not be able to resell your shares at or above the price you paid and may lose part or all of your investment as a result.</w:t>
      </w:r>
    </w:p>
    <w:p>
      <w:pPr>
        <w:spacing w:after="0" w:line="10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stock price has fluctuated from a low of $18.21 to a high of $38.14 between our initial public offering and December 31, 2025. Volatility in the market price of our common stock may negatively impact the price at which our common stock may be sold and may also negatively impact the timing of any sale. The market price of our common stock may continue to fluctuate widely in response to a variety of factors including the risk factors described herein and, among other things:</w:t>
      </w:r>
    </w:p>
    <w:p>
      <w:pPr>
        <w:spacing w:after="0" w:line="104" w:lineRule="exact"/>
        <w:rPr>
          <w:sz w:val="20"/>
          <w:szCs w:val="20"/>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variations in quarterly or annual operating results, financial conditions, or credit quality;</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or economic conditions;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guidance, interpretations, or principles;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recommendations or research reports about us or the financial services industry in general published by securities analysts;</w:t>
      </w:r>
    </w:p>
    <w:p>
      <w:pPr>
        <w:spacing w:after="0" w:line="126" w:lineRule="exact"/>
        <w:rPr>
          <w:rFonts w:ascii="Times New Roman" w:cs="Times New Roman" w:eastAsia="Times New Roman" w:hAnsi="Times New Roman"/>
          <w:sz w:val="14"/>
          <w:szCs w:val="14"/>
          <w:color w:val="auto"/>
        </w:rPr>
      </w:pPr>
    </w:p>
    <w:p>
      <w:pPr>
        <w:ind w:left="500" w:hanging="254"/>
        <w:spacing w:after="0" w:line="264" w:lineRule="auto"/>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financial estimates or publication of research reports and recommendations by financial analysts or actions taken by rating agencies with respect to us or other financial institutions;</w:t>
      </w:r>
    </w:p>
    <w:p>
      <w:pPr>
        <w:spacing w:after="0" w:line="270"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news reports relating to trends, concerns, and other issues in the financial services industry;</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perceptions in the marketplace regarding us and or our competitors;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sudden increases in the demand for our common stock, including as a result of any “short squeezes”;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acquisitions or business combinations, strategic partnerships, joint ventures, or capital commitments by or involving us or our competitors;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investments from third parties;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or issuance of additional shares of our common stock;</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proposed changes in laws or regulations, or differing interpretations thereof, affecting our business, or enforcement of these laws or regulations; or</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conditions or natural or man made disasters.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particular, the realization of any of the risks described in this section could have an adverse effect on the market price of our common stock and cause the value of your investment to decline. In addition, the stock market in general has experienced extreme volatility that has often been unrelated to the operating performance of particular companies. These broad market fluctuations may adversely affect the market price of our common stock over the short, medium, or long term, regardless of our actual performance. In the past, following periods of volatility in the market price of a company’s securities, shareholders have often instituted securities class action litigation. If we were to be involved in a class action lawsuit, it could divert the attention of our senior management and could adversely affect our business, financial condition, and results of operations.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33" w:name="page34"/>
    <w:bookmarkEnd w:id="33"/>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We are an “emerging growth company,” as defined in the JOBS Act and are able to avail ourselves of reduced disclosure requirements applicable to emerging growth companies, which could make our common stock less attractive to investors and adversely affect the market price of our common stock.</w:t>
      </w:r>
    </w:p>
    <w:p>
      <w:pPr>
        <w:spacing w:after="0" w:line="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For as long as we continue to be an emerging growth company, we may take advantage of certain exemptions from various requirements generally applicable to public companies. These exemptions allow us, among other things, to discuss our results of operations for only two years in the section entitled “Management’s Discussion and Analysis of Financial Condition and Results of Operations”; not to provide an auditor attestation of our internal control over financial reporting; to take advantage of an extended transition period to comply with the new or revised accounting standards applicable to public companies; and not to seek a non-binding advisory vote on executive compensation or golden parachute arrangements.</w:t>
      </w:r>
    </w:p>
    <w:p>
      <w:pPr>
        <w:spacing w:after="0" w:line="12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may take advantage of these exemptions until we are no longer an emerging growth company. We would cease to be an emerging growth company upon the earliest of: (i) the first fiscal year following the fifth anniversary of our IPO; (ii) the first fiscal year after our annual gross revenues are $1.235 billion or more; (iii) the date on which we have, during the previous three-year period, issued more than $1.0 billion in non-convertible debt securities; or (iv) the date on which we are deemed to be a large accelerated filer under the rules of the SEC.</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cannot predict whether investors will find our common stock less attractive because we may rely on these exemptions. If some investors find our common stock less attractive as a result, there may be a less active trading market for our common stock, and our stock price may be more volatile or decline.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significant shareholders have the ability to control significant corporate activities, and our significant shareholders’ interests may not coincide with yours.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Upon the closing of our IPO, our directors, executive officers, and principal shareholders beneficially owned an aggregate of 5,881,682 shares, or approximately 34.47% of our issued and outstanding shares of common stock at the time. As of December 31, 2025, our directors, executive officers, and principal shareholders beneficially owned an aggregate of 9,955,654, or approximately 46.59% of our issued and outstanding shares of common stock. Consequently, our directors, executive officers, and principal shareholders are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significant shareholders could conflict with the interests of our other shareholders, including you.</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pay dividends on our common stock in the future, and our ability to pay dividends is subject to certain restrictions.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Holders of our common stock are entitled to receive only such dividends as our board of directors may declare out of funds legally available for such payments. Our board of directors may, in its sole discretion, change the amount or frequency of dividends or discontinue the payment of dividends entirely. In addition, we are a bank holding company, and our ability to declare and pay dividends is dependent on federal regulatory considerations, including the guidelines of the Federal Reserve regarding capital adequacy and dividends. It is the policy of the Federal Reserve that bank holding companies should generally pay dividends on common stock only out of earnings, and only if prospective earnings retention is consistent with the organization’s expected future needs, asset quality, and financial condition, and that bank holding companies should inform and consult with the Federal Reserve in advance of declaring and paying a dividend that exceeds earnings for the period for which the dividend is being paid.</w:t>
      </w:r>
    </w:p>
    <w:p>
      <w:pPr>
        <w:spacing w:after="0" w:line="14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California law and the provisions of our amended and restated articles of incorporation and amended and restated bylaws may have an anti-takeover effect, and there are substantial regulatory limitations on changes of control of bank holding companies.</w:t>
      </w:r>
    </w:p>
    <w:p>
      <w:pPr>
        <w:spacing w:after="0" w:line="9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California corporate law and provisions of our amended and restated articles of incorporation (“articles of incorporation”) and our second amended and restated bylaws (“bylaws”) could make it more difficult for a third party to acquire us, even if doing so would be perceived to be beneficial by our shareholders.</w:t>
      </w:r>
    </w:p>
    <w:p>
      <w:pPr>
        <w:spacing w:after="0" w:line="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Furthermore, prior approval of the Federal Reserve and the DFPI is generally required for any person to acquire control of the Company. Under federal and state laws, a person may be presumed to acquire control of the Company if the person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34" w:name="page35"/>
    <w:bookmarkEnd w:id="34"/>
    <w:p>
      <w:pPr>
        <w:jc w:val="both"/>
        <w:spacing w:after="0" w:line="262" w:lineRule="auto"/>
        <w:rPr>
          <w:sz w:val="20"/>
          <w:szCs w:val="20"/>
          <w:color w:val="auto"/>
        </w:rPr>
      </w:pPr>
      <w:r>
        <w:rPr>
          <w:rFonts w:ascii="Times New Roman" w:cs="Times New Roman" w:eastAsia="Times New Roman" w:hAnsi="Times New Roman"/>
          <w:sz w:val="14"/>
          <w:szCs w:val="14"/>
          <w:color w:val="auto"/>
        </w:rPr>
        <w:t>acquires 10% or more of the Company’s outstanding common stock. In addition, Federal Reserve approval is also generally required for a bank holding company to acquire more than 5% or more of the Company’s outstanding common stock. Accordingly, prospective investors must comply with these requirements, if applicable, in connection with any purchase of shares of our common stock. Collectively, provisions of our articles of incorporation and bylaws and other statutory and regulatory provisions may delay, prevent, or deter a merger, acquisition, tender offer, proxy contest, or other transaction that might otherwise result in our shareholders receiving a premium over the market price for their common stock. Moreover, the combination of these provisions effectively inhibits certain business combinations, which, in turn, could adversely affect the market price of our common stock.</w:t>
      </w:r>
    </w:p>
    <w:p>
      <w:pPr>
        <w:spacing w:after="0" w:line="1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Our bylaws have an exclusive forum provision, which could limit a shareholder’s ability to obtain a favorable judicial forum for disputes with us or our directors, officers, or other employees.</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bylaws have an exclusive forum provision providing that, unless we consent in writing to the selection of an alternative forum, the United States District Court for the Northern District of California (or, in the event that the United States District Court for the Northern District of California does not have jurisdiction, any federal or state court of California) shall be the sole and exclusive forum for: (i) any derivative action or proceeding brought on our behalf; (ii) any action asserting a claim of breach of any duty owed by any director, officer, or other employee to us or to our shareholders; (iii) any action asserting a claim against us or any of our directors, officers, or other employees arising pursuant to any provision of the General Corporation Law of California or the articles of incorporation or the bylaws; or (iv) any action asserting a claim against us or any of our directors, officers, or other employees that is governed by the internal affairs doctrine. Our bylaws will further provide that, unless we consent in writing to the selection of an alternative forum, the federal district courts of the United States of America will, to the fullest extent permitted by applicable law, be the exclusive forum for the resolution of any complaint asserting a cause of action arising under the federal securities laws, including the applicable rules and regulations promulgated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an adverse effect on our business, financial condition, results of operations, and growth prospects.</w:t>
      </w:r>
    </w:p>
    <w:p>
      <w:pPr>
        <w:spacing w:after="0" w:line="1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If we fail to design, implement, and maintain effective internal control over financial reporting or remediate any future material weakness in our internal control over financial reporting, we may be unable to accurately report our financial results or prevent fraud.</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internal control over financial reporting is designed to provide reasonable assurance regarding the reliability of the financial reporting and the preparation of financial statements for external purposes in accordance with GAAP. Effective internal control over financial reporting is necessary for us to provide reliable reports and prevent fraud. We may not be able to identify all significant deficiencies and/or material weaknesses in our internal control over financial reporting in the future, and our failure to maintain effective internal control over financial reporting in accordance with Section 404 of the Sarbanes-Oxley Act could have an adverse effect on our business, financial condition, and results of operations.</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normal course of our operations, we may identify deficiencies that would have to be remediated to satisfy the SEC rules for certification of our internal control over financial reporting. A material weakness is defined by the standards issued by the PCAOB as a deficiency, or combination of deficiencies, in internal control over financial reporting that results in a reasonable possibility that a material misstatement of our annual or interim financial statements will not be prevented or detected on a timely basis. As a consequence, we would have to disclose in periodic reports we file with the SEC any material weakness in our internal control over financial reporting. The existence of a material weakness would preclude management from concluding that our internal control over financial reporting is effective and, when we cease to be an emerging growth company under the JOBS Act, preclude our independent registered public accounting firm from rendering their report addressing an assessment of the effectiveness of our internal control over financial reporting. In addition, disclosures of deficiencies of this type in our SEC reports could cause investors to lose confidence in our financial reporting, may negatively affect the market price of our common stock, and could result in the delisting of our securities from the securities exchanges on which they trade. Moreover, effective internal controls are necessary to produce reliable financial reports and to prevent fraud. If we have deficiencies in our disclosure controls and procedures or internal control over financial reporting, such deficiencies may adversely affect us.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auto"/>
        </w:rPr>
        <w:t>General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success is largely dependent upon our management team and key employees and ability to successfully execute our business strategy.</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success depends, in large part, on the retention of our management team and key employees. Our management team and other key employees, including those who conduct our loan origination and other business development activities, have significant industry experience. We cannot ensure that we will be able to retain the services of any members of our management team or other key employees. Though we have employment agreements in place with certain members of our management team, they may still elect to leave at any time. The loss of any of our management team or our key employees could adversely affect our ability to execute our business strategy, and we may not be able to find adequate replacements on a timely basis, or at all.</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future success also depends on our continuing ability to attract, develop, motivate, and retain key employees. Qualified individuals are in high demand, and we may incur significant costs to attract and retain them. Because the market for qualified individuals is highly competitive, we may not be able to attract and retain qualified officers or candidates. Failure to attract and retain a qualified management team and qualified key employees could have an adverse effect on our business, financial condition, and results of operations.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There can be no assurance that we will be able to continue to grow and to remain profitable in future periods, or, if profitable, that our overall earnings will remain consistent with our prior results of operations or increase in the future. A downturn in economic conditions in our market, particularly in the real estate market, heightened competition from other financial services providers, an inability to retain or grow our core deposit base, regulatory and legislative considerations, and failure to attract and retain high-performing talent, among other factors, could limit our ability to grow assets or increase profitability as rapidly as we have in the past. Sustainable growth requires that we manage our risks by following prudent loan underwriting standards, balancing loan and deposit growth without materially increasing interest rate risk or compressing our net interest margin, maintaining more than adequate capital at all times, managing a growing number of customer relationships, scaling technology platforms, hiring and retaining qualified employees, and successfully implementing our strategic initiatives. We must also successfully implement improvements to, or integrate, our management information and control systems, procedures, and processes in an efficient and timely manner and identify deficiencies in existing systems and controls. In particular, our controls and procedures must be able to accommodate an increase in loan volume in various markets and the infrastructure that comes with expanding operations, including new branches. Our growth strategy may require us to incur additional expenditures to expand our administrative and operational infrastructure. If we are unable to effectively manage and grow our banking franchise, we may experience compliance and operational problems, have to slow the pace of growth, or have to incur additional expenditures beyond current projections to support such growth. We may not have, or may not be able to develop, the knowledge or relationships necessary to be successful in new markets. Our failure to sustain our historical rate of growth, adequately manage the factors that have contributed to our growth, or successfully enter new markets could have an adverse effect on our earnings and profitability and, therefore, on our business, financial condition, and results of operations.</w:t>
      </w:r>
    </w:p>
    <w:p>
      <w:pPr>
        <w:spacing w:after="0" w:line="31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If we implement new lines of business, products, or services, we may invest significant time and resources in doing so, and such new lines of business, products, or services may not be successful.</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From time to time, we may implement new lines of business or offer new products and product enhancements as well as new services within our existing lines of business. There are substantial risks and uncertainties associated with these efforts. In developing, implementing, or marketing new lines of business, products, product enhancements, or services, we may invest significant time and resources. We may underestimate the appropriate level of resources or expertise necessary to make new lines of business or products successful or to realize their expected benefits. We may not achieve the milestones set in initial timetables for the development and introduction of new lines of business, products, product enhancements, or services, and price and profitability targets may not prove feasible. External factors, such as new or changing regulations, competitive alternatives, and shifting market preferences, may also impact the ultimate implementation of a new line of business or offerings of new products, product enhancements, or services. Any new line of business, product, product enhancement, or service could have a significant impact on the effectiveness of our system of internal controls. We may also decide to discontinue businesses or products due to lack of customer acceptance or unprofitability. Failure to successfully manage these risks in the development and implementation of new lines of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color w:val="auto"/>
        </w:rPr>
        <w:t>or offerings of new products, product enhancements, or services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pursue strategic acquisitions in the future, and we may not be able to overcome risks associated with such transactions.</w:t>
      </w:r>
    </w:p>
    <w:p>
      <w:pPr>
        <w:spacing w:after="0" w:line="16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Although we plan to continue to grow our business organically, we may explore opportunities to invest in, or to acquire, other financial institutions and businesses that we believe would complement our existing business.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investment or acquisition activities could be material to our business and involve a number of risks including the following:</w:t>
      </w:r>
    </w:p>
    <w:p>
      <w:pPr>
        <w:spacing w:after="0" w:line="148" w:lineRule="exact"/>
        <w:rPr>
          <w:sz w:val="20"/>
          <w:szCs w:val="20"/>
          <w:color w:val="auto"/>
        </w:rPr>
      </w:pPr>
    </w:p>
    <w:p>
      <w:pPr>
        <w:ind w:left="500" w:hanging="254"/>
        <w:spacing w:after="0" w:line="288" w:lineRule="auto"/>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time and incurring expense associated with identifying and evaluating potential investments or acquisitions and negotiating potential transactions, resulting in our attention being diverted from the operation of our existing business;</w:t>
      </w:r>
    </w:p>
    <w:p>
      <w:pPr>
        <w:spacing w:after="0" w:line="71"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history among our management team in working together on acquisitions and related integration activities;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expense, and difficulty of integrating the operations and personnel of the combined businesses;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asset quality problems with acquired companies;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inaccurate estimates and judgments used to evaluate credit, operations, management, and market risks with respect to the target institution or assets;</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of impairment to goodwill or allowance for credit losses of investment securities;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exposure to unknown or contingent liabilities of banks and businesses we acquire;</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realize expected synergies or returns on investment;</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disruption of our ongoing banking business; and</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employees or key customers following our investment or acquisition.</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reputation is critical to our business, and damage to it could have an adverse effect on us.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key differentiating factor for our business is the strong reputation we are building in our market. Maintaining a positive reputation is critical to attracting and retaining customers and employees. Adverse perceptions of us could make it more difficult for us to execute on our strategy. Harm to our reputation can arise from many sources, including actual or perceived employee misconduct, errors or misconduct by our third-party vendors or other counterparties, litigation or regulatory actions, our failure to meet our high customer service and quality standards, system failures, cybersecurity breaches, and compliance failures.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particular,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 to financial claims. If our internal control systems fail to prevent or detect an occurrence, or if any resulting loss is not insured, exceeds applicable insurance limits, or if insurance coverage is denied or not available, it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37" w:name="page38"/>
    <w:bookmarkEnd w:id="37"/>
    <w:p>
      <w:pPr>
        <w:jc w:val="both"/>
        <w:spacing w:after="0" w:line="265" w:lineRule="auto"/>
        <w:rPr>
          <w:sz w:val="20"/>
          <w:szCs w:val="20"/>
          <w:color w:val="auto"/>
        </w:rPr>
      </w:pPr>
      <w:r>
        <w:rPr>
          <w:rFonts w:ascii="Times New Roman" w:cs="Times New Roman" w:eastAsia="Times New Roman" w:hAnsi="Times New Roman"/>
          <w:sz w:val="14"/>
          <w:szCs w:val="14"/>
          <w:color w:val="auto"/>
        </w:rPr>
        <w:t>Additionally, 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we devote substantial resources to maintaining effective policies and internal controls to identify and prevent such incidents, given the increasing sophistication of possible perpetrators, we may experience financial losses or reputational harm as a result of fraud.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Negative publicity about us, whether accurate or not, may also damage our reputation, which could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 could be interrupted if our third-party service providers experience difficulty, terminate their services, or fail to comply with banking regulations.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outsource some of our operational activities and, accordingly, depend on relationships with third-party providers for services such as core systems support, informational website hosting, internet services, online account opening, and other processing services. Our business depends on the successful and uninterrupted functioning of our information technology and telecommunications systems, many of which also depend on third-party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of time, our business, financial condition, and results of operations could be adversely affected. Even if we are able to replace third-party service providers, it may be at a higher cost to us, which could adversely affect our business, financial condition, and results of operations.</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Furthermore, third-party service providers, and banking organizations’ relationships with those providers, are subject to demanding regulatory requirements and attention by bank regulators. These regulatory expectations may change, and potentially become more rigorous in certain ways. Our regulators may hold us responsible for any deficiencies in our oversight or control of our third-party service providers and in the performance of the parties with which we have these relationships. As a result, if our regulators assess that we have not exercised adequate oversight and control over our third-party service providers or that such providers have not performed adequately, we could be subject to administrative penalties, fines, or other forms of regulatory enforcement action as well as requirements for consumer remediation, any of which could have an adverse effect on our business, financial condition, and results of operations.</w:t>
      </w:r>
    </w:p>
    <w:p>
      <w:pPr>
        <w:spacing w:after="0" w:line="14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We are subject to laws regarding the privacy, information security, and protection of personal information, and any violation of these laws or other incidents involving personal, confidential, or proprietary information of individuals could damage our reputation and otherwise adversely affect our business.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 requires the collection and retention of large volumes of customer data, including personally identifiable information (“PII”), in various information systems that we maintain and in those maintained by third-party service providers. We also maintain important internal company data such as PII about our employees and information relating to our operations. We are subject to complex and evolving laws and regulations governing the privacy and protection of PII of individuals (including customers, employees, and other third parties). For example, our business is subject to the GLB Act, which, among other things: (i) imposes certain limitations on our ability to share nonpublic PII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Various federal and state banking regulators and states have also enacted data breach notification requirements with varying levels of individual, consumer, regulatory, or law enforcement notification in the event of a security breach. The California Consumer Privacy Act grants California residents the rights to know about personal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information collected about them, to delete certain of this personal information, to opt out of the sale of personal information, and to non-discrimination for exercising these rights.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Ensuring that our collection, use, transfer, and storage of PII complies with all applicable laws and regulations can increase our costs. Furthermore, we may not be able to ensure that customers and other third parties have appropriate controls in place to protect the confidentiality of the information that they exchange with us, particularly where such information is transmitted by electronic means. If any person, including any of our employees, negligently disregards or intentionally breaches our established controls with respect to personal, confidential, or proprietary information of customers or others, or if that data were otherwise to be mishandled or misused (in situations where, for example, such information was erroneously provided to parties who are not permitted to have the information, or where such information was intercepted or otherwise compromised by third parties), we could be exposed to litigation or regulatory sanctions under privacy and data protection laws and regulations. Concerns regarding the effectiveness of our measures to safeguard PII, or even the perception that such measures are inadequate, could cause us to lose customers or potential customers and thereby reduce our revenues. Accordingly, any failure or perceived failure to comply with applicable privacy or data protection laws and regulations may subject us to inquiries, examinations, and investigations that could result in requirements to modify or cease certain operations or practices or in significant liabilities, fines, penalties, regulatory enforcement actions, and/or criminal prosecution and could damage our reputation and otherwise adversely affect our business, financial condition, and results of operations. Depending on the circumstances giving rise to the breach, this liability may not be subject to a contractual limit or an exclusion of consequential or indirect damages.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System failure or cybersecurity breaches of our network security could subject us to increased operating costs as well as litigation, damage to our reputation, and other potential losses.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Failures in, or breaches of, our computer systems and network infrastructure, or those of our third-party vendors or other service providers, including as a result of cyber-attacks, cybersecurity breaches, and other disruptions, could disrupt our business, result in the disclosure or misuse of confidential or proprietary information, result in supervisory liability or regulatory enforcement action, damage our reputation, result in a loss of customers and business, result in a loss of confidence in the security of our systems, products, and services, increase our costs, and cause losses.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business, financial condition, and results of operations. In addition, our operations are dependent upon our ability to protect our computer systems and network infrastructure, including our internet banking activities, against damage from physical break-ins, cybersecurity breaches, and other disruptive problems caused by the internet or other users. Cybersecurity breaches and other disruptions would jeopardize the security of information stored in and transmitted through our computer systems and network infrastructure, which may result in business disruptions, significant liability to us, and damage to our reputation and may discourage current and potential customers from using our internet banking services. Our security measures, including firewalls and penetration testing, as well as oversight by our board of directors and the Audit Committee as well as management’s assessment, identification, and management of cybersecurity risks, may not prevent or detect future potential losses from system failures or cybersecurity breaches, attacks, or other disruptions. While we seek to continuously monitor for and react to any and all such malicious cyber activity and develop our systems to protect our technology infrastructure and data, such monitoring and systems development may not be effective in preventing misuse, misappropriation, or corruption. In the ordinary course of business, our board of directors receives quarterly cybersecurity risk management updates and members of the Audit Committee of our board of directors also attend the meetings of our information technology steering committee on a quarterly basis. Cybersecurity risk management is incorporated into our overall enterprise risk management model, which is updated on a quarterly basis and subject to oversight by our board of directors.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the normal course of business, we collect, process, and retain sensitive and confidential information regarding our customers. Although we devote significant resources, oversight by our board of directors, and management focus to ensuring the integrity of our systems through information security and business continuity programs, our facilities and systems, and those of our third-party service providers, are vulnerable to external or internal security breaches, acts of vandalism, computer viruses, malware, misplaced or lost data, programming or human errors, or other similar events. We and our third-party service providers have experienced these types of events in the past and expect to continue to experience them in the future. These events could interrupt our business or operations or result in significant legal and financial exposure (including costs associated with remediating any security breaches), supervisory liability, regulatory enforcement action, damage to our reputation, loss of customers and business, or a loss of confidence in the security of our systems, products, and services. Although the impact to date from these events has not had an adverse effect on us, we cannot be sure this will be the case in the future. Any of these occurrences could have an adverse effect on our business, financial condition, and results of operations. We are not able to anticipate or implement effective preventive measures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4"/>
          <w:szCs w:val="14"/>
          <w:color w:val="auto"/>
        </w:rPr>
        <w:t>against all security breaches of these types, especially because attacks are increasingly sophisticated, change frequently, often are not recognized until launched, and can originate from a wide variety of sources. Our early detection and response mechanisms could fail to detect, mitigate, or remediate these risks in a timely manner. Despite our implementation of protective measures and endeavoring to modify them as circumstances warrant, our computer systems, software, and networks may be vulnerable to human error, equipment failure, natural disasters, power loss, unauthorized access, supply chain attacks, distributed denial of service attacks, computer viruses and other malicious code, and other events that could result in significant liability and damage to our reputation, and have an ongoing impact on the security and stability of our operations. In addition, although we maintain insurance coverage that may, subject to terms and conditions, cover certain aspects of cyber and information security risks, such insurance coverage may be insufficient to cover all losses, such as litigation costs or financial losses that exceed our policy limits or are not covered under any of our current insurance policies.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Information security risks for financial institutions like us have increased recently in part because of new technologies, such as artificial intelligence, the use of the internet, cloud, and telecommunications technologies (including mobile devices) to conduct financial and other business transactions, and the increased sophistication and activities of organized crime, perpetrators of fraud, hackers, terrorists, and others. We also face increased cybersecurity risk as we deploy additional technologies and digital solutions, including our website and digital banking platform with complementary treasury management solutions. Moreover, any cyber-attack or other security breach may persist for an extended period of time without detection. We endeavor to design and implement policies and procedures to identify such cyber-attacks or breaches as quickly as possible; however, we expect that any investigation of a cyber-attack or breach would take substantial amounts of time, and that there may be extensive delays before we obtain full and reliable information. During such time we would not necessarily know the extent of the harm or how best to remediate it, and certain errors or actions could be repeated or compounded before they are discovered and remediated, all of which would further increase the costs and consequences of such an attack or breach. Notwithstanding the strength of defensive measures, cybersecurity threats and the tactics, techniques, and procedures used in cyberattacks change, develop, and evolve rapidly and continuously, including from emerging technologies, such as artificial intelligence, which may be used to enhance the tactics, techniques, and procedures described above and facilitate new cyber threats.</w:t>
      </w:r>
    </w:p>
    <w:p>
      <w:pPr>
        <w:spacing w:after="0" w:line="2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addition to cyber-attacks or other security breaches involving the theft of sensitive and confidential information, hackers recently have engaged in attacks against large financial institutions that are designed to disrupt key business services, such as consumer-facing web sites. We are not able to anticipate or implement effective preventive measures against all security breaches of these types, especially because the techniques used change frequently and because attacks can originate from a wide variety of sources. Our early detection and response mechanisms may be thwarted by sophisticated attacks and malware designed to avoid detection.</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Banking organizations are required to notify their primary federal regulator of significant computer security incidents within 36 hours of determining that such an incident has occurred. Failure to comply with this requirement in the event of such an incident could result in sanctions by regulatory agencies, civil money penalties, and/or damage to our reputation, all of which could have an adverse effect on our business, financial condition, and results of operations.</w:t>
      </w:r>
    </w:p>
    <w:p>
      <w:pPr>
        <w:spacing w:after="0" w:line="134"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The adoption of artificial intelligence tools by us and our third-party vendors and service providers may increase the risk of errors, omissions, unfair treatment, or fraudulent behavior by our employees, clients, or counterparties, or other third parties.</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adoption of artificial intelligence, including generative artificial intelligence, machine learning, and similar tools and technologies that collect, aggregate, analyze, or generate data or other materials or content (collectively, “AI”), for limited internal use has increased our efficiency, and we expect to continue to adopt such tools as appropriate. In addition, we expect our third-party vendors and service providers to increasingly develop and incorporate AI into their product offerings faster than we are able to do so independently. There are significant risks involved in utilizing AI and no assurance can be provided that our or our third-party vendors’ or service providers’ use of AI will enhance our or our third-party vendors’ or service providers’ products or services or produce the intended results. The adoption and incorporation of such tools can lead to concerns around safety and soundness, fair access to financial services, fair treatment of consumers, and compliance with applicable laws and regulations. Such risk can result from models being poorly designed or faulty data being used, inadequate model testing or validation, narrow or limited human oversight, inadequate planning or due diligence, inappropriate or controversial data practices by developers or end-users, and other factors adversely affecting public opinion of AI and the acceptance of AI solutions. Furthermore, given the pace of rapid adoption of such tools by vendors and service providers, we may not be aware of the addition of AI solutions prior to such tools being introduced into our environment. Failure to adequately manage AI risks can result in erroneous results and decisions made by misinformation, unwanted forms of bias, unauthorized access to sensitive, confidential, proprietary or personal information, and violations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40" w:name="page41"/>
    <w:bookmarkEnd w:id="40"/>
    <w:p>
      <w:pPr>
        <w:jc w:val="both"/>
        <w:spacing w:after="0" w:line="271" w:lineRule="auto"/>
        <w:rPr>
          <w:sz w:val="20"/>
          <w:szCs w:val="20"/>
          <w:color w:val="auto"/>
        </w:rPr>
      </w:pPr>
      <w:r>
        <w:rPr>
          <w:rFonts w:ascii="Times New Roman" w:cs="Times New Roman" w:eastAsia="Times New Roman" w:hAnsi="Times New Roman"/>
          <w:sz w:val="14"/>
          <w:szCs w:val="14"/>
          <w:color w:val="auto"/>
        </w:rPr>
        <w:t>of applicable laws and regulations, leading to operational inefficiencies, competitive harm, reputational harm, ethical challenges, legal liability, losses, fines, and other adverse impacts on our business and financial results. If we do not have sufficient rights to use the data or other material or content on which the AI tools we use rely, or to use the output of such AI tools, we also may incur liability through the violation of applicable laws and regulations, third-party intellectual property, privacy, or other rights or contracts to which we are a party.</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regulation of AI is rapidly evolving as federal and state legislators and regulators are increasingly focused on these powerful emerging technologies. The technologies underlying AI and its uses are subject to a variety of laws and regulations, including, but not limited to, intellectual property, data privacy and cybersecurity, consumer protection, competition, equal opportunity and fair lending laws, and are expected to be subject to increased regulation and new laws or new applications of existing laws and regulations. AI is the subject of ongoing review by various U.S. governmental and regulatory agencies, and various U.S. states are applying, or are considering applying, existing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 Moreover, because AI technology itself is highly complex and rapidly developing, it is not possible to predict all of the legal, operational, or technological risks that may arise relating to the use of AI.</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ability to conduct our business could be disrupted by natural or man-made disasters or the effects of climate change.</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All of our offices, a significant portion of the real estate securing loans we make, and many of our borrowers’ business operations in general, are located in California. California has had and will continue to have major earthquakes in areas where a significant portion of the collateral and assets of our borrowers are concentrated. California is also prone to wildfires, droughts, mudslides, floods, and other natural disasters. Additionally, acts of terrorism, war, civil unrest, violence, other man-made disasters, or the effects of climate change could also cause disruptions to our business or to the economy as a whole. The occurrence of natural or man-made disasters or the effects of climate change could destroy, or cause a decline in the value of, mortgaged properties or other assets that serve as our collateral and increase the risk of delinquencies, defaults, foreclosures, and losses on our loans, damage our banking facilities and offices, negatively impact regional economic conditions, result in a decline in loan demand and loan originations, result in drawdowns of deposits by customers impacted by disasters, and negatively impact the implementation of our growth strategy. Natural or man-made disasters or the effects of climate change could also disrupt our business operations more generally. We have implemented a business continuity program that allows us to move critical functions to a backup data center in the event of a catastrophe. Although this program has been tested, we cannot guarantee its effectiveness in any disaster scenarios. Regardless of the effectiveness of our disaster recovery and business continuity plan, the occurrence of any natural or man-made disaster or the effects of climate change could have an adverse effect on our business, financial condition, and results of operations. Climate change also could present financial risks to us as a result of transition risks, such as societal and/or technological responses to climate change, which could include changes in climate policy or in the regulation of financial institutions with respect to risks posed by climate change.</w:t>
      </w:r>
    </w:p>
    <w:p>
      <w:pPr>
        <w:spacing w:after="0" w:line="14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b w:val="1"/>
          <w:bCs w:val="1"/>
          <w:color w:val="auto"/>
        </w:rPr>
        <w:t>Litigation and regulatory actions, including possible enforcement actions, could subject us to significant fines, penalties, judgments, or other requirements resulting in increased expenses or restrictions on our business activities.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From time to time, in the normal course of business, we have in the past been and may in the future be named as a defendant in various legal actions, arising in connection with our current and/or prior business activities. Legal actions could include claims for substantial compensatory or punitive damages or claims for indeterminate amounts of damages. Further, in the future our regulators may impose consent orders, civil money penalties, matters requiring attention, or similar types of supervisory criticism. We may also, from time to time, be the subject of subpoenas, requests for information, reviews, investigations, and proceedings (both formal and informal) by governmental agencies regarding our current and/or prior business activities. Any such legal or regulatory actions may subject us to substantial compensatory or punitive damages, significant fines, penalties, obligations to change our business practices, or other requirements resulting in increased expenses, diminished income, and damage to our reputation. Our involvement in any such matters, whether tangential or otherwise and even if the matters are ultimately determined in our favor, could also cause significant harm to our reputation and divert management attention from the operation of our business. Further, any settlement, consent order, or adverse judgment in connection with any formal or informal proceeding or investigation by government agencies may result in litigation, investigations, or proceedings as other litigants and government agencies begin independent reviews of the same activities. As a result, the outcome of legal and regulatory actions could have an adverse effect on our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41" w:name="page42"/>
    <w:bookmarkEnd w:id="41"/>
    <w:p>
      <w:pPr>
        <w:jc w:val="both"/>
        <w:spacing w:after="0" w:line="272" w:lineRule="auto"/>
        <w:rPr>
          <w:sz w:val="20"/>
          <w:szCs w:val="20"/>
          <w:color w:val="auto"/>
        </w:rPr>
      </w:pPr>
      <w:r>
        <w:rPr>
          <w:rFonts w:ascii="Times New Roman" w:cs="Times New Roman" w:eastAsia="Times New Roman" w:hAnsi="Times New Roman"/>
          <w:sz w:val="14"/>
          <w:szCs w:val="14"/>
          <w:b w:val="1"/>
          <w:bCs w:val="1"/>
          <w:color w:val="auto"/>
        </w:rPr>
        <w:t>We are subject to an extensive body of accounting rules and best practices. Periodic changes to such rules may change the treatment and recognition of critical financial line items. In addition, the accuracy of our consolidated financial statements and related disclosures could be affected if the judgments, assumptions, or estimates used in our critical accounting policies are inaccurate.</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nature of our business makes us sensitive to the large body of accounting rules in the United States. From time to time, the governing bodies that oversee changes to accounting rules and reporting requirements may release new guidance for the preparation of our consolidated financial statements. These changes can materially impact how we record and report our financial condition and results of operations. In some instances, we could be required to apply a new or revised standard retroactively, resulting in the restatement of prior period financial statements. Changes which have been approved for future implementation, or which are currently proposed or expected to be proposed or adopted include requirements that we: (i) calculate the allowance for credit losses on the basis of the current expected credit losses over the lifetime of our loans, which was applicable to us beginning in 2023, and may result in increases in our allowance for credit losses and future provisions for credit losses; and (ii) record the value of and liabilities relating to operating leases on our balance sheet, which became applicable to us beginning in 2022. These changes could adversely affect our capital, regulatory capital ratios, ability to make larger loans, earnings, and performance metrics. Any such changes could have an adverse effect on our business, financial condition, and results of operations.</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the section entitled “Management’s Discussion and Analysis of Financial Condition and Results of Operations” in this Annual Report on Form 10-K,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possible need to revise or, if in error, restate prior period financial statements, cause damage to our reputation and the price of our common stock, and adversely affect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could be subject to changes in tax laws, regulations and interpretations or challenges to our income tax provision.</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compute our income tax provision based on enacted tax rates in the jurisdictions in which we operate. Any change in enacted tax laws, rules, or regulatory or judicial interpretations, or any change in the pronouncements relating to accounting for income taxes, could adversely affect our effective tax rate, tax payments, and results of operations. For example, 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 Company evaluated the impact on future periods and the legislation is not expected to have a significant impact on the Company’s consolidated financial statements. Additionally, the taxing authorities in the jurisdictions in which we operate may challenge our tax positions, which could increase our effective tax rate and harm our financial position and results of operations. We are subject to audit and review by U.S. federal and state tax authorities. Any adverse outcome of such a review or audit could have a negative effect on our financial position and results of operations. In addition, changes in enacted tax laws, such as adoption of a lower income tax rate in any of the jurisdictions in which we operate, could impact our ability to obtain the future tax benefits represented by our deferred tax assets. Also, the determination of our provision for income taxes and other liabilities requires significant judgment by management. Although we believe that our estimates are reasonable, the ultimate tax outcome may differ from the amounts recorded in our financial statements and could have a material adverse effect on our financial results in the period or periods for which such determination is made.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recognize the crucial importance of identifying, assessing, and managing material risks from cybersecurity threats. We are committed to implementing and maintaining a comprehensive information security program to manage such risks and safeguard our systems and data, including the data of our customers.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Information Security Policies and Procedures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manage our cybersecurity risk in accordance with our Information Security Program (the “Information Security Program”), which is applicable to all users of our information technology assets, information assets, and facilities, including our employees, contractors, vendors, volunteers, and agents. The Information Security Program includes an Information Security Incident Response Policy (the “Incident Response Policy”), which sets forth the rules and requirements for identifying, investigating, validating, prioritizing, and responding to information security incidents, and addresses the response portion of security monitoring. The Information Security Program also includes: (i) an Information Security Incident Response Procedure (the “Incident Response Procedure”), which delineates the processes for reporting, classifying, investigating, planning, containing, eradicating, recovering, documenting, and communicating information security incidents, as well as post-incident activities; and (ii) a Security Monitoring Policy, which establishes the rules and requirements for enabling, logging, alerting, and monitoring real time security alerts and security logs (automated or manual), as well as various condition monitoring tests and reviews, and documentation requirements in connection with security incident identification.</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Potential information security incidents are identified in a number of ways, including, but not limited to: users reporting security violations, system weaknesses, violations of our Information Security Acceptable Use Policy, which addresses the boundaries of acceptable use of our information technology assets, automated system alerts, and monitoring of both system generated and manually generated logs. Our Information Security Program mandates that any potential information security incident response begin at the initial internal communication and investigation stage, during which such events undergo initial investigation for validation, including related to the scope and depth of such incident and to ensure that it has not resulted from a false positive. Internal communications regarding the potential incident occur with the relevant security coordinator according to our Incident Response Procedures.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Following this initial stage, we gather and update impact information and related documentation for such incident. We use an incident classification matrix to determine the initial classification of a potential information security incident, which considers users, customers, and systems affected, the sensitivity of data at risk, and the potential business impacts to the Company, including financial, legal, regulatory, operational, and reputation. The resulting classification of “Red,” “Yellow,” or “Green” identifies next steps for escalation and communication following initial investigation of the potential incident. Upon escalation of an incident, a member of management who is identified as an Incident Response Contact per our Information Security Program reviews and validates the initial determination of the priority of the incident prior to entering into the subsequent stage, during which a response to the incident is determined and notifications or communications are made to either additional personnel or any external entities. Depending on the specific details of any such incident, we may notify additional members of our management team, our board of directors, the Audit Committee, state and federal regulators, technology service providers, and/or the SEC. The timing of such communications varies based on the details of a particular incident and applicable regulations governing such disclosure. Following this classification and communication stage, we enter the recovery stage to determine containment and a response to the incident, assign technical staff to address such incident, implement containment, eradicate the incident source, and recover from such incident. Following any such incident, we engage in follow-up to communicate with law enforcement and notify impacted third parties and customers, as appropriate, in addition to further investigating the cause of the incident, documenting takeaways, and engaging in remediation.</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Director of Information Security (“DIS”) coordinates with other members of our executive management team identified in our Information Security Program to document, validate, respond to, and manage actual or potential security incidents according to their threat classifications as described above, and report to our board of directors and/or the Audit Committee on an ad hoc basis. The DIS also provides quarterly reports on the status of our Information Security Program and its compliance with regulatory requirements to our board of directors in connection with our board’s general risk management oversight role, as described in further detail below. The DIS and the Chief Information Officer (“CIO”) have shared responsibility for overseeing day-to-day operations of the Information Security Program; coordinating or contributing to reviews, audits, risk assessments, and other risk management material; development of departmental policies and procedures for board approval; and periodic updates to our information technology steering committee and/or the full board of directors. The CIO reports to the President and Chief Executive Officer, while the DIS reports to the Chief Regulatory Officer and reports regularly to the Audit Committee.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14"/>
          <w:szCs w:val="14"/>
          <w:color w:val="auto"/>
        </w:rPr>
        <w:t>The CIO has over 20 years of industry experience including management of technology, security, data analytics, and vendor relationships. The DIS has over 10 years of industry experience and over 25 years of information security experience focusing on management of security and vendor relationships. The DIS also possesses several industry certifications, including certification as a Certified in Risk and Information Systems Control and Certified Information Security Manager from the Information System Audit and Control Association.</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the approval of the Audit Committee, we also engage third-party assessors, consultants, and auditors in connection with the Company’s Information Security Program and in accordance with our Audit Program, including to conduct external and internal penetration testing, independent audits, and risk assessments. We may also utilize third-party service providers in the ordinary course of business, including to assist us in performing information security assessments for third-party service providers that store or process our confidential data. These information security assessments, whether performed by a third party or internally, include a review of any systems and organization control reports, and proof of the vendor’s independent testing of their data protection controls, as well as a review of any exceptions noted and assessment of management responses, results of vulnerability and penetration testing, incident response processes, and third-party data protection controls (which can include, but are not limited to: access reviews and controls, backups, monitoring, encryption standards, and disaster recovery). The review of these areas is taken into account in order to provide an overall information security conclusion and risk rating for the vendor.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use a combination of technology, policies, procedures, training, and monitoring to promote security awareness and prevent security incidents.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Cybersecurity Risk Oversight</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executive management team is responsible for the development of our policies and procedures and for managing any exception to the same. In particular, our DIS oversees information security compliance, as described above. The board of directors of the Company has ultimate oversight of cybersecurity-related risk and activities, including the review and approval of our policies and procedures related to cybersecurity. The Information Security Program is approved on an annual basis. Cybersecurity risk management is also incorporated into our overall enterprise risk management model, which is updated on a quarterly basis and subject to oversight by our board of directors.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the ordinary course of business, our board of directors receives quarterly updates from the DIS regarding the Information Security Program and compliance with relevant regulations, as described above. Members of the Audit Committee of our board of directors receive presentations as well as minutes of the meetings of our information technology steering committee on a quarterly basis. Our information technology steering committee consists of members of management who have relevant experience as well as industry training. If an incident occurs, depending on its priority as identified through the procedures described above, management may inform our board of directors and/or the Audit Committee sooner than its next quarterly update. See the section entitled “Part I, Item 1. Business—Risk Management” for additional information on the role of our board of directors and its committees in overseeing risk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Relevant Regulations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a regulated financial institution, the Bank is also subject to financial privacy laws, and our cybersecurity practices are subject to oversight by the federal banking agencies. In addition, the Bank is subject to SEC rules requiring public companies to disclose material cybersecurity incidents that they experience on Form 8-K within four business days of determining that a material cybersecurity incident has occurred and to disclose on an annual basis material information regarding their cybersecurity risk management, strategy, and governance. For additional information, see the section entitled “Part I, Item 1. Business—Supervision and Regulation—Supervision and Regulation of the Bank—Cybersecurity.”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Prior Incidents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Although we have not, as of the date of this Annual Report on Form 10-K, experienced a cybersecurity threat or incident that materially affected our business strategy, results of operations, or financial condition, there can be no guarantee that we will not experience such an incident in the future. For additional information regarding the risk we face from cybersecurity threats, see the risk factor entitled </w:t>
      </w:r>
      <w:r>
        <w:rPr>
          <w:rFonts w:ascii="Times New Roman" w:cs="Times New Roman" w:eastAsia="Times New Roman" w:hAnsi="Times New Roman"/>
          <w:sz w:val="14"/>
          <w:szCs w:val="14"/>
          <w:i w:val="1"/>
          <w:iCs w:val="1"/>
          <w:color w:val="auto"/>
        </w:rPr>
        <w:t>“System failure or cybersecurity breaches of our network security could subject us to increased operating costs as well as litigation, damage to our reputation, and other potential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losses.” </w:t>
      </w:r>
      <w:r>
        <w:rPr>
          <w:rFonts w:ascii="Times New Roman" w:cs="Times New Roman" w:eastAsia="Times New Roman" w:hAnsi="Times New Roman"/>
          <w:sz w:val="14"/>
          <w:szCs w:val="14"/>
          <w:color w:val="auto"/>
        </w:rPr>
        <w:t>included in Part I, Item 1A. Risk Factors in this Annual Report on Form 10-K.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corporate headquarters is located at 3100 Zinfandel Drive, Suite 100, Rancho Cordova, CA 95670. As of December 31, 2025, in addition to our corporate headquarters, which includes our Rancho Cordova branch, we operated eight other branch offices in Roseville, Natomas, Redding, Elk Grove, Chico, Yuba City, San Francisco, and Walnut Creek and two administrative offices in Sacramento and Newport Beach. We lease our corporate headquarters and all of our other offices. The lease on our corporate headquarters expires in 2032, and the leases on our branch offices and administrative offices expire in 2026 through 2036. We believe that these facilities and additional or alternative space available to us are adequate to meet our needs for the foreseeable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Shareholder Matters and Issuer Purchases of Equity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Holders of Common Stock, and Dividends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common stock, no par value per share, is traded on the Nasdaq Global Select Market under the symbol “FSBC.” On February 24, 2026, there were 123 holders of record of the Company’s common stock. The actual number of stockholders is greater than this, as it would include stockholders who are beneficial owners but whose shares are held in street name by brokers and other nominees.</w:t>
      </w:r>
    </w:p>
    <w:p>
      <w:pPr>
        <w:spacing w:after="0" w:line="1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has paid cash dividends on its common stock in every quarter since January 2002, with the exception of the third and fourth quarters of 2009 and all quarters of 2010. It is currently the intention of the board of directors of the Company to continue payment of cash dividends on a quarterly basis. There is no assurance, however, that any dividends will be paid since they are dependent on a number of factors, including general and economic conditions, industry standards, our financial condition and operating results, our available cash and current and anticipated cash needs, capital requirements, our ability to service debt obligations senior to our common stock, banking regulations, contractual, legal, tax, and regulatory restrictions, and limitations on the payment of dividends by us to our shareholders or by the Bank to us, and such other factors as our board of directors may deem relevant. Further, while we expect to continue our current practice of paying quarterly cash dividends with respect to our common stock, this practice is subject to our board of directors’ discretion to modify or terminate it at any time and for any reason without prior notice. As of December 31, 2025, there was $103.8 million available for payment of dividends by the Bank to the Company, under applicable laws and regulations. For a discussion of dividend restrictions on our common stock, or of restrictions on dividends from the Company’s subsidiaries to the Company, see the sections entitled “Part I, Item 1. Business—Supervision and Regulation—Supervision and Regulation of the Company—Payment of Dividends and Stock Repurchases” and “Part I, Item 1. Business—Supervision and Regulation—Supervision and Regulation of the Bank—Payment of Dividends.”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“Part III, Item 12. Security Ownership of Certain Beneficial Owners and Management and Related Shareholder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Unregistered Sales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Proceeds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Stock Performance</w:t>
      </w:r>
    </w:p>
    <w:p>
      <w:pPr>
        <w:spacing w:after="0" w:line="18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following graph presents the cumulative total yearly shareholder return from investing $100 on May 5, 2021, the Company’s IPO date, in each of our common stock, the S&amp;P 500 Index, and the KBW Nasdaq Regional Banking Index. Total return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4462145" cy="2204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46214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72"/>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May 5, 2021</w:t>
            </w:r>
          </w:p>
        </w:tc>
        <w:tc>
          <w:tcPr>
            <w:tcW w:w="100" w:type="dxa"/>
            <w:vAlign w:val="bottom"/>
          </w:tcPr>
          <w:p>
            <w:pPr>
              <w:spacing w:after="0"/>
              <w:rPr>
                <w:sz w:val="14"/>
                <w:szCs w:val="14"/>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4"/>
                <w:szCs w:val="14"/>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80" w:type="dxa"/>
            <w:vAlign w:val="bottom"/>
          </w:tcPr>
          <w:p>
            <w:pPr>
              <w:spacing w:after="0"/>
              <w:rPr>
                <w:sz w:val="14"/>
                <w:szCs w:val="14"/>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4"/>
                <w:szCs w:val="14"/>
                <w:color w:val="auto"/>
              </w:rPr>
            </w:pPr>
          </w:p>
        </w:tc>
        <w:tc>
          <w:tcPr>
            <w:tcW w:w="14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4"/>
                <w:szCs w:val="14"/>
                <w:color w:val="auto"/>
              </w:rPr>
            </w:pPr>
          </w:p>
        </w:tc>
        <w:tc>
          <w:tcPr>
            <w:tcW w:w="146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75"/>
        </w:trPr>
        <w:tc>
          <w:tcPr>
            <w:tcW w:w="2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Five Star Bancorp</w:t>
            </w:r>
          </w:p>
        </w:tc>
        <w:tc>
          <w:tcPr>
            <w:tcW w:w="80" w:type="dxa"/>
            <w:vAlign w:val="bottom"/>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125.24</w:t>
            </w:r>
          </w:p>
        </w:tc>
        <w:tc>
          <w:tcPr>
            <w:tcW w:w="8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116.25</w:t>
            </w:r>
          </w:p>
        </w:tc>
        <w:tc>
          <w:tcPr>
            <w:tcW w:w="8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115.55</w:t>
            </w:r>
          </w:p>
        </w:tc>
        <w:tc>
          <w:tcPr>
            <w:tcW w:w="10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137.10</w:t>
            </w:r>
          </w:p>
        </w:tc>
        <w:tc>
          <w:tcPr>
            <w:tcW w:w="80" w:type="dxa"/>
            <w:vAlign w:val="bottom"/>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167.35</w:t>
            </w:r>
          </w:p>
        </w:tc>
      </w:tr>
      <w:tr>
        <w:trPr>
          <w:trHeight w:val="184"/>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S&amp;P 500 Index</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115.45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119.40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149.27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175.96</w:t>
            </w:r>
          </w:p>
        </w:tc>
      </w:tr>
      <w:tr>
        <w:trPr>
          <w:trHeight w:val="184"/>
        </w:trPr>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KBW Nasdaq Regional Banking Index</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99.86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104.79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111.61</w:t>
            </w:r>
          </w:p>
        </w:tc>
      </w:tr>
    </w:tbl>
    <w:p>
      <w:pPr>
        <w:spacing w:after="0" w:line="2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The stock performance graph and related information shall not be deemed “soliciting material” or to be “filed” for purposes of Section 18 of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following discussion and analysis presents management’s perspective on our financial condition and results of operations on a consolidated basis. However, because we conduct all of our material business operations through our bank subsidiary, Five Star Bank, the discussion and analysis relate to activities primarily conducted by the Bank. This discussion and analysis should be read in conjunction with the audited consolidated financial statements and the accompanying notes presented elsewhere in this Annual Report on Form 10-K. Average balances, including balances used in calculating certain financial ratios, are generally comprised of average daily balances.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To the extent that this discussion describes prior performance, the descriptions relate only to the periods listed, which may not be indicative of our future financial outcomes. In addition to containing historical information, this discussion contains forward-looking statements that involve risks, uncertainties, and assumptions that could cause results to differ materially from management’s expectations. Factors that could cause such differences are discussed in the sections entitled “Cautionary Note Regarding Forward-Looking Statements” and “Part I, Item 1A. Risk Factors.” We assume no obligation to update any of these forward-looking statements, except to the extent required by law.</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47" w:name="page48"/>
    <w:bookmarkEnd w:id="47"/>
    <w:p>
      <w:pPr>
        <w:jc w:val="both"/>
        <w:spacing w:after="0" w:line="271" w:lineRule="auto"/>
        <w:rPr>
          <w:sz w:val="20"/>
          <w:szCs w:val="20"/>
          <w:color w:val="auto"/>
        </w:rPr>
      </w:pPr>
      <w:r>
        <w:rPr>
          <w:rFonts w:ascii="Times New Roman" w:cs="Times New Roman" w:eastAsia="Times New Roman" w:hAnsi="Times New Roman"/>
          <w:sz w:val="14"/>
          <w:szCs w:val="14"/>
          <w:color w:val="auto"/>
        </w:rPr>
        <w:t>Set forth below is a comparison of the results of operations and changes in financial condition for the fiscal years ended December 31, 2025 and December 31, 2024. For a discussion of our financial results for the fiscal year ended December 31, 2023, see the section entitled “Part II, Item 7. Management’s Discussion and Analysis of Financial Condition and Results of Operations” in our Annual Report on Form 10-K for the year ended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Headquartered in the greater Sacramento metropolitan area of California, Five Star Bancorp (“Bancorp” or the “Company”)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nine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December 31, 2025, we had total assets of $4.8 billion, total loans held for investment of $4.1 billion, and total deposits of $4.2 billion.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is the most significant contributor to our net income and is the difference between the interest and fees earned on interest-earning assets and the interest expense incurred in connection with interest-bearing liabilities. Net interest income is primarily a function of the average balances and yields of these interest-earning assets and interest-bearing liabilities. These factors are influenced by internal considerations such as product mix and risk appetite as well as external influences such as economic conditions, competition for loans and deposits, and market interest rates.</w:t>
      </w:r>
    </w:p>
    <w:p>
      <w:pPr>
        <w:spacing w:after="0" w:line="2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cost of our deposits and short-term borrowings is primarily based on short-term interest rates, which are largely driven by the Federal Reserve’s actions and market competition. The yields generated by our loans and securities are typically affected by short-term and long-term interest rates, which are driven by market competition and market rates often impacted by the Federal Reserve’s actions. The level of net interest income is influenced by movements in such interest rates and the pace at which such movements occur.</w:t>
      </w:r>
    </w:p>
    <w:p>
      <w:pPr>
        <w:spacing w:after="0" w:line="1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Interest rates have risen significantly following the historically low levels during the COVID-19 pandemic. Due to elevated levels of inflation and corresponding pressure to raise interest rates, the Federal Reserve announced in January 2022 that it would be slowing the pace of its bond purchasing and increasing the target range for the federal funds rate over time. The Federal Open Market Committee (“FOMC”) then increased the target range eleven times throughout 2022 and 2023. During 2024 and 2025, the Federal Reserve decreased the federal funds rate three times each year. As of December 31, 2025, the target range for the federal funds rate had been decreased to 3.50% to 3.75%, and the FOMC projects one additional decrease in 2026, as part of a strategy to return inflation to normalized levels while keeping unemployment low.</w:t>
      </w:r>
    </w:p>
    <w:p>
      <w:pPr>
        <w:spacing w:after="0" w:line="11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anticipate that interest rates may be lowered over the next few years. Based on our sensitivity analysis, a steepened yield curve could have a slight negative impact on our net interest income over the next year. Additionally, a continued flat yield curve would be expected to maintain our net interest income over the next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Affecting Comparability of Financial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ACL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January 1, 2023, the Company adopted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continue to be recorded in other comprehensive income. Under the CECL model, the calculated allowance for credit losses was $5.3 million higher on January 1, 2023 than the allowance under the incurred loss model. For further information, please see Note 2, Recently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color w:val="auto"/>
        </w:rPr>
        <w:t>Issued Accounting Standards, in the notes to our audited consolidated financial statements included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The preparation of these consolidated financial statements requires management to make estimates and assumptions that affect the reported amounts of our assets, liabilities, revenue, and expenses. We have identified certain policies and estimates as critical to our business operations and the understanding of our past or present consolidated financial condition and results of operations. These policies and estimates are considered critical because they have a material impact, or they have the potential to have a material impact, on our consolidated financial statements and because they require us to make significant judgments, assumptions, or estimates.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w:t>
      </w:r>
    </w:p>
    <w:p>
      <w:pPr>
        <w:spacing w:after="0" w:line="10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ACL</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ACL represents the estimated probable credit losses in our loan and investment portfolios and is estimated as of December 31, 2025 using CECL. The ACL is established through a provision for credit losses charged to operations. Loans and investments are charged against the ACL when management believes that the collectability of the principal is unlikely. Subsequent recoveries of previously charged-off amounts, if any, are credited to the ACL.</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ACL is evaluated on a regular basis by management in consideration of optimistic, moderate, and pessimistic current conditions, and is based on management’s periodic review of the collectability of the loans in light of historical experience, the nature and volume of the loan portfolio, adverse situations that may affect the borrower’s ability to repay, estimated value of any underlying collateral, prevailing economic conditions specifically impacting each loan type by purpose and by geography, and concentrations within the loan portfolio. This evaluation is inherently subjective, as it requires estimates that are susceptible to significant revision as more information becomes available.</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 significant amount of the ACL is measured on a collective (pool) basis by loan and investment security type when similar risk characteristics exist. Pools are determined based primarily on regulatory reporting codes as the loans and investment securities within each pool share similar risk characteristics and there is sufficient historical peer loss data from the FFIEC to provide statistically meaningful support in the models developed. Reserves for credit losses identified on a pooled basis are then adjusted for qualitative factors to reflect current conditions. The most significant components of qualitative factors used to estimate the allowance for credit losses are adjustments relating to prevailing economic conditions, concentrations within the loan portfolio, and external factors. These qualitative factors are subject to significant judgment and carry a higher degree of uncertainty. The prevailing economic conditions factor is estimated based on a range of potential economic conditions and is applied at both the portfolio and individual concentration level based on various factors. This estimate is subject to significant judgment and could potentially add $3.2 million based on existing loan balances to the allowance for credit losses while using severely adverse economic conditions in the estimate. The concentrations within the loan portfolio factor is estimated based on concentrations at the loan pool level. This estimate is subject to significant judgment and could potentially add $12.0 million based on existing loan balances to the allowance for credit losses while using a severely adverse market outlook for the specifically identified concentrations. The external factor is estimated based on current external factors, such as environmental factors, which could impact the loan portfolio. This estimate is subject to significant judgment and could potentially add $9.5 million based on existing loan balances to the allowance for credit losses while using severely adverse external factors in the estimate. Other qualitative factors within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49" w:name="page50"/>
    <w:bookmarkEnd w:id="49"/>
    <w:p>
      <w:pPr>
        <w:spacing w:after="0" w:line="288" w:lineRule="auto"/>
        <w:rPr>
          <w:sz w:val="20"/>
          <w:szCs w:val="20"/>
          <w:color w:val="auto"/>
        </w:rPr>
      </w:pPr>
      <w:r>
        <w:rPr>
          <w:rFonts w:ascii="Times New Roman" w:cs="Times New Roman" w:eastAsia="Times New Roman" w:hAnsi="Times New Roman"/>
          <w:sz w:val="14"/>
          <w:szCs w:val="14"/>
          <w:color w:val="auto"/>
        </w:rPr>
        <w:t>the ACL relate to items which carry a lower degree of judgment using internally generated data. These factors include, but are not limited to, policy exception rates, volume of loan growth, and results of internal and external audits.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6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Our strategic focus is to continue to grow organically by leveraging our existing core competencies and positioning our business for success in the evolving banking landscape. In leveraging our core competencies, we intend to:</w:t>
      </w:r>
    </w:p>
    <w:p>
      <w:pPr>
        <w:spacing w:after="0" w:line="93" w:lineRule="exact"/>
        <w:rPr>
          <w:sz w:val="20"/>
          <w:szCs w:val="20"/>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our organic growth in our market through our “purpose-driven and integrity-centered” approach to banking;</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focus on and expand our operations in our unique lines of business throughout our geographic service areas;</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build upon the strength of our brand to deepen and broaden client relationships and grow our deposit base;</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additional banking professionals with track records of driving revenue growth;</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disciplined credit underwriting and robust risk management;</w:t>
      </w:r>
    </w:p>
    <w:p>
      <w:pPr>
        <w:spacing w:after="0" w:line="115"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disciplined cost management culture;</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leverage our technology platforms to improve our efficiency; and</w:t>
      </w:r>
    </w:p>
    <w:p>
      <w:pPr>
        <w:spacing w:after="0" w:line="126"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engage in the economic development of our communities and market areas.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Highlights of the financial results are presented in the following tables: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09"/>
        </w:trPr>
        <w:tc>
          <w:tcPr>
            <w:tcW w:w="7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 Highlights of Financial Results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2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3"/>
        </w:trPr>
        <w:tc>
          <w:tcPr>
            <w:tcW w:w="7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Selected financial condition data:</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97"/>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4,754,861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4,053,278</w:t>
            </w:r>
          </w:p>
        </w:tc>
      </w:tr>
      <w:tr>
        <w:trPr>
          <w:trHeight w:val="199"/>
        </w:trPr>
        <w:tc>
          <w:tcPr>
            <w:tcW w:w="77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4,074,929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3,532,686</w:t>
            </w:r>
          </w:p>
        </w:tc>
      </w:tr>
      <w:tr>
        <w:trPr>
          <w:trHeight w:val="197"/>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deposits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4,201,084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3,557,994</w:t>
            </w:r>
          </w:p>
        </w:tc>
      </w:tr>
      <w:tr>
        <w:trPr>
          <w:trHeight w:val="208"/>
        </w:trPr>
        <w:tc>
          <w:tcPr>
            <w:tcW w:w="7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subordinated notes, net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74,041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73,895</w:t>
            </w:r>
          </w:p>
        </w:tc>
      </w:tr>
      <w:tr>
        <w:trPr>
          <w:trHeight w:val="191"/>
        </w:trPr>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445,832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396,624</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 quality ratios:</w:t>
            </w:r>
          </w:p>
        </w:tc>
        <w:tc>
          <w:tcPr>
            <w:tcW w:w="55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91"/>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5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1.09 %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20" w:type="dxa"/>
            <w:vAlign w:val="bottom"/>
          </w:tcPr>
          <w:p>
            <w:pPr>
              <w:spacing w:after="0"/>
              <w:rPr>
                <w:sz w:val="16"/>
                <w:szCs w:val="16"/>
                <w:color w:val="auto"/>
              </w:rPr>
            </w:pPr>
          </w:p>
        </w:tc>
      </w:tr>
      <w:tr>
        <w:trPr>
          <w:trHeight w:val="22"/>
        </w:trPr>
        <w:tc>
          <w:tcPr>
            <w:tcW w:w="45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02"/>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Allowance for credit losses to nonperforming loans</w:t>
            </w:r>
          </w:p>
        </w:tc>
        <w:tc>
          <w:tcPr>
            <w:tcW w:w="55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14.34x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21.02x</w:t>
            </w:r>
          </w:p>
        </w:tc>
        <w:tc>
          <w:tcPr>
            <w:tcW w:w="20" w:type="dxa"/>
            <w:vAlign w:val="bottom"/>
          </w:tcPr>
          <w:p>
            <w:pPr>
              <w:spacing w:after="0"/>
              <w:rPr>
                <w:sz w:val="17"/>
                <w:szCs w:val="17"/>
                <w:color w:val="auto"/>
              </w:rPr>
            </w:pPr>
          </w:p>
        </w:tc>
      </w:tr>
      <w:tr>
        <w:trPr>
          <w:trHeight w:val="197"/>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5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0.08 %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c>
          <w:tcPr>
            <w:tcW w:w="20" w:type="dxa"/>
            <w:vAlign w:val="bottom"/>
          </w:tcPr>
          <w:p>
            <w:pPr>
              <w:spacing w:after="0"/>
              <w:rPr>
                <w:sz w:val="17"/>
                <w:szCs w:val="17"/>
                <w:color w:val="auto"/>
              </w:rPr>
            </w:pPr>
          </w:p>
        </w:tc>
      </w:tr>
      <w:tr>
        <w:trPr>
          <w:trHeight w:val="20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5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55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13.33 %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13.99 %</w:t>
            </w:r>
          </w:p>
        </w:tc>
        <w:tc>
          <w:tcPr>
            <w:tcW w:w="20" w:type="dxa"/>
            <w:vAlign w:val="bottom"/>
          </w:tcPr>
          <w:p>
            <w:pPr>
              <w:spacing w:after="0"/>
              <w:rPr>
                <w:sz w:val="17"/>
                <w:szCs w:val="17"/>
                <w:color w:val="auto"/>
              </w:rPr>
            </w:pPr>
          </w:p>
        </w:tc>
      </w:tr>
      <w:tr>
        <w:trPr>
          <w:trHeight w:val="213"/>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55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10.58 %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20" w:type="dxa"/>
            <w:vAlign w:val="bottom"/>
          </w:tcPr>
          <w:p>
            <w:pPr>
              <w:spacing w:after="0"/>
              <w:rPr>
                <w:sz w:val="18"/>
                <w:szCs w:val="18"/>
                <w:color w:val="auto"/>
              </w:rPr>
            </w:pPr>
          </w:p>
        </w:tc>
      </w:tr>
      <w:tr>
        <w:trPr>
          <w:trHeight w:val="197"/>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55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10.58 %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20" w:type="dxa"/>
            <w:vAlign w:val="bottom"/>
          </w:tcPr>
          <w:p>
            <w:pPr>
              <w:spacing w:after="0"/>
              <w:rPr>
                <w:sz w:val="17"/>
                <w:szCs w:val="17"/>
                <w:color w:val="auto"/>
              </w:rPr>
            </w:pPr>
          </w:p>
        </w:tc>
      </w:tr>
      <w:tr>
        <w:trPr>
          <w:trHeight w:val="20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Tier 1 leverage</w:t>
            </w:r>
          </w:p>
        </w:tc>
        <w:tc>
          <w:tcPr>
            <w:tcW w:w="55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9.70 %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10.05 %</w:t>
            </w:r>
          </w:p>
        </w:tc>
        <w:tc>
          <w:tcPr>
            <w:tcW w:w="20" w:type="dxa"/>
            <w:vAlign w:val="bottom"/>
          </w:tcPr>
          <w:p>
            <w:pPr>
              <w:spacing w:after="0"/>
              <w:rPr>
                <w:sz w:val="18"/>
                <w:szCs w:val="18"/>
                <w:color w:val="auto"/>
              </w:rPr>
            </w:pPr>
          </w:p>
        </w:tc>
      </w:tr>
      <w:tr>
        <w:trPr>
          <w:trHeight w:val="197"/>
        </w:trPr>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shareholders’ equity to total assets</w:t>
            </w:r>
          </w:p>
        </w:tc>
        <w:tc>
          <w:tcPr>
            <w:tcW w:w="5580" w:type="dxa"/>
            <w:vAlign w:val="bottom"/>
          </w:tcPr>
          <w:p>
            <w:pPr>
              <w:jc w:val="right"/>
              <w:ind w:right="569"/>
              <w:spacing w:after="0"/>
              <w:rPr>
                <w:sz w:val="20"/>
                <w:szCs w:val="20"/>
                <w:color w:val="auto"/>
              </w:rPr>
            </w:pPr>
            <w:r>
              <w:rPr>
                <w:rFonts w:ascii="Times New Roman" w:cs="Times New Roman" w:eastAsia="Times New Roman" w:hAnsi="Times New Roman"/>
                <w:sz w:val="14"/>
                <w:szCs w:val="14"/>
                <w:color w:val="auto"/>
              </w:rPr>
              <w:t>9.38 %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9.79 %</w:t>
            </w:r>
          </w:p>
        </w:tc>
        <w:tc>
          <w:tcPr>
            <w:tcW w:w="20" w:type="dxa"/>
            <w:vAlign w:val="bottom"/>
          </w:tcPr>
          <w:p>
            <w:pPr>
              <w:spacing w:after="0"/>
              <w:rPr>
                <w:sz w:val="17"/>
                <w:szCs w:val="17"/>
                <w:color w:val="auto"/>
              </w:rPr>
            </w:pPr>
          </w:p>
        </w:tc>
      </w:tr>
      <w:tr>
        <w:trPr>
          <w:trHeight w:val="208"/>
        </w:trPr>
        <w:tc>
          <w:tcPr>
            <w:tcW w:w="4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shareholders’ equity to tangible assets</w:t>
            </w:r>
            <w:r>
              <w:rPr>
                <w:rFonts w:ascii="Times New Roman" w:cs="Times New Roman" w:eastAsia="Times New Roman" w:hAnsi="Times New Roman"/>
                <w:sz w:val="18"/>
                <w:szCs w:val="18"/>
                <w:color w:val="auto"/>
                <w:vertAlign w:val="superscript"/>
              </w:rPr>
              <w:t>1</w:t>
            </w:r>
          </w:p>
        </w:tc>
        <w:tc>
          <w:tcPr>
            <w:tcW w:w="55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rPr>
              <w:t>9.38 %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9.79 %</w:t>
            </w:r>
          </w:p>
        </w:tc>
        <w:tc>
          <w:tcPr>
            <w:tcW w:w="20" w:type="dxa"/>
            <w:vAlign w:val="bottom"/>
          </w:tcPr>
          <w:p>
            <w:pPr>
              <w:spacing w:after="0"/>
              <w:rPr>
                <w:sz w:val="18"/>
                <w:szCs w:val="18"/>
                <w:color w:val="auto"/>
              </w:rPr>
            </w:pPr>
          </w:p>
        </w:tc>
      </w:tr>
      <w:tr>
        <w:trPr>
          <w:trHeight w:val="723"/>
        </w:trPr>
        <w:tc>
          <w:tcPr>
            <w:tcW w:w="4580" w:type="dxa"/>
            <w:vAlign w:val="bottom"/>
          </w:tcPr>
          <w:p>
            <w:pPr>
              <w:spacing w:after="0"/>
              <w:rPr>
                <w:sz w:val="24"/>
                <w:szCs w:val="24"/>
                <w:color w:val="auto"/>
              </w:rPr>
            </w:pPr>
          </w:p>
        </w:tc>
        <w:tc>
          <w:tcPr>
            <w:tcW w:w="5580" w:type="dxa"/>
            <w:vAlign w:val="bottom"/>
          </w:tcPr>
          <w:p>
            <w:pPr>
              <w:jc w:val="right"/>
              <w:ind w:right="4369"/>
              <w:spacing w:after="0"/>
              <w:rPr>
                <w:sz w:val="20"/>
                <w:szCs w:val="20"/>
                <w:color w:val="auto"/>
              </w:rPr>
            </w:pPr>
            <w:r>
              <w:rPr>
                <w:rFonts w:ascii="Times New Roman" w:cs="Times New Roman" w:eastAsia="Times New Roman" w:hAnsi="Times New Roman"/>
                <w:sz w:val="14"/>
                <w:szCs w:val="14"/>
                <w:color w:val="auto"/>
              </w:rPr>
              <w:t>47</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
        </w:trPr>
        <w:tc>
          <w:tcPr>
            <w:tcW w:w="4580" w:type="dxa"/>
            <w:vAlign w:val="bottom"/>
            <w:tcBorders>
              <w:bottom w:val="single" w:sz="8" w:color="9A9A9A"/>
            </w:tcBorders>
          </w:tcPr>
          <w:p>
            <w:pPr>
              <w:spacing w:after="0"/>
              <w:rPr>
                <w:sz w:val="6"/>
                <w:szCs w:val="6"/>
                <w:color w:val="auto"/>
              </w:rPr>
            </w:pPr>
          </w:p>
        </w:tc>
        <w:tc>
          <w:tcPr>
            <w:tcW w:w="558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50" w:name="page51"/>
    <w:bookmarkEnd w:id="50"/>
    <w:p>
      <w:pPr>
        <w:ind w:left="10"/>
        <w:spacing w:after="0"/>
        <w:rPr>
          <w:sz w:val="20"/>
          <w:szCs w:val="20"/>
          <w:color w:val="auto"/>
        </w:rPr>
      </w:pPr>
      <w:r>
        <w:rPr>
          <w:rFonts w:ascii="Times New Roman" w:cs="Times New Roman" w:eastAsia="Times New Roman" w:hAnsi="Times New Roman"/>
          <w:sz w:val="14"/>
          <w:szCs w:val="14"/>
          <w:u w:val="single" w:color="auto"/>
          <w:color w:val="auto"/>
        </w:rPr>
        <w:t>Table 2: Highlights of Financial Results (continued)</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324"/>
        </w:trPr>
        <w:tc>
          <w:tcPr>
            <w:tcW w:w="7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share and per share data)</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9"/>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Selected operating data:</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151,905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119,711</w:t>
            </w:r>
          </w:p>
        </w:tc>
      </w:tr>
      <w:tr>
        <w:trPr>
          <w:trHeight w:val="208"/>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9,700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6,950</w:t>
            </w:r>
          </w:p>
        </w:tc>
      </w:tr>
      <w:tr>
        <w:trPr>
          <w:trHeight w:val="191"/>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Non-interest income</w:t>
            </w:r>
          </w:p>
        </w:tc>
        <w:tc>
          <w:tcPr>
            <w:tcW w:w="18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6,535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6,453</w:t>
            </w:r>
          </w:p>
        </w:tc>
      </w:tr>
      <w:tr>
        <w:trPr>
          <w:trHeight w:val="22"/>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2"/>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 expense</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65,008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54,493</w:t>
            </w:r>
          </w:p>
        </w:tc>
      </w:tr>
      <w:tr>
        <w:trPr>
          <w:trHeight w:val="19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61,606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45,671</w:t>
            </w:r>
          </w:p>
        </w:tc>
      </w:tr>
      <w:tr>
        <w:trPr>
          <w:trHeight w:val="219"/>
        </w:trPr>
        <w:tc>
          <w:tcPr>
            <w:tcW w:w="7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97"/>
        </w:trPr>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common share data:</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Earnings per common share:</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1"/>
        </w:trPr>
        <w:tc>
          <w:tcPr>
            <w:tcW w:w="7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2.26</w:t>
            </w:r>
          </w:p>
        </w:tc>
      </w:tr>
      <w:tr>
        <w:trPr>
          <w:trHeight w:val="22"/>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2"/>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2.90</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2.26</w:t>
            </w:r>
          </w:p>
        </w:tc>
      </w:tr>
      <w:tr>
        <w:trPr>
          <w:trHeight w:val="19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Book value per share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20.87</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18.60</w:t>
            </w:r>
          </w:p>
        </w:tc>
      </w:tr>
      <w:tr>
        <w:trPr>
          <w:trHeight w:val="208"/>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Tangible book value per share</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20.87</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18.60</w:t>
            </w:r>
          </w:p>
        </w:tc>
      </w:tr>
      <w:tr>
        <w:trPr>
          <w:trHeight w:val="213"/>
        </w:trPr>
        <w:tc>
          <w:tcPr>
            <w:tcW w:w="7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2"/>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Shares outstanding data:</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191"/>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Weighted average basic common shares outstanding</w:t>
            </w:r>
          </w:p>
        </w:tc>
        <w:tc>
          <w:tcPr>
            <w:tcW w:w="180" w:type="dxa"/>
            <w:vAlign w:val="bottom"/>
          </w:tcPr>
          <w:p>
            <w:pPr>
              <w:spacing w:after="0"/>
              <w:rPr>
                <w:sz w:val="16"/>
                <w:szCs w:val="16"/>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21,224,788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20,154,385</w:t>
            </w:r>
          </w:p>
        </w:tc>
      </w:tr>
      <w:tr>
        <w:trPr>
          <w:trHeight w:val="22"/>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2"/>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Weighted average diluted common shares outstanding</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21,273,552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20,205,440</w:t>
            </w:r>
          </w:p>
        </w:tc>
      </w:tr>
      <w:tr>
        <w:trPr>
          <w:trHeight w:val="19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180" w:type="dxa"/>
            <w:vAlign w:val="bottom"/>
          </w:tcPr>
          <w:p>
            <w:pPr>
              <w:spacing w:after="0"/>
              <w:rPr>
                <w:sz w:val="17"/>
                <w:szCs w:val="17"/>
                <w:color w:val="auto"/>
              </w:rPr>
            </w:pPr>
          </w:p>
        </w:tc>
        <w:tc>
          <w:tcPr>
            <w:tcW w:w="15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21,367,387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21,319,083</w:t>
            </w:r>
          </w:p>
        </w:tc>
      </w:tr>
      <w:tr>
        <w:trPr>
          <w:trHeight w:val="219"/>
        </w:trPr>
        <w:tc>
          <w:tcPr>
            <w:tcW w:w="7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197"/>
        </w:trPr>
        <w:tc>
          <w:tcPr>
            <w:tcW w:w="7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 and other financial ratios: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8"/>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ROAA</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1.23 %</w:t>
            </w:r>
          </w:p>
        </w:tc>
      </w:tr>
      <w:tr>
        <w:trPr>
          <w:trHeight w:val="191"/>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ROAE</w:t>
            </w: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12.72 %</w:t>
            </w:r>
          </w:p>
        </w:tc>
      </w:tr>
      <w:tr>
        <w:trPr>
          <w:trHeight w:val="22"/>
        </w:trPr>
        <w:tc>
          <w:tcPr>
            <w:tcW w:w="7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2"/>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3.32 %</w:t>
            </w:r>
          </w:p>
        </w:tc>
      </w:tr>
      <w:tr>
        <w:trPr>
          <w:trHeight w:val="19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Cost of funds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2.64 %</w:t>
            </w:r>
          </w:p>
        </w:tc>
      </w:tr>
      <w:tr>
        <w:trPr>
          <w:trHeight w:val="208"/>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Efficiency ratio</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41.03 %</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43.19 %</w:t>
            </w:r>
          </w:p>
        </w:tc>
      </w:tr>
      <w:tr>
        <w:trPr>
          <w:trHeight w:val="197"/>
        </w:trPr>
        <w:tc>
          <w:tcPr>
            <w:tcW w:w="78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Average equity to average assets</w:t>
            </w: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9.71 %</w:t>
            </w:r>
          </w:p>
        </w:tc>
      </w:tr>
      <w:tr>
        <w:trPr>
          <w:trHeight w:val="219"/>
        </w:trPr>
        <w:tc>
          <w:tcPr>
            <w:tcW w:w="78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 payout ratio on common stock</w:t>
            </w:r>
            <w:r>
              <w:rPr>
                <w:rFonts w:ascii="Times New Roman" w:cs="Times New Roman" w:eastAsia="Times New Roman" w:hAnsi="Times New Roman"/>
                <w:sz w:val="18"/>
                <w:szCs w:val="18"/>
                <w:color w:val="auto"/>
                <w:vertAlign w:val="superscript"/>
              </w:rPr>
              <w:t>3</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35.45 %</w:t>
            </w:r>
          </w:p>
        </w:tc>
      </w:tr>
    </w:tbl>
    <w:p>
      <w:pPr>
        <w:spacing w:after="0" w:line="198" w:lineRule="exact"/>
        <w:rPr>
          <w:sz w:val="20"/>
          <w:szCs w:val="20"/>
          <w:color w:val="auto"/>
        </w:rPr>
      </w:pPr>
    </w:p>
    <w:p>
      <w:pPr>
        <w:jc w:val="both"/>
        <w:ind w:left="390" w:hanging="390"/>
        <w:spacing w:after="0" w:line="245" w:lineRule="auto"/>
        <w:tabs>
          <w:tab w:leader="none" w:pos="39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shareholders’ equity to tangible assets is considered a non-GAAP financial measure. See the section entitled “Non-GAAP Financial Measures” for a reconciliation of our non-GAAP financial measures to the most directly 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22" w:lineRule="exact"/>
        <w:rPr>
          <w:sz w:val="20"/>
          <w:szCs w:val="20"/>
          <w:color w:val="auto"/>
        </w:rPr>
      </w:pPr>
    </w:p>
    <w:p>
      <w:pPr>
        <w:jc w:val="both"/>
        <w:ind w:left="390" w:hanging="390"/>
        <w:spacing w:after="0" w:line="242" w:lineRule="auto"/>
        <w:tabs>
          <w:tab w:leader="none" w:pos="39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24" w:lineRule="exact"/>
        <w:rPr>
          <w:sz w:val="20"/>
          <w:szCs w:val="20"/>
          <w:color w:val="auto"/>
        </w:rPr>
      </w:pPr>
    </w:p>
    <w:p>
      <w:pPr>
        <w:ind w:left="5590" w:right="3160" w:hanging="5590"/>
        <w:spacing w:after="0" w:line="934" w:lineRule="auto"/>
        <w:tabs>
          <w:tab w:leader="none" w:pos="385" w:val="left"/>
        </w:tabs>
        <w:numPr>
          <w:ilvl w:val="0"/>
          <w:numId w:val="1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Cash dividend payout ratio on common stock is calculated as dividends on common shares divided by basic earnings per common share.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-344170</wp:posOffset>
            </wp:positionV>
            <wp:extent cx="72123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940" w:right="298"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discussion of our results of operations compares the year ended December 31, 2025 to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yields/rates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Net interest income increased by $32.2 million, or 26.89%, for the year ended December 31, 2025, compared to the year ended December 31, 2024, while our net interest margin increased 23 basis points during the same period. The increase in net interest income was primarily due to an increase in interest income driven by higher average balances and yields on loans, partially offset by an increase in interest expense due to higher average balances of deposits. Additional detail relating to net interest margin in each period is provided below.</w:t>
      </w:r>
    </w:p>
    <w:p>
      <w:pPr>
        <w:spacing w:after="0" w:line="1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Average balance sheet, interest, and yield/rate analysis. </w:t>
      </w:r>
      <w:r>
        <w:rPr>
          <w:rFonts w:ascii="Times New Roman" w:cs="Times New Roman" w:eastAsia="Times New Roman" w:hAnsi="Times New Roman"/>
          <w:sz w:val="14"/>
          <w:szCs w:val="14"/>
          <w:color w:val="auto"/>
        </w:rPr>
        <w:t>Table 3 presents average balance sheet information, interest income, interest expense, and the corresponding average yield earned or rate 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each period reported. The average balances are daily averages and include both performing and nonperforming loans.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 Average Balances, Interest, and Yield/Rate</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920" w:type="dxa"/>
            <w:vAlign w:val="bottom"/>
            <w:tcBorders>
              <w:top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Average Balance</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24"/>
                <w:szCs w:val="24"/>
                <w:color w:val="auto"/>
              </w:rPr>
            </w:pPr>
          </w:p>
        </w:tc>
        <w:tc>
          <w:tcPr>
            <w:tcW w:w="11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9"/>
              </w:rPr>
              <w:t>Average Balance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24"/>
                <w:szCs w:val="24"/>
                <w:color w:val="auto"/>
              </w:rPr>
            </w:pPr>
          </w:p>
        </w:tc>
        <w:tc>
          <w:tcPr>
            <w:tcW w:w="110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396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80" w:type="dxa"/>
            <w:vAlign w:val="bottom"/>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Income/Expense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93"/>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Interest-earning deposits in banks</w:t>
            </w:r>
            <w:r>
              <w:rPr>
                <w:rFonts w:ascii="Times New Roman" w:cs="Times New Roman" w:eastAsia="Times New Roman" w:hAnsi="Times New Roman"/>
                <w:sz w:val="18"/>
                <w:szCs w:val="18"/>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407,884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17,421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4.27 %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218,156</w:t>
            </w:r>
          </w:p>
        </w:tc>
        <w:tc>
          <w:tcPr>
            <w:tcW w:w="32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1,2</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98,242</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2,298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106,289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0" w:type="dxa"/>
            <w:vAlign w:val="bottom"/>
          </w:tcPr>
          <w:p>
            <w:pPr>
              <w:spacing w:after="0"/>
              <w:rPr>
                <w:sz w:val="1"/>
                <w:szCs w:val="1"/>
                <w:color w:val="auto"/>
              </w:rPr>
            </w:pPr>
          </w:p>
        </w:tc>
      </w:tr>
      <w:tr>
        <w:trPr>
          <w:trHeight w:val="202"/>
        </w:trPr>
        <w:tc>
          <w:tcPr>
            <w:tcW w:w="4040" w:type="dxa"/>
            <w:vAlign w:val="bottom"/>
            <w:tcBorders>
              <w:bottom w:val="single" w:sz="8" w:color="CCEEFF"/>
            </w:tcBorders>
            <w:gridSpan w:val="3"/>
          </w:tcPr>
          <w:p>
            <w:pPr>
              <w:ind w:left="140"/>
              <w:spacing w:after="0" w:line="202" w:lineRule="exact"/>
              <w:rPr>
                <w:sz w:val="20"/>
                <w:szCs w:val="20"/>
                <w:color w:val="auto"/>
              </w:rPr>
            </w:pPr>
            <w:r>
              <w:rPr>
                <w:rFonts w:ascii="Times New Roman" w:cs="Times New Roman" w:eastAsia="Times New Roman" w:hAnsi="Times New Roman"/>
                <w:sz w:val="14"/>
                <w:szCs w:val="14"/>
                <w:color w:val="auto"/>
              </w:rPr>
              <w:t>Loans held for investment and sale</w:t>
            </w:r>
            <w:r>
              <w:rPr>
                <w:rFonts w:ascii="Times New Roman" w:cs="Times New Roman" w:eastAsia="Times New Roman" w:hAnsi="Times New Roman"/>
                <w:sz w:val="18"/>
                <w:szCs w:val="18"/>
                <w:color w:val="auto"/>
                <w:vertAlign w:val="superscript"/>
              </w:rPr>
              <w:t>1, 3</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3,767,199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229,214</w:t>
            </w:r>
          </w:p>
        </w:tc>
        <w:tc>
          <w:tcPr>
            <w:tcW w:w="8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6.08 %</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3,283,874</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193,341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5.89 %</w:t>
            </w:r>
          </w:p>
        </w:tc>
        <w:tc>
          <w:tcPr>
            <w:tcW w:w="0" w:type="dxa"/>
            <w:vAlign w:val="bottom"/>
          </w:tcPr>
          <w:p>
            <w:pPr>
              <w:spacing w:after="0"/>
              <w:rPr>
                <w:sz w:val="1"/>
                <w:szCs w:val="1"/>
                <w:color w:val="auto"/>
              </w:rPr>
            </w:pPr>
          </w:p>
        </w:tc>
      </w:tr>
      <w:tr>
        <w:trPr>
          <w:trHeight w:val="182"/>
        </w:trPr>
        <w:tc>
          <w:tcPr>
            <w:tcW w:w="404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4"/>
                <w:szCs w:val="14"/>
                <w:color w:val="auto"/>
              </w:rPr>
              <w:t>Total interest-earning assets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4,273,325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248,933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3,608,319</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206,951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5.74 %</w:t>
            </w:r>
          </w:p>
        </w:tc>
        <w:tc>
          <w:tcPr>
            <w:tcW w:w="0" w:type="dxa"/>
            <w:vAlign w:val="bottom"/>
          </w:tcPr>
          <w:p>
            <w:pPr>
              <w:spacing w:after="0"/>
              <w:rPr>
                <w:sz w:val="1"/>
                <w:szCs w:val="1"/>
                <w:color w:val="auto"/>
              </w:rPr>
            </w:pPr>
          </w:p>
        </w:tc>
      </w:tr>
      <w:tr>
        <w:trPr>
          <w:trHeight w:val="182"/>
        </w:trPr>
        <w:tc>
          <w:tcPr>
            <w:tcW w:w="4040" w:type="dxa"/>
            <w:vAlign w:val="bottom"/>
            <w:tcBorders>
              <w:top w:val="single" w:sz="8" w:color="CCEEFF"/>
            </w:tcBorders>
            <w:gridSpan w:val="3"/>
          </w:tcPr>
          <w:p>
            <w:pPr>
              <w:ind w:left="140"/>
              <w:spacing w:after="0" w:line="182" w:lineRule="exact"/>
              <w:rPr>
                <w:sz w:val="20"/>
                <w:szCs w:val="20"/>
                <w:color w:val="auto"/>
              </w:rPr>
            </w:pPr>
            <w:r>
              <w:rPr>
                <w:rFonts w:ascii="Times New Roman" w:cs="Times New Roman" w:eastAsia="Times New Roman" w:hAnsi="Times New Roman"/>
                <w:sz w:val="14"/>
                <w:szCs w:val="14"/>
                <w:color w:val="auto"/>
              </w:rPr>
              <w:t>Interest receivable and other assets, net</w:t>
            </w:r>
            <w:r>
              <w:rPr>
                <w:rFonts w:ascii="Times New Roman" w:cs="Times New Roman" w:eastAsia="Times New Roman" w:hAnsi="Times New Roman"/>
                <w:sz w:val="18"/>
                <w:szCs w:val="18"/>
                <w:color w:val="auto"/>
                <w:vertAlign w:val="superscript"/>
              </w:rPr>
              <w:t>4</w:t>
            </w:r>
          </w:p>
        </w:tc>
        <w:tc>
          <w:tcPr>
            <w:tcW w:w="10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105,775</w:t>
            </w:r>
          </w:p>
        </w:tc>
        <w:tc>
          <w:tcPr>
            <w:tcW w:w="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90,061</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4,379,100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3,698,380</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40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Interest-bearing transaction accounts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306,983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4,529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298,137</w:t>
            </w:r>
          </w:p>
        </w:tc>
        <w:tc>
          <w:tcPr>
            <w:tcW w:w="32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202"/>
        </w:trPr>
        <w:tc>
          <w:tcPr>
            <w:tcW w:w="4040" w:type="dxa"/>
            <w:vAlign w:val="bottom"/>
            <w:gridSpan w:val="3"/>
          </w:tcPr>
          <w:p>
            <w:pPr>
              <w:ind w:left="140"/>
              <w:spacing w:after="0" w:line="202" w:lineRule="exact"/>
              <w:rPr>
                <w:sz w:val="20"/>
                <w:szCs w:val="20"/>
                <w:color w:val="auto"/>
              </w:rPr>
            </w:pPr>
            <w:r>
              <w:rPr>
                <w:rFonts w:ascii="Times New Roman" w:cs="Times New Roman" w:eastAsia="Times New Roman" w:hAnsi="Times New Roman"/>
                <w:sz w:val="14"/>
                <w:szCs w:val="14"/>
                <w:color w:val="auto"/>
              </w:rPr>
              <w:t>Savings accounts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3,363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2.59 %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124,208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202"/>
        </w:trPr>
        <w:tc>
          <w:tcPr>
            <w:tcW w:w="4040" w:type="dxa"/>
            <w:vAlign w:val="bottom"/>
            <w:gridSpan w:val="3"/>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Money market accounts</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1,767,137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56,323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1,533,405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0" w:type="dxa"/>
            <w:vAlign w:val="bottom"/>
          </w:tcPr>
          <w:p>
            <w:pPr>
              <w:spacing w:after="0"/>
              <w:rPr>
                <w:sz w:val="1"/>
                <w:szCs w:val="1"/>
                <w:color w:val="auto"/>
              </w:rPr>
            </w:pPr>
          </w:p>
        </w:tc>
      </w:tr>
      <w:tr>
        <w:trPr>
          <w:trHeight w:val="213"/>
        </w:trPr>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Time accounts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661,321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28,167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412,007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gridSpan w:val="3"/>
            <w:shd w:val="clear" w:color="auto" w:fill="CCEEFF"/>
          </w:tcPr>
          <w:p>
            <w:pPr>
              <w:ind w:left="140"/>
              <w:spacing w:after="0" w:line="192" w:lineRule="exact"/>
              <w:rPr>
                <w:sz w:val="20"/>
                <w:szCs w:val="20"/>
                <w:color w:val="auto"/>
              </w:rPr>
            </w:pPr>
            <w:r>
              <w:rPr>
                <w:rFonts w:ascii="Times New Roman" w:cs="Times New Roman" w:eastAsia="Times New Roman" w:hAnsi="Times New Roman"/>
                <w:sz w:val="14"/>
                <w:szCs w:val="14"/>
                <w:color w:val="auto"/>
              </w:rPr>
              <w:t>Subordinated notes and other borrowings</w:t>
            </w:r>
            <w:r>
              <w:rPr>
                <w:rFonts w:ascii="Times New Roman" w:cs="Times New Roman" w:eastAsia="Times New Roman" w:hAnsi="Times New Roman"/>
                <w:sz w:val="18"/>
                <w:szCs w:val="18"/>
                <w:color w:val="auto"/>
                <w:vertAlign w:val="superscript"/>
              </w:rPr>
              <w:t>1</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73,974</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4,646</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77,335</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6.26 %</w:t>
            </w:r>
          </w:p>
        </w:tc>
        <w:tc>
          <w:tcPr>
            <w:tcW w:w="0" w:type="dxa"/>
            <w:vAlign w:val="bottom"/>
          </w:tcPr>
          <w:p>
            <w:pPr>
              <w:spacing w:after="0"/>
              <w:rPr>
                <w:sz w:val="1"/>
                <w:szCs w:val="1"/>
                <w:color w:val="auto"/>
              </w:rPr>
            </w:pPr>
          </w:p>
        </w:tc>
      </w:tr>
      <w:tr>
        <w:trPr>
          <w:trHeight w:val="187"/>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2,939,494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97,028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2,445,092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87,240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3.57 %</w:t>
            </w:r>
          </w:p>
        </w:tc>
        <w:tc>
          <w:tcPr>
            <w:tcW w:w="0" w:type="dxa"/>
            <w:vAlign w:val="bottom"/>
          </w:tcPr>
          <w:p>
            <w:pPr>
              <w:spacing w:after="0"/>
              <w:rPr>
                <w:sz w:val="1"/>
                <w:szCs w:val="1"/>
                <w:color w:val="auto"/>
              </w:rPr>
            </w:pPr>
          </w:p>
        </w:tc>
      </w:tr>
      <w:tr>
        <w:trPr>
          <w:trHeight w:val="188"/>
        </w:trPr>
        <w:tc>
          <w:tcPr>
            <w:tcW w:w="404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Demand accounts</w:t>
            </w: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988,447</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858,789</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Interest payable and other liabilities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418,069</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359,168</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4,379,100</w:t>
            </w: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3,698,380</w:t>
            </w:r>
          </w:p>
        </w:tc>
        <w:tc>
          <w:tcPr>
            <w:tcW w:w="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40" w:type="dxa"/>
            <w:vAlign w:val="bottom"/>
            <w:tcBorders>
              <w:top w:val="single" w:sz="8" w:color="CCEEFF"/>
              <w:bottom w:val="single" w:sz="8" w:color="CCEEFF"/>
            </w:tcBorders>
            <w:gridSpan w:val="3"/>
            <w:shd w:val="clear" w:color="auto" w:fill="CCEEFF"/>
          </w:tcPr>
          <w:p>
            <w:pPr>
              <w:spacing w:after="0" w:line="123" w:lineRule="exact"/>
              <w:rPr>
                <w:sz w:val="20"/>
                <w:szCs w:val="20"/>
                <w:color w:val="auto"/>
              </w:rPr>
            </w:pPr>
            <w:r>
              <w:rPr>
                <w:rFonts w:ascii="Times New Roman" w:cs="Times New Roman" w:eastAsia="Times New Roman" w:hAnsi="Times New Roman"/>
                <w:sz w:val="11"/>
                <w:szCs w:val="11"/>
                <w:color w:val="auto"/>
              </w:rPr>
              <w:t>Net interest spread</w:t>
            </w:r>
            <w:r>
              <w:rPr>
                <w:rFonts w:ascii="Times New Roman" w:cs="Times New Roman" w:eastAsia="Times New Roman" w:hAnsi="Times New Roman"/>
                <w:sz w:val="14"/>
                <w:szCs w:val="14"/>
                <w:color w:val="auto"/>
                <w:vertAlign w:val="superscript"/>
              </w:rPr>
              <w:t>5</w:t>
            </w: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2.53 %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CCEEFF"/>
              <w:bottom w:val="single" w:sz="8" w:color="auto"/>
            </w:tcBorders>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2.17 %</w:t>
            </w:r>
          </w:p>
        </w:tc>
        <w:tc>
          <w:tcPr>
            <w:tcW w:w="0" w:type="dxa"/>
            <w:vAlign w:val="bottom"/>
          </w:tcPr>
          <w:p>
            <w:pPr>
              <w:spacing w:after="0"/>
              <w:rPr>
                <w:sz w:val="1"/>
                <w:szCs w:val="1"/>
                <w:color w:val="auto"/>
              </w:rPr>
            </w:pPr>
          </w:p>
        </w:tc>
      </w:tr>
      <w:tr>
        <w:trPr>
          <w:trHeight w:val="154"/>
        </w:trPr>
        <w:tc>
          <w:tcPr>
            <w:tcW w:w="4040" w:type="dxa"/>
            <w:vAlign w:val="bottom"/>
            <w:gridSpan w:val="3"/>
          </w:tcPr>
          <w:p>
            <w:pPr>
              <w:spacing w:after="0" w:line="154" w:lineRule="exact"/>
              <w:rPr>
                <w:sz w:val="20"/>
                <w:szCs w:val="20"/>
                <w:color w:val="auto"/>
              </w:rPr>
            </w:pPr>
            <w:r>
              <w:rPr>
                <w:rFonts w:ascii="Times New Roman" w:cs="Times New Roman" w:eastAsia="Times New Roman" w:hAnsi="Times New Roman"/>
                <w:sz w:val="13"/>
                <w:szCs w:val="13"/>
                <w:color w:val="auto"/>
              </w:rPr>
              <w:t>Net interest income/margin</w:t>
            </w:r>
            <w:r>
              <w:rPr>
                <w:rFonts w:ascii="Times New Roman" w:cs="Times New Roman" w:eastAsia="Times New Roman" w:hAnsi="Times New Roman"/>
                <w:sz w:val="17"/>
                <w:szCs w:val="17"/>
                <w:color w:val="auto"/>
                <w:vertAlign w:val="superscript"/>
              </w:rPr>
              <w:t>6</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ind w:right="9"/>
              <w:spacing w:after="0" w:line="154" w:lineRule="exact"/>
              <w:rPr>
                <w:sz w:val="20"/>
                <w:szCs w:val="20"/>
                <w:color w:val="auto"/>
              </w:rPr>
            </w:pPr>
            <w:r>
              <w:rPr>
                <w:rFonts w:ascii="Times New Roman" w:cs="Times New Roman" w:eastAsia="Times New Roman" w:hAnsi="Times New Roman"/>
                <w:sz w:val="14"/>
                <w:szCs w:val="14"/>
                <w:color w:val="auto"/>
              </w:rPr>
              <w:t>151,905</w:t>
            </w:r>
          </w:p>
        </w:tc>
        <w:tc>
          <w:tcPr>
            <w:tcW w:w="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3.55 %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80" w:type="dxa"/>
            <w:vAlign w:val="bottom"/>
            <w:tcBorders>
              <w:top w:val="single" w:sz="8" w:color="auto"/>
              <w:bottom w:val="single" w:sz="8" w:color="auto"/>
            </w:tcBorders>
          </w:tcPr>
          <w:p>
            <w:pPr>
              <w:jc w:val="right"/>
              <w:ind w:right="29"/>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119,711</w:t>
            </w:r>
          </w:p>
        </w:tc>
        <w:tc>
          <w:tcPr>
            <w:tcW w:w="10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3.32 %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2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649"/>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9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52" w:name="page53"/>
    <w:bookmarkEnd w:id="52"/>
    <w:p>
      <w:pPr>
        <w:ind w:left="390" w:hanging="390"/>
        <w:spacing w:after="0"/>
        <w:tabs>
          <w:tab w:leader="none" w:pos="390"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Interest income/expense is divided by the actual number of days in the period multiplied by the actual number of days in the year to correspond to stated interest rate terms, where applicable.</w:t>
      </w:r>
    </w:p>
    <w:p>
      <w:pPr>
        <w:spacing w:after="0" w:line="135" w:lineRule="exact"/>
        <w:rPr>
          <w:sz w:val="20"/>
          <w:szCs w:val="20"/>
          <w:color w:val="auto"/>
        </w:rPr>
      </w:pPr>
    </w:p>
    <w:p>
      <w:pPr>
        <w:ind w:left="390" w:hanging="390"/>
        <w:spacing w:after="0"/>
        <w:tabs>
          <w:tab w:leader="none" w:pos="39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Yields on available-for-sale securities are calculated based on fair value. Investment security interest is earned on a 30/360 day basis monthly. Yields are not calculated on a tax-equivalent basis.</w:t>
      </w:r>
    </w:p>
    <w:p>
      <w:pPr>
        <w:spacing w:after="0" w:line="272" w:lineRule="exact"/>
        <w:rPr>
          <w:sz w:val="20"/>
          <w:szCs w:val="20"/>
          <w:color w:val="auto"/>
        </w:rPr>
      </w:pPr>
    </w:p>
    <w:p>
      <w:pPr>
        <w:ind w:left="390" w:hanging="390"/>
        <w:spacing w:after="0" w:line="231" w:lineRule="auto"/>
        <w:tabs>
          <w:tab w:leader="none" w:pos="39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pacing w:after="0" w:line="102" w:lineRule="exact"/>
        <w:rPr>
          <w:sz w:val="20"/>
          <w:szCs w:val="20"/>
          <w:color w:val="auto"/>
        </w:rPr>
      </w:pPr>
    </w:p>
    <w:p>
      <w:pPr>
        <w:ind w:left="390" w:hanging="390"/>
        <w:spacing w:after="0"/>
        <w:tabs>
          <w:tab w:leader="none" w:pos="39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Allowance for credit losses is included in interest receivable and other assets, net.</w:t>
      </w:r>
    </w:p>
    <w:p>
      <w:pPr>
        <w:spacing w:after="0" w:line="112" w:lineRule="exact"/>
        <w:rPr>
          <w:sz w:val="20"/>
          <w:szCs w:val="20"/>
          <w:color w:val="auto"/>
        </w:rPr>
      </w:pPr>
    </w:p>
    <w:p>
      <w:pPr>
        <w:ind w:left="390" w:hanging="390"/>
        <w:spacing w:after="0"/>
        <w:tabs>
          <w:tab w:leader="none" w:pos="39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spread represents the average yield earned on interest-earning assets minus the average rate paid on interest-bearing liabilities.</w:t>
      </w:r>
    </w:p>
    <w:p>
      <w:pPr>
        <w:spacing w:after="0" w:line="124" w:lineRule="exact"/>
        <w:rPr>
          <w:sz w:val="20"/>
          <w:szCs w:val="20"/>
          <w:color w:val="auto"/>
        </w:rPr>
      </w:pPr>
    </w:p>
    <w:p>
      <w:pPr>
        <w:ind w:left="390" w:hanging="390"/>
        <w:spacing w:after="0" w:line="231" w:lineRule="auto"/>
        <w:tabs>
          <w:tab w:leader="none" w:pos="39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23" w:lineRule="exact"/>
        <w:rPr>
          <w:sz w:val="20"/>
          <w:szCs w:val="20"/>
          <w:color w:val="auto"/>
        </w:rPr>
      </w:pPr>
    </w:p>
    <w:p>
      <w:pPr>
        <w:jc w:val="both"/>
        <w:ind w:left="10"/>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Analysis of changes in interest income and expenses. </w:t>
      </w:r>
      <w:r>
        <w:rPr>
          <w:rFonts w:ascii="Times New Roman" w:cs="Times New Roman" w:eastAsia="Times New Roman" w:hAnsi="Times New Roman"/>
          <w:sz w:val="14"/>
          <w:szCs w:val="14"/>
          <w:color w:val="auto"/>
        </w:rPr>
        <w:t>Increases and decreases in interest income and interest expense result from changes in average balances (volume) of interest-earning assets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interest-bearing liabilities, as well as changes in average yields/rates. Table 4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4: Interest Income and Expense Change Analysis</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7"/>
        </w:trPr>
        <w:tc>
          <w:tcPr>
            <w:tcW w:w="3140" w:type="dxa"/>
            <w:vAlign w:val="bottom"/>
            <w:tcBorders>
              <w:top w:val="single" w:sz="8" w:color="auto"/>
            </w:tcBorders>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0"/>
        </w:trPr>
        <w:tc>
          <w:tcPr>
            <w:tcW w:w="31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60" w:type="dxa"/>
            <w:vAlign w:val="bottom"/>
            <w:gridSpan w:val="6"/>
          </w:tcPr>
          <w:p>
            <w:pPr>
              <w:jc w:val="center"/>
              <w:ind w:left="729"/>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2025 compared to</w:t>
            </w:r>
          </w:p>
        </w:tc>
        <w:tc>
          <w:tcPr>
            <w:tcW w:w="1080" w:type="dxa"/>
            <w:vAlign w:val="bottom"/>
          </w:tcPr>
          <w:p>
            <w:pPr>
              <w:spacing w:after="0"/>
              <w:rPr>
                <w:sz w:val="13"/>
                <w:szCs w:val="13"/>
                <w:color w:val="auto"/>
              </w:rPr>
            </w:pPr>
          </w:p>
        </w:tc>
      </w:tr>
      <w:tr>
        <w:trPr>
          <w:trHeight w:val="192"/>
        </w:trPr>
        <w:tc>
          <w:tcPr>
            <w:tcW w:w="3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the year ended December 31, 2024</w:t>
            </w:r>
          </w:p>
        </w:tc>
        <w:tc>
          <w:tcPr>
            <w:tcW w:w="1080" w:type="dxa"/>
            <w:vAlign w:val="bottom"/>
            <w:tcBorders>
              <w:bottom w:val="single" w:sz="8" w:color="auto"/>
            </w:tcBorders>
          </w:tcPr>
          <w:p>
            <w:pPr>
              <w:spacing w:after="0"/>
              <w:rPr>
                <w:sz w:val="16"/>
                <w:szCs w:val="16"/>
                <w:color w:val="auto"/>
              </w:rPr>
            </w:pPr>
          </w:p>
        </w:tc>
      </w:tr>
      <w:tr>
        <w:trPr>
          <w:trHeight w:val="189"/>
        </w:trPr>
        <w:tc>
          <w:tcPr>
            <w:tcW w:w="3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Variance due to</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91"/>
        </w:trPr>
        <w:tc>
          <w:tcPr>
            <w:tcW w:w="6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3"/>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Interest-earning deposits with banks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w:t>
            </w:r>
          </w:p>
        </w:tc>
        <w:tc>
          <w:tcPr>
            <w:tcW w:w="48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w:t>
            </w:r>
          </w:p>
        </w:tc>
      </w:tr>
      <w:tr>
        <w:trPr>
          <w:trHeight w:val="197"/>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08"/>
        </w:trPr>
        <w:tc>
          <w:tcPr>
            <w:tcW w:w="6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and sale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35,873</w:t>
            </w:r>
          </w:p>
        </w:tc>
      </w:tr>
      <w:tr>
        <w:trPr>
          <w:trHeight w:val="182"/>
        </w:trPr>
        <w:tc>
          <w:tcPr>
            <w:tcW w:w="6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37,323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41,982</w:t>
            </w:r>
          </w:p>
        </w:tc>
      </w:tr>
      <w:tr>
        <w:trPr>
          <w:trHeight w:val="193"/>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91"/>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r>
      <w:tr>
        <w:trPr>
          <w:trHeight w:val="22"/>
        </w:trPr>
        <w:tc>
          <w:tcPr>
            <w:tcW w:w="3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2"/>
        </w:trPr>
        <w:tc>
          <w:tcPr>
            <w:tcW w:w="6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w:t>
            </w:r>
          </w:p>
        </w:tc>
      </w:tr>
      <w:tr>
        <w:trPr>
          <w:trHeight w:val="197"/>
        </w:trPr>
        <w:tc>
          <w:tcPr>
            <w:tcW w:w="6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7,819</w:t>
            </w:r>
          </w:p>
        </w:tc>
      </w:tr>
      <w:tr>
        <w:trPr>
          <w:trHeight w:val="208"/>
        </w:trPr>
        <w:tc>
          <w:tcPr>
            <w:tcW w:w="6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 and other borrowings</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8"/>
        </w:trPr>
        <w:tc>
          <w:tcPr>
            <w:tcW w:w="666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18,141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9,788</w:t>
            </w:r>
          </w:p>
        </w:tc>
      </w:tr>
      <w:tr>
        <w:trPr>
          <w:trHeight w:val="202"/>
        </w:trPr>
        <w:tc>
          <w:tcPr>
            <w:tcW w:w="666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Changes in net interest income/margin</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32,194</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14"/>
          <w:szCs w:val="14"/>
          <w:color w:val="auto"/>
        </w:rPr>
        <w:t>Net interest income during the year ended December 31, 2025 increased $32.2 million, or 26.89%, to $151.9 million, as compared to $119.7 million during the year ended December 31, 2024. Net interest margin totaled 3.55% for the year ended December 31, 2025, an increase of 23 basis points compared to the prior year. The increase in net interest income is primarily attributable to an additional $35.9 million in loan interest income due to a $483.3 million, or 14.72% increase in the average balance of loans and a 19 basis point improvement in the average yield on loans as compared to the prior year. The increase in interest income was partially offset by an additional $10.0 million in deposit interest expense due to a $627.4 million, or 19.45% increase in the average balance of deposits during the year. The average cost of deposits was 2.40% for the year ended December 31, 2025, a decrease of 16 basis points compared to the prior year which helped to moderate the increase in interest expense related to deposits.</w:t>
      </w:r>
    </w:p>
    <w:p>
      <w:pPr>
        <w:spacing w:after="0" w:line="200" w:lineRule="exact"/>
        <w:rPr>
          <w:sz w:val="20"/>
          <w:szCs w:val="20"/>
          <w:color w:val="auto"/>
        </w:rPr>
      </w:pPr>
    </w:p>
    <w:p>
      <w:pPr>
        <w:spacing w:after="0" w:line="24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2123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875" w:right="298"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credit losses inherent in our loan portfolio at the balance sheet date.</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Beginning January 1, 2023, we adopted ASC 326, which replaced the former “incurred loss” model for recognizing credit losses with an “expected loss” model referred to as the CECL model. The CECL model calculates reserves over the life of a financial instrument and is largely driven by portfolio characteristics, economic outlook, and other key methodology assumptions. Under the CECL model, the calculated allowance for credit losses was $5.3 million higher on January 1, 2023 than the allowance under the incurred loss model.</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recorded a $9.7 million provision for credit losses in the year ended December 31, 2025 compared to a $7.0 million provision for credit losses for the year ended December 31, 2024. The provision for credit losses increased $2.8 million, or 39.57%, primarily due to increases in loan growth and an overall increase in loss rates related to the annual CECL model refresh during the three months ended December 31, 2025, as compared to the prior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Non-interest income is a secondary contributor to our net income, following interest income. Non-interest income consists of service charges on deposit accounts, gain on sale of loans, loan-related fees, FHLB stock dividends, earnings on BOLI, and other income.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 details the components of non-interest income for the periods indicated.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5: Non-interest Income</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60" w:type="dxa"/>
            <w:vAlign w:val="bottom"/>
            <w:tcBorders>
              <w:top w:val="single" w:sz="8" w:color="auto"/>
            </w:tcBorders>
          </w:tcPr>
          <w:p>
            <w:pPr>
              <w:spacing w:after="0"/>
              <w:rPr>
                <w:sz w:val="17"/>
                <w:szCs w:val="17"/>
                <w:color w:val="auto"/>
              </w:rPr>
            </w:pP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line="20" w:lineRule="exact"/>
              <w:rPr>
                <w:sz w:val="1"/>
                <w:szCs w:val="1"/>
                <w:color w:val="auto"/>
              </w:rPr>
            </w:pPr>
          </w:p>
        </w:tc>
        <w:tc>
          <w:tcPr>
            <w:tcW w:w="150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15"/>
        </w:trPr>
        <w:tc>
          <w:tcPr>
            <w:tcW w:w="4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4.72 %</w:t>
            </w:r>
          </w:p>
        </w:tc>
        <w:tc>
          <w:tcPr>
            <w:tcW w:w="0" w:type="dxa"/>
            <w:vAlign w:val="bottom"/>
          </w:tcPr>
          <w:p>
            <w:pPr>
              <w:spacing w:after="0"/>
              <w:rPr>
                <w:sz w:val="1"/>
                <w:szCs w:val="1"/>
                <w:color w:val="auto"/>
              </w:rPr>
            </w:pPr>
          </w:p>
        </w:tc>
      </w:tr>
      <w:tr>
        <w:trPr>
          <w:trHeight w:val="197"/>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Gain on sale of loans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(80.85)%</w:t>
            </w:r>
          </w:p>
        </w:tc>
        <w:tc>
          <w:tcPr>
            <w:tcW w:w="0" w:type="dxa"/>
            <w:vAlign w:val="bottom"/>
          </w:tcPr>
          <w:p>
            <w:pPr>
              <w:spacing w:after="0"/>
              <w:rPr>
                <w:sz w:val="1"/>
                <w:szCs w:val="1"/>
                <w:color w:val="auto"/>
              </w:rPr>
            </w:pPr>
          </w:p>
        </w:tc>
      </w:tr>
      <w:tr>
        <w:trPr>
          <w:trHeight w:val="208"/>
        </w:trPr>
        <w:tc>
          <w:tcPr>
            <w:tcW w:w="4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fees</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34.33 %</w:t>
            </w:r>
          </w:p>
        </w:tc>
        <w:tc>
          <w:tcPr>
            <w:tcW w:w="0" w:type="dxa"/>
            <w:vAlign w:val="bottom"/>
          </w:tcPr>
          <w:p>
            <w:pPr>
              <w:spacing w:after="0"/>
              <w:rPr>
                <w:sz w:val="1"/>
                <w:szCs w:val="1"/>
                <w:color w:val="auto"/>
              </w:rPr>
            </w:pPr>
          </w:p>
        </w:tc>
      </w:tr>
      <w:tr>
        <w:trPr>
          <w:trHeight w:val="197"/>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FHLB stock dividends</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0" w:type="dxa"/>
            <w:vAlign w:val="bottom"/>
          </w:tcPr>
          <w:p>
            <w:pPr>
              <w:spacing w:after="0"/>
              <w:rPr>
                <w:sz w:val="1"/>
                <w:szCs w:val="1"/>
                <w:color w:val="auto"/>
              </w:rPr>
            </w:pPr>
          </w:p>
        </w:tc>
      </w:tr>
      <w:tr>
        <w:trPr>
          <w:trHeight w:val="199"/>
        </w:trPr>
        <w:tc>
          <w:tcPr>
            <w:tcW w:w="49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on BOLI</w:t>
            </w: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27.95 %</w:t>
            </w:r>
          </w:p>
        </w:tc>
        <w:tc>
          <w:tcPr>
            <w:tcW w:w="0" w:type="dxa"/>
            <w:vAlign w:val="bottom"/>
          </w:tcPr>
          <w:p>
            <w:pPr>
              <w:spacing w:after="0"/>
              <w:rPr>
                <w:sz w:val="1"/>
                <w:szCs w:val="1"/>
                <w:color w:val="auto"/>
              </w:rPr>
            </w:pPr>
          </w:p>
        </w:tc>
      </w:tr>
      <w:tr>
        <w:trPr>
          <w:trHeight w:val="197"/>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39.37 %</w:t>
            </w:r>
          </w:p>
        </w:tc>
        <w:tc>
          <w:tcPr>
            <w:tcW w:w="0" w:type="dxa"/>
            <w:vAlign w:val="bottom"/>
          </w:tcPr>
          <w:p>
            <w:pPr>
              <w:spacing w:after="0"/>
              <w:rPr>
                <w:sz w:val="1"/>
                <w:szCs w:val="1"/>
                <w:color w:val="auto"/>
              </w:rPr>
            </w:pPr>
          </w:p>
        </w:tc>
      </w:tr>
      <w:tr>
        <w:trPr>
          <w:trHeight w:val="202"/>
        </w:trPr>
        <w:tc>
          <w:tcPr>
            <w:tcW w:w="49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non-interest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Gain on sale of loans. </w:t>
      </w:r>
      <w:r>
        <w:rPr>
          <w:rFonts w:ascii="Times New Roman" w:cs="Times New Roman" w:eastAsia="Times New Roman" w:hAnsi="Times New Roman"/>
          <w:sz w:val="14"/>
          <w:szCs w:val="14"/>
          <w:color w:val="auto"/>
        </w:rPr>
        <w:t>The decrease related primarily to an overall decline in the volume of loans sold due to a strategic, intentional reduction in originations of loans held for sale during the second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half of the year ended December 31, 2025. During the year ended December 31, 2025, approximately $3.3 million of loans were sold with an effective yield of 7.41%, as compared to approximately $18.3 million of loans sold with an effective yield of 6.96% during the year ended December 31, 2024.</w:t>
      </w:r>
    </w:p>
    <w:p>
      <w:pPr>
        <w:spacing w:after="0" w:line="1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Loan-related fees. </w:t>
      </w:r>
      <w:r>
        <w:rPr>
          <w:rFonts w:ascii="Times New Roman" w:cs="Times New Roman" w:eastAsia="Times New Roman" w:hAnsi="Times New Roman"/>
          <w:sz w:val="14"/>
          <w:szCs w:val="14"/>
          <w:color w:val="auto"/>
        </w:rPr>
        <w:t>The increase was primarily a result of a $0.5 million increase in fees from swap referrals and a $0.2 million increase in income from credit card activity, partially offset by a $0.1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decrease in fees from SBA 7(a) loans.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Earnings on BOLI</w:t>
      </w:r>
      <w:r>
        <w:rPr>
          <w:rFonts w:ascii="Times New Roman" w:cs="Times New Roman" w:eastAsia="Times New Roman" w:hAnsi="Times New Roman"/>
          <w:sz w:val="14"/>
          <w:szCs w:val="14"/>
          <w:color w:val="auto"/>
        </w:rPr>
        <w:t>. The increase was primarily due to additional policies purchased between December 31, 2024 and December 31, 2025.</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Other income</w:t>
      </w:r>
      <w:r>
        <w:rPr>
          <w:rFonts w:ascii="Times New Roman" w:cs="Times New Roman" w:eastAsia="Times New Roman" w:hAnsi="Times New Roman"/>
          <w:sz w:val="14"/>
          <w:szCs w:val="14"/>
          <w:color w:val="auto"/>
        </w:rPr>
        <w:t>. The increase related primarily to an overall improvement in earnings related to equity investments in venture-backed funds during the year ended December 31, 2025 compared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year ended December 31, 2024.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Over the past several years, we have continued to invest significant resources in personnel, technology, and infrastructure. As we execute initiatives based on growth, we expect non-interest expense to continue to grow. Non-interest expense has increased throughout the periods presented below; however, we expect our efficiency ratio will improve going forward due, in part, to our past investment in infrastructure.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6 details the components of non-interest expense for the periods indicated.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09"/>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6: Non-interest Expense</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1720" w:type="dxa"/>
            <w:vAlign w:val="bottom"/>
            <w:tcBorders>
              <w:top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330"/>
        </w:trPr>
        <w:tc>
          <w:tcPr>
            <w:tcW w:w="4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4"/>
                <w:szCs w:val="24"/>
                <w:color w:val="auto"/>
              </w:rPr>
            </w:pPr>
          </w:p>
        </w:tc>
        <w:tc>
          <w:tcPr>
            <w:tcW w:w="1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3"/>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31,709</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19.48 %</w:t>
            </w:r>
          </w:p>
        </w:tc>
      </w:tr>
      <w:tr>
        <w:trPr>
          <w:trHeight w:val="197"/>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Occupancy and equipment</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9.23 %</w:t>
            </w:r>
          </w:p>
        </w:tc>
      </w:tr>
      <w:tr>
        <w:trPr>
          <w:trHeight w:val="208"/>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Data processing and software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20.30 %</w:t>
            </w:r>
          </w:p>
        </w:tc>
      </w:tr>
      <w:tr>
        <w:trPr>
          <w:trHeight w:val="191"/>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FDIC insurance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19.27 %</w:t>
            </w:r>
          </w:p>
        </w:tc>
      </w:tr>
      <w:tr>
        <w:trPr>
          <w:trHeight w:val="22"/>
        </w:trPr>
        <w:tc>
          <w:tcPr>
            <w:tcW w:w="17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2"/>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20.96 %</w:t>
            </w:r>
          </w:p>
        </w:tc>
      </w:tr>
      <w:tr>
        <w:trPr>
          <w:trHeight w:val="197"/>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Advertising and promotional</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31.81 %</w:t>
            </w:r>
          </w:p>
        </w:tc>
      </w:tr>
      <w:tr>
        <w:trPr>
          <w:trHeight w:val="208"/>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Loan-related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17.90 %</w:t>
            </w:r>
          </w:p>
        </w:tc>
      </w:tr>
      <w:tr>
        <w:trPr>
          <w:trHeight w:val="202"/>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operating expenses</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6,818</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16.54 %</w:t>
            </w:r>
          </w:p>
        </w:tc>
      </w:tr>
      <w:tr>
        <w:trPr>
          <w:trHeight w:val="203"/>
        </w:trPr>
        <w:tc>
          <w:tcPr>
            <w:tcW w:w="4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65,008</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54,493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19.30 %</w:t>
            </w: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Salaries and employee benefits. </w:t>
      </w:r>
      <w:r>
        <w:rPr>
          <w:rFonts w:ascii="Times New Roman" w:cs="Times New Roman" w:eastAsia="Times New Roman" w:hAnsi="Times New Roman"/>
          <w:sz w:val="14"/>
          <w:szCs w:val="14"/>
          <w:color w:val="auto"/>
        </w:rPr>
        <w:t>The increase was the result of: (i) a $6.5 million increase in salaries, benefits, and bonus expense, related to the 13.66% increase in employee headcount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and December 31, 2025; and (ii) a $1.2 million increase in commissions expense due to higher loan production. The increase was partially offset by a $1.5 million increase in deferred loan origination costs due to higher loan production period-over-period.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Occupancy and equipment</w:t>
      </w:r>
      <w:r>
        <w:rPr>
          <w:rFonts w:ascii="Times New Roman" w:cs="Times New Roman" w:eastAsia="Times New Roman" w:hAnsi="Times New Roman"/>
          <w:sz w:val="14"/>
          <w:szCs w:val="14"/>
          <w:color w:val="auto"/>
        </w:rPr>
        <w:t>. The increase was primarily due to higher rent and property management expenses for the Walnut Creek and San Francisco branch offices period-over-period.</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Data processing and software</w:t>
      </w:r>
      <w:r>
        <w:rPr>
          <w:rFonts w:ascii="Times New Roman" w:cs="Times New Roman" w:eastAsia="Times New Roman" w:hAnsi="Times New Roman"/>
          <w:sz w:val="14"/>
          <w:szCs w:val="14"/>
          <w:color w:val="auto"/>
        </w:rPr>
        <w:t>. The increase related to: (i) increased usage of our digital banking platform; (ii) higher transaction volumes related to the increased number of loan and deposit accounts;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(iii) an increased number of licenses required for new users on our loan origination and documentation system.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FDIC Insurance. </w:t>
      </w:r>
      <w:r>
        <w:rPr>
          <w:rFonts w:ascii="Times New Roman" w:cs="Times New Roman" w:eastAsia="Times New Roman" w:hAnsi="Times New Roman"/>
          <w:sz w:val="14"/>
          <w:szCs w:val="14"/>
          <w:color w:val="auto"/>
        </w:rPr>
        <w:t>The increase was primarily due to a $571.8 million increase in the assessment base period-over-period.</w:t>
      </w:r>
    </w:p>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w:t>
      </w:r>
      <w:r>
        <w:rPr>
          <w:rFonts w:ascii="Times New Roman" w:cs="Times New Roman" w:eastAsia="Times New Roman" w:hAnsi="Times New Roman"/>
          <w:sz w:val="14"/>
          <w:szCs w:val="14"/>
          <w:color w:val="auto"/>
        </w:rPr>
        <w:t>The increase was due to: (i) $0.1 million in fees paid for compensation consulting services that did not occur during 2024; (ii) a $0.2 million increase in expenses related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development consulting services; (iii) a $0.1 million increase in legal expenses; and (iv) a $0.1 million increase in recruiter fees related to the 13.66% increase in employee headcount between December 31, 2024 and December 31, 2025.</w:t>
      </w:r>
    </w:p>
    <w:p>
      <w:pPr>
        <w:spacing w:after="0" w:line="1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Advertising and promotional. </w:t>
      </w:r>
      <w:r>
        <w:rPr>
          <w:rFonts w:ascii="Times New Roman" w:cs="Times New Roman" w:eastAsia="Times New Roman" w:hAnsi="Times New Roman"/>
          <w:sz w:val="14"/>
          <w:szCs w:val="14"/>
          <w:color w:val="auto"/>
        </w:rPr>
        <w:t>The increase was primarily due to an additional $0.2 million in donations and $0.2 million related to sponsored events and partnerships, combined with $0.4 million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additional expenses incurred to support the expansion of the Bank’s business development teams, specifically related to client and prospective client development expenses.</w:t>
      </w:r>
    </w:p>
    <w:p>
      <w:pPr>
        <w:spacing w:after="0" w:line="99"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i w:val="1"/>
          <w:iCs w:val="1"/>
          <w:color w:val="auto"/>
        </w:rPr>
        <w:t xml:space="preserve">Loan-related expenses. </w:t>
      </w:r>
      <w:r>
        <w:rPr>
          <w:rFonts w:ascii="Times New Roman" w:cs="Times New Roman" w:eastAsia="Times New Roman" w:hAnsi="Times New Roman"/>
          <w:sz w:val="14"/>
          <w:szCs w:val="14"/>
          <w:color w:val="auto"/>
        </w:rPr>
        <w:t>The increase was due to an increase of $0.1 million in inspection fees and an increase of $0.1 million in loan-related legal expenses, both due to loan growth between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December 31, 2024 and December 31, 2025.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Other operating expenses</w:t>
      </w:r>
      <w:r>
        <w:rPr>
          <w:rFonts w:ascii="Times New Roman" w:cs="Times New Roman" w:eastAsia="Times New Roman" w:hAnsi="Times New Roman"/>
          <w:sz w:val="14"/>
          <w:szCs w:val="14"/>
          <w:color w:val="auto"/>
        </w:rPr>
        <w:t>. The increase was due to: (i) a $0.4 million increase in employee-related expenses, such as travel, conferences, training, and professional association memberships; (ii)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$0.2 million increase in armored car and courier expenses; (iii) a $0.2 million increase in administrative charges, including subscription services and bank charges; (iv) a $0.1 million increase in IntraFi Network fees resulting from an overall increase in balances carried in the network; (v) a $0.1 million increase in office expenses, such as check printing and supplies; and (vi) a $0.1 million increase in regulatory assessment fees.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On July 4, 2025, the President signed H.R. 1, the “One Big Beautiful Bill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These changes were not reflected in the income tax provision for the period ended December 31, 2025. The Company evaluated the impact on future periods and the legislation is not expected to have a significant impact on the Company’s consolidated financial statements.</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Provision for income taxes increased by $3.1 million, or 16.15%, to $22.1 million for the year ended December 31, 2025, as compared to $19.1 million for the year ended December 31, 2024. This increase is primarily due to a 29.37% increase in pre-tax income recognized during the year ended December 31, 2025. This was partially offset by: (i) a $0.9 million benefit recorded during the quarter ended December 31, 2025 related to the purchase of transferable federal tax credits; and (ii) a net $0.2 million reduction to the provision recorded during the quarter ended June 30, 2025. This adjustment related to a tax law change for the state of California effective as of June 30, 2025, which requires a transition from a three-factor apportionment formula to a single-sales-factor formula for determining state income tax. As such, the Company recorded a net benefit of approximately $0.9 million relating to the current year provision, which was partially offset by a $0.7 million expense relating to the remeasuring of the deferred tax assets and liabilities as of June 30, 2025. The effective tax rate was 26.42% and 29.43% for the years ended December 31, 2025 and December 31,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CONDITION SUMMARY</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following discussion compares our financial condition as of December 31, 2025 to our financial condition as of December 31, 2024. Table 7 summarizes selected components of our consolidated balance sheet as of December 31, 2025 and December 31,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7: Selected Components of Consolidated Balance Sheets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225"/>
        </w:trPr>
        <w:tc>
          <w:tcPr>
            <w:tcW w:w="3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4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3"/>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4,754,861</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4,053,278</w:t>
            </w:r>
          </w:p>
        </w:tc>
      </w:tr>
      <w:tr>
        <w:trPr>
          <w:trHeight w:val="197"/>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r>
      <w:tr>
        <w:trPr>
          <w:trHeight w:val="199"/>
        </w:trPr>
        <w:tc>
          <w:tcPr>
            <w:tcW w:w="7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investments</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r>
      <w:tr>
        <w:trPr>
          <w:trHeight w:val="197"/>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3,532,686</w:t>
            </w:r>
          </w:p>
        </w:tc>
      </w:tr>
      <w:tr>
        <w:trPr>
          <w:trHeight w:val="208"/>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4,201,084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3,557,994</w:t>
            </w:r>
          </w:p>
        </w:tc>
      </w:tr>
      <w:tr>
        <w:trPr>
          <w:trHeight w:val="197"/>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Subordinated notes, net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73,895</w:t>
            </w:r>
          </w:p>
        </w:tc>
      </w:tr>
      <w:tr>
        <w:trPr>
          <w:trHeight w:val="208"/>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shareholders’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445,832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396,624</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Assets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At December 31, 2025, total assets were $4.8 billion, an increase of $701.6 million from $4.1 billion at December 31, 2024, primarily due to a $542.2 million increase in total loans held for investment and a $154.5 million increase in cash and cash equivalents.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Total cash and cash equivalents were $506.9 million at December 31, 2025, an increase of $154.5 million from $352.3 million at December 31, 2024. The increase in cash and cash equivalents was primarily due to the net increase in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5" w:right="298"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auto"/>
        </w:rPr>
        <w:t>cash inflows from growth in total deposits of $643.1 million and cash outflows from growth in total loans held for investment of $542.2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Portfolio</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in securities with minimal credit risk and interest rate risk that is reflective of the yields obtained on those securities. Most of our securities are classified as available-for-sale, although we have one long-term, fixed rate municipal security classified as held-to-maturity.</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total securities available-for-sale and held-to-maturity amounted to $96.9 million at December 31, 2025 and $100.9 million at December 31, 2024, a decrease of $4.0 million year-over-year. The decrease was primarily due to maturities, prepayments, and calls of $9.3 million, partially offset by a purchase of a $1.0 million security and an unrealized gain on securities of $5.1 million, with the remainder of the change due to amortization of premiums. For the year ended December 31, 2025, other comprehensive gain was $3.2 million, primarily due to rate changes and other market conditions on securities during the period.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color w:val="auto"/>
        </w:rPr>
        <w:t>Table 8 presents the carrying value of our securities by their stated maturities, as well as the weighted average yields for each maturity range, as of the dates shown.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Table 8: Stated Maturities and Weighted Average Yields - Investment Securities</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Due in one year or less</w:t>
            </w:r>
          </w:p>
        </w:tc>
        <w:tc>
          <w:tcPr>
            <w:tcW w:w="80" w:type="dxa"/>
            <w:vAlign w:val="bottom"/>
          </w:tcPr>
          <w:p>
            <w:pPr>
              <w:spacing w:after="0"/>
              <w:rPr>
                <w:sz w:val="14"/>
                <w:szCs w:val="14"/>
                <w:color w:val="auto"/>
              </w:rPr>
            </w:pPr>
          </w:p>
        </w:tc>
        <w:tc>
          <w:tcPr>
            <w:tcW w:w="17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Due after one year through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vMerge w:val="restart"/>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8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1"/>
                <w:szCs w:val="11"/>
                <w:color w:val="auto"/>
              </w:rPr>
            </w:pPr>
          </w:p>
        </w:tc>
        <w:tc>
          <w:tcPr>
            <w:tcW w:w="8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1"/>
                <w:szCs w:val="11"/>
                <w:color w:val="auto"/>
              </w:rPr>
            </w:pPr>
          </w:p>
        </w:tc>
        <w:tc>
          <w:tcPr>
            <w:tcW w:w="8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8"/>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9"/>
        </w:trPr>
        <w:tc>
          <w:tcPr>
            <w:tcW w:w="24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Yield</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325"/>
        </w:trPr>
        <w:tc>
          <w:tcPr>
            <w:tcW w:w="2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0" w:type="dxa"/>
            <w:vAlign w:val="bottom"/>
          </w:tcPr>
          <w:p>
            <w:pPr>
              <w:spacing w:after="0"/>
              <w:rPr>
                <w:sz w:val="1"/>
                <w:szCs w:val="1"/>
                <w:color w:val="auto"/>
              </w:rPr>
            </w:pPr>
          </w:p>
        </w:tc>
      </w:tr>
      <w:tr>
        <w:trPr>
          <w:trHeight w:val="207"/>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44"/>
        </w:trPr>
        <w:tc>
          <w:tcPr>
            <w:tcW w:w="2500" w:type="dxa"/>
            <w:vAlign w:val="bottom"/>
            <w:gridSpan w:val="2"/>
            <w:shd w:val="clear" w:color="auto" w:fill="CCEEFF"/>
          </w:tcPr>
          <w:p>
            <w:pPr>
              <w:ind w:left="140"/>
              <w:spacing w:after="0" w:line="144"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23,383</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36,964</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0" w:type="dxa"/>
            <w:vAlign w:val="bottom"/>
          </w:tcPr>
          <w:p>
            <w:pPr>
              <w:spacing w:after="0"/>
              <w:rPr>
                <w:sz w:val="1"/>
                <w:szCs w:val="1"/>
                <w:color w:val="auto"/>
              </w:rPr>
            </w:pPr>
          </w:p>
        </w:tc>
      </w:tr>
      <w:tr>
        <w:trPr>
          <w:trHeight w:val="181"/>
        </w:trPr>
        <w:tc>
          <w:tcPr>
            <w:tcW w:w="2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208"/>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8"/>
        </w:trPr>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73,138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0" w:type="dxa"/>
            <w:vAlign w:val="bottom"/>
          </w:tcPr>
          <w:p>
            <w:pPr>
              <w:spacing w:after="0"/>
              <w:rPr>
                <w:sz w:val="1"/>
                <w:szCs w:val="1"/>
                <w:color w:val="auto"/>
              </w:rPr>
            </w:pPr>
          </w:p>
        </w:tc>
      </w:tr>
      <w:tr>
        <w:trPr>
          <w:trHeight w:val="20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50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1"/>
        </w:trPr>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5.38 %</w:t>
            </w:r>
          </w:p>
        </w:tc>
        <w:tc>
          <w:tcPr>
            <w:tcW w:w="0" w:type="dxa"/>
            <w:vAlign w:val="bottom"/>
          </w:tcPr>
          <w:p>
            <w:pPr>
              <w:spacing w:after="0"/>
              <w:rPr>
                <w:sz w:val="1"/>
                <w:szCs w:val="1"/>
                <w:color w:val="auto"/>
              </w:rPr>
            </w:pPr>
          </w:p>
        </w:tc>
      </w:tr>
      <w:tr>
        <w:trPr>
          <w:trHeight w:val="202"/>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50,062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1.75 %</w:t>
            </w:r>
          </w:p>
        </w:tc>
        <w:tc>
          <w:tcPr>
            <w:tcW w:w="0" w:type="dxa"/>
            <w:vAlign w:val="bottom"/>
          </w:tcPr>
          <w:p>
            <w:pPr>
              <w:spacing w:after="0"/>
              <w:rPr>
                <w:sz w:val="1"/>
                <w:szCs w:val="1"/>
                <w:color w:val="auto"/>
              </w:rPr>
            </w:pPr>
          </w:p>
        </w:tc>
      </w:tr>
      <w:tr>
        <w:trPr>
          <w:trHeight w:val="145"/>
        </w:trPr>
        <w:tc>
          <w:tcPr>
            <w:tcW w:w="2500" w:type="dxa"/>
            <w:vAlign w:val="bottom"/>
            <w:gridSpan w:val="2"/>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28,292</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1.74 %</w:t>
            </w:r>
          </w:p>
        </w:tc>
        <w:tc>
          <w:tcPr>
            <w:tcW w:w="0" w:type="dxa"/>
            <w:vAlign w:val="bottom"/>
          </w:tcPr>
          <w:p>
            <w:pPr>
              <w:spacing w:after="0"/>
              <w:rPr>
                <w:sz w:val="1"/>
                <w:szCs w:val="1"/>
                <w:color w:val="auto"/>
              </w:rPr>
            </w:pPr>
          </w:p>
        </w:tc>
      </w:tr>
      <w:tr>
        <w:trPr>
          <w:trHeight w:val="185"/>
        </w:trPr>
        <w:tc>
          <w:tcPr>
            <w:tcW w:w="25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208"/>
        </w:trPr>
        <w:tc>
          <w:tcPr>
            <w:tcW w:w="2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1.25 %</w:t>
            </w:r>
          </w:p>
        </w:tc>
        <w:tc>
          <w:tcPr>
            <w:tcW w:w="0" w:type="dxa"/>
            <w:vAlign w:val="bottom"/>
          </w:tcPr>
          <w:p>
            <w:pPr>
              <w:spacing w:after="0"/>
              <w:rPr>
                <w:sz w:val="1"/>
                <w:szCs w:val="1"/>
                <w:color w:val="auto"/>
              </w:rPr>
            </w:pPr>
          </w:p>
        </w:tc>
      </w:tr>
      <w:tr>
        <w:trPr>
          <w:trHeight w:val="193"/>
        </w:trPr>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4,183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2.65 %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1.70 %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84,778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0" w:type="dxa"/>
            <w:vAlign w:val="bottom"/>
          </w:tcPr>
          <w:p>
            <w:pPr>
              <w:spacing w:after="0"/>
              <w:rPr>
                <w:sz w:val="1"/>
                <w:szCs w:val="1"/>
                <w:color w:val="auto"/>
              </w:rPr>
            </w:pPr>
          </w:p>
        </w:tc>
      </w:tr>
      <w:tr>
        <w:trPr>
          <w:trHeight w:val="208"/>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Held-to-maturity: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500" w:type="dxa"/>
            <w:vAlign w:val="bottom"/>
            <w:gridSpan w:val="2"/>
          </w:tcPr>
          <w:p>
            <w:pPr>
              <w:ind w:left="140"/>
              <w:spacing w:after="0" w:line="139"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0" w:type="dxa"/>
            <w:vAlign w:val="bottom"/>
          </w:tcPr>
          <w:p>
            <w:pPr>
              <w:spacing w:after="0"/>
              <w:rPr>
                <w:sz w:val="1"/>
                <w:szCs w:val="1"/>
                <w:color w:val="auto"/>
              </w:rPr>
            </w:pPr>
          </w:p>
        </w:tc>
      </w:tr>
      <w:tr>
        <w:trPr>
          <w:trHeight w:val="181"/>
        </w:trPr>
        <w:tc>
          <w:tcPr>
            <w:tcW w:w="25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subdivisions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100,914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2.15 %</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 Yields on tax-exempt securities are not presented on a tax-equivalent basis.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Loan Portfolio</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December 31, 2025 and 2024, our total loans amounted to $4.1 billion and $3.5 billion, respectively. Table 9 presents the balance and associated percentage of each major product type within our portfolio as of the dates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9: Loans Outstanding</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580" w:type="dxa"/>
            <w:vAlign w:val="bottom"/>
            <w:tcBorders>
              <w:top w:val="single" w:sz="8" w:color="auto"/>
            </w:tcBorders>
          </w:tcPr>
          <w:p>
            <w:pPr>
              <w:spacing w:after="0"/>
              <w:rPr>
                <w:sz w:val="19"/>
                <w:szCs w:val="19"/>
                <w:color w:val="auto"/>
              </w:rPr>
            </w:pPr>
          </w:p>
        </w:tc>
        <w:tc>
          <w:tcPr>
            <w:tcW w:w="3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3"/>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3"/>
        </w:trPr>
        <w:tc>
          <w:tcPr>
            <w:tcW w:w="4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 of Loans</w:t>
            </w:r>
          </w:p>
        </w:tc>
        <w:tc>
          <w:tcPr>
            <w:tcW w:w="0" w:type="dxa"/>
            <w:vAlign w:val="bottom"/>
          </w:tcPr>
          <w:p>
            <w:pPr>
              <w:spacing w:after="0"/>
              <w:rPr>
                <w:sz w:val="1"/>
                <w:szCs w:val="1"/>
                <w:color w:val="auto"/>
              </w:rPr>
            </w:pPr>
          </w:p>
        </w:tc>
      </w:tr>
      <w:tr>
        <w:trPr>
          <w:trHeight w:val="199"/>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8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3,305,713</w:t>
            </w:r>
          </w:p>
        </w:tc>
        <w:tc>
          <w:tcPr>
            <w:tcW w:w="20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81.08 %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80.75 %</w:t>
            </w:r>
          </w:p>
        </w:tc>
        <w:tc>
          <w:tcPr>
            <w:tcW w:w="0" w:type="dxa"/>
            <w:vAlign w:val="bottom"/>
          </w:tcPr>
          <w:p>
            <w:pPr>
              <w:spacing w:after="0"/>
              <w:rPr>
                <w:sz w:val="1"/>
                <w:szCs w:val="1"/>
                <w:color w:val="auto"/>
              </w:rPr>
            </w:pPr>
          </w:p>
        </w:tc>
      </w:tr>
      <w:tr>
        <w:trPr>
          <w:trHeight w:val="197"/>
        </w:trPr>
        <w:tc>
          <w:tcPr>
            <w:tcW w:w="49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0" w:type="dxa"/>
            <w:vAlign w:val="bottom"/>
          </w:tcPr>
          <w:p>
            <w:pPr>
              <w:spacing w:after="0"/>
              <w:rPr>
                <w:sz w:val="1"/>
                <w:szCs w:val="1"/>
                <w:color w:val="auto"/>
              </w:rPr>
            </w:pPr>
          </w:p>
        </w:tc>
      </w:tr>
      <w:tr>
        <w:trPr>
          <w:trHeight w:val="208"/>
        </w:trPr>
        <w:tc>
          <w:tcPr>
            <w:tcW w:w="4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96,760</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0" w:type="dxa"/>
            <w:vAlign w:val="bottom"/>
          </w:tcPr>
          <w:p>
            <w:pPr>
              <w:spacing w:after="0"/>
              <w:rPr>
                <w:sz w:val="1"/>
                <w:szCs w:val="1"/>
                <w:color w:val="auto"/>
              </w:rPr>
            </w:pPr>
          </w:p>
        </w:tc>
      </w:tr>
      <w:tr>
        <w:trPr>
          <w:trHeight w:val="197"/>
        </w:trPr>
        <w:tc>
          <w:tcPr>
            <w:tcW w:w="49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0.21 %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0" w:type="dxa"/>
            <w:vAlign w:val="bottom"/>
          </w:tcPr>
          <w:p>
            <w:pPr>
              <w:spacing w:after="0"/>
              <w:rPr>
                <w:sz w:val="1"/>
                <w:szCs w:val="1"/>
                <w:color w:val="auto"/>
              </w:rPr>
            </w:pPr>
          </w:p>
        </w:tc>
      </w:tr>
      <w:tr>
        <w:trPr>
          <w:trHeight w:val="208"/>
        </w:trPr>
        <w:tc>
          <w:tcPr>
            <w:tcW w:w="4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0.93 %</w:t>
            </w:r>
          </w:p>
        </w:tc>
        <w:tc>
          <w:tcPr>
            <w:tcW w:w="0" w:type="dxa"/>
            <w:vAlign w:val="bottom"/>
          </w:tcPr>
          <w:p>
            <w:pPr>
              <w:spacing w:after="0"/>
              <w:rPr>
                <w:sz w:val="1"/>
                <w:szCs w:val="1"/>
                <w:color w:val="auto"/>
              </w:rPr>
            </w:pPr>
          </w:p>
        </w:tc>
      </w:tr>
      <w:tr>
        <w:trPr>
          <w:trHeight w:val="191"/>
        </w:trPr>
        <w:tc>
          <w:tcPr>
            <w:tcW w:w="49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0" w:type="dxa"/>
            <w:vAlign w:val="bottom"/>
          </w:tcPr>
          <w:p>
            <w:pPr>
              <w:spacing w:after="0"/>
              <w:rPr>
                <w:sz w:val="1"/>
                <w:szCs w:val="1"/>
                <w:color w:val="auto"/>
              </w:rPr>
            </w:pPr>
          </w:p>
        </w:tc>
      </w:tr>
      <w:tr>
        <w:trPr>
          <w:trHeight w:val="22"/>
        </w:trPr>
        <w:tc>
          <w:tcPr>
            <w:tcW w:w="1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251,736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6.17 %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4.82 %</w:t>
            </w:r>
          </w:p>
        </w:tc>
        <w:tc>
          <w:tcPr>
            <w:tcW w:w="0" w:type="dxa"/>
            <w:vAlign w:val="bottom"/>
          </w:tcPr>
          <w:p>
            <w:pPr>
              <w:spacing w:after="0"/>
              <w:rPr>
                <w:sz w:val="1"/>
                <w:szCs w:val="1"/>
                <w:color w:val="auto"/>
              </w:rPr>
            </w:pPr>
          </w:p>
        </w:tc>
      </w:tr>
      <w:tr>
        <w:trPr>
          <w:trHeight w:val="208"/>
        </w:trPr>
        <w:tc>
          <w:tcPr>
            <w:tcW w:w="4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c>
          <w:tcPr>
            <w:tcW w:w="0" w:type="dxa"/>
            <w:vAlign w:val="bottom"/>
          </w:tcPr>
          <w:p>
            <w:pPr>
              <w:spacing w:after="0"/>
              <w:rPr>
                <w:sz w:val="1"/>
                <w:szCs w:val="1"/>
                <w:color w:val="auto"/>
              </w:rPr>
            </w:pPr>
          </w:p>
        </w:tc>
      </w:tr>
      <w:tr>
        <w:trPr>
          <w:trHeight w:val="202"/>
        </w:trPr>
        <w:tc>
          <w:tcPr>
            <w:tcW w:w="4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275,475</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7.90 %</w:t>
            </w:r>
          </w:p>
        </w:tc>
        <w:tc>
          <w:tcPr>
            <w:tcW w:w="0" w:type="dxa"/>
            <w:vAlign w:val="bottom"/>
          </w:tcPr>
          <w:p>
            <w:pPr>
              <w:spacing w:after="0"/>
              <w:rPr>
                <w:sz w:val="1"/>
                <w:szCs w:val="1"/>
                <w:color w:val="auto"/>
              </w:rPr>
            </w:pPr>
          </w:p>
        </w:tc>
      </w:tr>
      <w:tr>
        <w:trPr>
          <w:trHeight w:val="198"/>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 gross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4,077,019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3,534,606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99.91 %</w:t>
            </w:r>
          </w:p>
        </w:tc>
        <w:tc>
          <w:tcPr>
            <w:tcW w:w="0" w:type="dxa"/>
            <w:vAlign w:val="bottom"/>
          </w:tcPr>
          <w:p>
            <w:pPr>
              <w:spacing w:after="0"/>
              <w:rPr>
                <w:sz w:val="1"/>
                <w:szCs w:val="1"/>
                <w:color w:val="auto"/>
              </w:rPr>
            </w:pPr>
          </w:p>
        </w:tc>
      </w:tr>
      <w:tr>
        <w:trPr>
          <w:trHeight w:val="199"/>
        </w:trPr>
        <w:tc>
          <w:tcPr>
            <w:tcW w:w="15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gross</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4,077,019</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3,537,853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color w:val="auto"/>
              </w:rPr>
              <w:t>Net deferred loan fees</w:t>
            </w: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980" w:type="dxa"/>
            <w:vAlign w:val="bottom"/>
            <w:gridSpan w:val="3"/>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498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loans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2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3,535,933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0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Residential real estate and construction real estate loans consist of loans secured by single-family and multifamily residential properties, which are both owner-occupied and investor-owned.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Farmland loans consist of loans used to purchase, refinance, or improve farmland secured by farming properties themselves. The farmland is generally located in or near our market.</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Consumer and other loans consist primarily of loans purchased in a loan purchase program with a non-bank lender, generally made to professionals for the purpose of large personal or household purchases. The loans are unsecured, fixed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59" w:name="page60"/>
    <w:bookmarkEnd w:id="59"/>
    <w:p>
      <w:pPr>
        <w:ind w:left="10"/>
        <w:spacing w:after="0"/>
        <w:rPr>
          <w:sz w:val="20"/>
          <w:szCs w:val="20"/>
          <w:color w:val="auto"/>
        </w:rPr>
      </w:pPr>
      <w:r>
        <w:rPr>
          <w:rFonts w:ascii="Times New Roman" w:cs="Times New Roman" w:eastAsia="Times New Roman" w:hAnsi="Times New Roman"/>
          <w:sz w:val="14"/>
          <w:szCs w:val="14"/>
          <w:color w:val="auto"/>
        </w:rPr>
        <w:t>rate loans. Consumer and other loans also include loans purchased or originated through financing partnerships which are no longer active.</w:t>
      </w:r>
    </w:p>
    <w:p>
      <w:pPr>
        <w:spacing w:after="0" w:line="158"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4"/>
          <w:szCs w:val="14"/>
          <w:color w:val="auto"/>
        </w:rPr>
        <w:t>Table 10 presents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may be obtained for loans that are downgraded to watch or substandard. Loans over $2.0 million are reviewed annually, at which time an internal assessment of collateral values is completed.</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10: Commercial Real Estate Loans</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Loan Balance</w:t>
            </w:r>
          </w:p>
        </w:tc>
        <w:tc>
          <w:tcPr>
            <w:tcW w:w="100" w:type="dxa"/>
            <w:vAlign w:val="bottom"/>
          </w:tcPr>
          <w:p>
            <w:pPr>
              <w:spacing w:after="0"/>
              <w:rPr>
                <w:sz w:val="14"/>
                <w:szCs w:val="14"/>
                <w:color w:val="auto"/>
              </w:rPr>
            </w:pPr>
          </w:p>
        </w:tc>
        <w:tc>
          <w:tcPr>
            <w:tcW w:w="15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Commercial Real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Collateral Value</w:t>
            </w:r>
          </w:p>
        </w:tc>
        <w:tc>
          <w:tcPr>
            <w:tcW w:w="80" w:type="dxa"/>
            <w:vAlign w:val="bottom"/>
          </w:tcPr>
          <w:p>
            <w:pPr>
              <w:spacing w:after="0"/>
              <w:rPr>
                <w:sz w:val="14"/>
                <w:szCs w:val="14"/>
                <w:color w:val="auto"/>
              </w:rPr>
            </w:pPr>
          </w:p>
        </w:tc>
        <w:tc>
          <w:tcPr>
            <w:tcW w:w="15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Minimum LTV</w:t>
            </w:r>
          </w:p>
        </w:tc>
        <w:tc>
          <w:tcPr>
            <w:tcW w:w="100" w:type="dxa"/>
            <w:vAlign w:val="bottom"/>
          </w:tcPr>
          <w:p>
            <w:pPr>
              <w:spacing w:after="0"/>
              <w:rPr>
                <w:sz w:val="14"/>
                <w:szCs w:val="14"/>
                <w:color w:val="auto"/>
              </w:rPr>
            </w:pPr>
          </w:p>
        </w:tc>
        <w:tc>
          <w:tcPr>
            <w:tcW w:w="154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Maximum LTV</w:t>
            </w:r>
          </w:p>
        </w:tc>
        <w:tc>
          <w:tcPr>
            <w:tcW w:w="0" w:type="dxa"/>
            <w:vAlign w:val="bottom"/>
          </w:tcPr>
          <w:p>
            <w:pPr>
              <w:spacing w:after="0"/>
              <w:rPr>
                <w:sz w:val="1"/>
                <w:szCs w:val="1"/>
                <w:color w:val="auto"/>
              </w:rPr>
            </w:pPr>
          </w:p>
        </w:tc>
      </w:tr>
      <w:tr>
        <w:trPr>
          <w:trHeight w:val="187"/>
        </w:trPr>
        <w:tc>
          <w:tcPr>
            <w:tcW w:w="33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1,025,386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31.02 %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1,820,597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16.16 %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73.59 %</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RV Park</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412,955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742,097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17.56 %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74.70 %</w:t>
            </w:r>
          </w:p>
        </w:tc>
        <w:tc>
          <w:tcPr>
            <w:tcW w:w="0" w:type="dxa"/>
            <w:vAlign w:val="bottom"/>
          </w:tcPr>
          <w:p>
            <w:pPr>
              <w:spacing w:after="0"/>
              <w:rPr>
                <w:sz w:val="1"/>
                <w:szCs w:val="1"/>
                <w:color w:val="auto"/>
              </w:rPr>
            </w:pPr>
          </w:p>
        </w:tc>
      </w:tr>
      <w:tr>
        <w:trPr>
          <w:trHeight w:val="191"/>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668,216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74.23 %</w:t>
            </w:r>
          </w:p>
        </w:tc>
        <w:tc>
          <w:tcPr>
            <w:tcW w:w="0" w:type="dxa"/>
            <w:vAlign w:val="bottom"/>
          </w:tcPr>
          <w:p>
            <w:pPr>
              <w:spacing w:after="0"/>
              <w:rPr>
                <w:sz w:val="1"/>
                <w:szCs w:val="1"/>
                <w:color w:val="auto"/>
              </w:rPr>
            </w:pPr>
          </w:p>
        </w:tc>
      </w:tr>
      <w:tr>
        <w:trPr>
          <w:trHeight w:val="22"/>
        </w:trPr>
        <w:tc>
          <w:tcPr>
            <w:tcW w:w="2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Multifamily</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286,064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618,588</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79.21 %</w:t>
            </w: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Industrial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563,631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0.99 %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91.33 %</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Faith-based</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193,362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513,107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Mini storage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190,252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381,810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14.63 %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70.00 %</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175,767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404,727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74.95 %</w:t>
            </w:r>
          </w:p>
        </w:tc>
        <w:tc>
          <w:tcPr>
            <w:tcW w:w="0" w:type="dxa"/>
            <w:vAlign w:val="bottom"/>
          </w:tcPr>
          <w:p>
            <w:pPr>
              <w:spacing w:after="0"/>
              <w:rPr>
                <w:sz w:val="1"/>
                <w:szCs w:val="1"/>
                <w:color w:val="auto"/>
              </w:rPr>
            </w:pPr>
          </w:p>
        </w:tc>
      </w:tr>
      <w:tr>
        <w:trPr>
          <w:trHeight w:val="202"/>
        </w:trPr>
        <w:tc>
          <w:tcPr>
            <w:tcW w:w="3340" w:type="dxa"/>
            <w:vAlign w:val="bottom"/>
            <w:tcBorders>
              <w:bottom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457,023</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13.82 %</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966,325</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0.79 %</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134.52 %</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3,305,713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6,679,098</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Manufactured home community</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891,935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31.22 %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1,586,109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14.24 %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74.52 %</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RV Park</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371,733</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648,272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Retail</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283,394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9.92 %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569,677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6.49 %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72.80 %</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Industrial</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224,860</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500,307</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73.91 %</w:t>
            </w: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Faith-based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492,030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9.35 %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74.67 %</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Mini storage</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177,854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361,437</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16.23 %</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69.19 %</w:t>
            </w:r>
          </w:p>
        </w:tc>
        <w:tc>
          <w:tcPr>
            <w:tcW w:w="0" w:type="dxa"/>
            <w:vAlign w:val="bottom"/>
          </w:tcPr>
          <w:p>
            <w:pPr>
              <w:spacing w:after="0"/>
              <w:rPr>
                <w:sz w:val="1"/>
                <w:szCs w:val="1"/>
                <w:color w:val="auto"/>
              </w:rPr>
            </w:pPr>
          </w:p>
        </w:tc>
      </w:tr>
      <w:tr>
        <w:trPr>
          <w:trHeight w:val="197"/>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Multifamily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172,592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371,634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14.35 %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75.00 %</w:t>
            </w:r>
          </w:p>
        </w:tc>
        <w:tc>
          <w:tcPr>
            <w:tcW w:w="0" w:type="dxa"/>
            <w:vAlign w:val="bottom"/>
          </w:tcPr>
          <w:p>
            <w:pPr>
              <w:spacing w:after="0"/>
              <w:rPr>
                <w:sz w:val="1"/>
                <w:szCs w:val="1"/>
                <w:color w:val="auto"/>
              </w:rPr>
            </w:pPr>
          </w:p>
        </w:tc>
      </w:tr>
      <w:tr>
        <w:trPr>
          <w:trHeight w:val="208"/>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145,986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338,474</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73.64 %</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All other types</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404,668</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855,084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112.07 %</w:t>
            </w:r>
          </w:p>
        </w:tc>
        <w:tc>
          <w:tcPr>
            <w:tcW w:w="0" w:type="dxa"/>
            <w:vAlign w:val="bottom"/>
          </w:tcPr>
          <w:p>
            <w:pPr>
              <w:spacing w:after="0"/>
              <w:rPr>
                <w:sz w:val="1"/>
                <w:szCs w:val="1"/>
                <w:color w:val="auto"/>
              </w:rPr>
            </w:pPr>
          </w:p>
        </w:tc>
      </w:tr>
      <w:tr>
        <w:trPr>
          <w:trHeight w:val="213"/>
        </w:trPr>
        <w:tc>
          <w:tcPr>
            <w:tcW w:w="3340" w:type="dxa"/>
            <w:vAlign w:val="bottom"/>
            <w:gridSpan w:val="2"/>
            <w:shd w:val="clear" w:color="auto" w:fill="CCEEFF"/>
          </w:tcPr>
          <w:p>
            <w:pPr>
              <w:ind w:left="140"/>
              <w:spacing w:after="0" w:line="193" w:lineRule="exact"/>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18"/>
                <w:szCs w:val="18"/>
                <w:color w:val="auto"/>
                <w:vertAlign w:val="superscript"/>
              </w:rPr>
              <w:t>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5,723,024</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90" w:hanging="390"/>
        <w:spacing w:after="0"/>
        <w:tabs>
          <w:tab w:leader="none" w:pos="39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Types of collateral in the “all other types” category are those that individually make up less than 5.00% of the commercial real estate concentration.</w:t>
      </w:r>
    </w:p>
    <w:p>
      <w:pPr>
        <w:spacing w:after="0" w:line="112" w:lineRule="exact"/>
        <w:rPr>
          <w:sz w:val="20"/>
          <w:szCs w:val="20"/>
          <w:color w:val="auto"/>
        </w:rPr>
      </w:pPr>
    </w:p>
    <w:p>
      <w:pPr>
        <w:ind w:left="390" w:hanging="390"/>
        <w:spacing w:after="0"/>
        <w:tabs>
          <w:tab w:leader="none" w:pos="39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Minimum LTV and maximum LTV not shown for aggregated totals, as such values are meaningful only when presented by specific category.</w:t>
      </w:r>
    </w:p>
    <w:p>
      <w:pPr>
        <w:spacing w:after="0" w:line="124" w:lineRule="exact"/>
        <w:rPr>
          <w:sz w:val="20"/>
          <w:szCs w:val="20"/>
          <w:color w:val="auto"/>
        </w:rPr>
      </w:pPr>
    </w:p>
    <w:p>
      <w:pPr>
        <w:jc w:val="both"/>
        <w:ind w:left="10"/>
        <w:spacing w:after="0" w:line="265" w:lineRule="auto"/>
        <w:rPr>
          <w:sz w:val="20"/>
          <w:szCs w:val="20"/>
          <w:color w:val="auto"/>
        </w:rPr>
      </w:pPr>
      <w:r>
        <w:rPr>
          <w:rFonts w:ascii="Times New Roman" w:cs="Times New Roman" w:eastAsia="Times New Roman" w:hAnsi="Times New Roman"/>
          <w:sz w:val="14"/>
          <w:szCs w:val="14"/>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83.49% of loans held for investment at December 31, 2025. Commercial secured lending represents 6.17% of loans held for investment at December 31, 2025. We sell the guaranteed portion of all SBA 7(a) loans in the secondary market and will continue to do so as long as market conditions continue to be favorable.</w:t>
      </w:r>
    </w:p>
    <w:p>
      <w:pPr>
        <w:spacing w:after="0" w:line="109" w:lineRule="exact"/>
        <w:rPr>
          <w:sz w:val="20"/>
          <w:szCs w:val="20"/>
          <w:color w:val="auto"/>
        </w:rPr>
      </w:pPr>
    </w:p>
    <w:p>
      <w:pPr>
        <w:jc w:val="both"/>
        <w:ind w:left="10"/>
        <w:spacing w:after="0" w:line="288" w:lineRule="auto"/>
        <w:rPr>
          <w:sz w:val="20"/>
          <w:szCs w:val="20"/>
          <w:color w:val="auto"/>
        </w:rPr>
      </w:pPr>
      <w:r>
        <w:rPr>
          <w:rFonts w:ascii="Times New Roman" w:cs="Times New Roman" w:eastAsia="Times New Roman" w:hAnsi="Times New Roman"/>
          <w:sz w:val="14"/>
          <w:szCs w:val="14"/>
          <w:color w:val="auto"/>
        </w:rPr>
        <w:t>We recognize that our commercial real estate loan concentration is significant within our balance sheet. Commercial real estate loan balances as a percentage of risk-based capital were 594.17% and 571.91% as of December 31, 2025 and</w:t>
      </w: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123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897" w:right="298" w:bottom="1440" w:gutter="0" w:footer="0" w:header="0"/>
        </w:sectPr>
      </w:pPr>
    </w:p>
    <w:bookmarkStart w:id="60" w:name="page61"/>
    <w:bookmarkEnd w:id="60"/>
    <w:p>
      <w:pPr>
        <w:jc w:val="both"/>
        <w:spacing w:after="0" w:line="271" w:lineRule="auto"/>
        <w:rPr>
          <w:sz w:val="20"/>
          <w:szCs w:val="20"/>
          <w:color w:val="auto"/>
        </w:rPr>
      </w:pPr>
      <w:r>
        <w:rPr>
          <w:rFonts w:ascii="Times New Roman" w:cs="Times New Roman" w:eastAsia="Times New Roman" w:hAnsi="Times New Roman"/>
          <w:sz w:val="14"/>
          <w:szCs w:val="14"/>
          <w:color w:val="auto"/>
        </w:rPr>
        <w:t>December 31, 2024, respectively. We have established internal concentration limits in the loan portfolio for commercial real estate loans by sector (e.g., manufactured home communities, self-storage, hospitality, etc.). All loan sectors were within our established limits as of December 31, 2025. Additionally, our loans are geographically concentrated with borrowers and collateralized properties primarily in California.</w:t>
      </w:r>
    </w:p>
    <w:p>
      <w:pPr>
        <w:spacing w:after="0" w:line="1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11 sets forth the contractual maturities and sensitivity to interest rate changes of our loan portfolio as of the dates shown.</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Table 11: Contractual Maturities and Sensitivity to Interest Rate Changes - Gross Loans</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Due after 1 year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Due after 5 years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Due after 15 years</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220" w:type="dxa"/>
            <w:vAlign w:val="bottom"/>
            <w:vMerge w:val="continue"/>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through 5 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through 15 years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Loans with fixed interest rates:</w:t>
            </w: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76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676,426</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7,490</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w:t>
            </w:r>
          </w:p>
        </w:tc>
        <w:tc>
          <w:tcPr>
            <w:tcW w:w="0" w:type="dxa"/>
            <w:vAlign w:val="bottom"/>
          </w:tcPr>
          <w:p>
            <w:pPr>
              <w:spacing w:after="0"/>
              <w:rPr>
                <w:sz w:val="1"/>
                <w:szCs w:val="1"/>
                <w:color w:val="auto"/>
              </w:rPr>
            </w:pPr>
          </w:p>
        </w:tc>
      </w:tr>
      <w:tr>
        <w:trPr>
          <w:trHeight w:val="18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55,766</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29,256</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and other</w:t>
            </w:r>
          </w:p>
        </w:tc>
        <w:tc>
          <w:tcPr>
            <w:tcW w:w="7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257,472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275,323</w:t>
            </w:r>
          </w:p>
        </w:tc>
        <w:tc>
          <w:tcPr>
            <w:tcW w:w="0" w:type="dxa"/>
            <w:vAlign w:val="bottom"/>
          </w:tcPr>
          <w:p>
            <w:pPr>
              <w:spacing w:after="0"/>
              <w:rPr>
                <w:sz w:val="1"/>
                <w:szCs w:val="1"/>
                <w:color w:val="auto"/>
              </w:rPr>
            </w:pPr>
          </w:p>
        </w:tc>
      </w:tr>
      <w:tr>
        <w:trPr>
          <w:trHeight w:val="193"/>
        </w:trPr>
        <w:tc>
          <w:tcPr>
            <w:tcW w:w="4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loans with fixed interest rates</w:t>
            </w:r>
          </w:p>
        </w:tc>
        <w:tc>
          <w:tcPr>
            <w:tcW w:w="7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34,579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341,037</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669,450</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1,049,049</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Loans with floating or adjustable interest rates:</w:t>
            </w: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2,257,847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67,435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2,629,287</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96,760</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30,076</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54,994</w:t>
            </w: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195,970</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11,166</w:t>
            </w:r>
          </w:p>
        </w:tc>
        <w:tc>
          <w:tcPr>
            <w:tcW w:w="0" w:type="dxa"/>
            <w:vAlign w:val="bottom"/>
          </w:tcPr>
          <w:p>
            <w:pPr>
              <w:spacing w:after="0"/>
              <w:rPr>
                <w:sz w:val="1"/>
                <w:szCs w:val="1"/>
                <w:color w:val="auto"/>
              </w:rPr>
            </w:pPr>
          </w:p>
        </w:tc>
      </w:tr>
      <w:tr>
        <w:trPr>
          <w:trHeight w:val="202"/>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and other</w:t>
            </w:r>
          </w:p>
        </w:tc>
        <w:tc>
          <w:tcPr>
            <w:tcW w:w="7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193"/>
        </w:trPr>
        <w:tc>
          <w:tcPr>
            <w:tcW w:w="4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loans with floating or adjustable interest rates</w:t>
            </w:r>
          </w:p>
        </w:tc>
        <w:tc>
          <w:tcPr>
            <w:tcW w:w="7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105,289</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419,759</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2,411,500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91,422</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3,027,970</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7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549,197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2,624,365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71,006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3,305,713</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7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96,760</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37,566</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59,606</w:t>
            </w:r>
          </w:p>
        </w:tc>
        <w:tc>
          <w:tcPr>
            <w:tcW w:w="0" w:type="dxa"/>
            <w:vAlign w:val="bottom"/>
          </w:tcPr>
          <w:p>
            <w:pPr>
              <w:spacing w:after="0"/>
              <w:rPr>
                <w:sz w:val="1"/>
                <w:szCs w:val="1"/>
                <w:color w:val="auto"/>
              </w:rPr>
            </w:pPr>
          </w:p>
        </w:tc>
      </w:tr>
      <w:tr>
        <w:trPr>
          <w:trHeight w:val="18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251,736</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7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and other</w:t>
            </w:r>
          </w:p>
        </w:tc>
        <w:tc>
          <w:tcPr>
            <w:tcW w:w="7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257,472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275,475</w:t>
            </w:r>
          </w:p>
        </w:tc>
        <w:tc>
          <w:tcPr>
            <w:tcW w:w="0" w:type="dxa"/>
            <w:vAlign w:val="bottom"/>
          </w:tcPr>
          <w:p>
            <w:pPr>
              <w:spacing w:after="0"/>
              <w:rPr>
                <w:sz w:val="1"/>
                <w:szCs w:val="1"/>
                <w:color w:val="auto"/>
              </w:rPr>
            </w:pPr>
          </w:p>
        </w:tc>
      </w:tr>
      <w:tr>
        <w:trPr>
          <w:trHeight w:val="193"/>
        </w:trPr>
        <w:tc>
          <w:tcPr>
            <w:tcW w:w="4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loans</w:t>
            </w:r>
          </w:p>
        </w:tc>
        <w:tc>
          <w:tcPr>
            <w:tcW w:w="7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139,868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760,796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3,080,950</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95,405</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4,077,019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59</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32" w:right="298"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auto"/>
        </w:rPr>
        <w:t>Table 11: Contractual Maturities and Sensitivity to Interest Rate Changes - Gross Loans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Due after 1 year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Due after 5 years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Due after 15 years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220" w:type="dxa"/>
            <w:vAlign w:val="bottom"/>
            <w:vMerge w:val="continue"/>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through 5 years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through 15 years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Loans with fixed interest rates:</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386,310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587,825</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4,495</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w:t>
            </w:r>
          </w:p>
        </w:tc>
        <w:tc>
          <w:tcPr>
            <w:tcW w:w="0" w:type="dxa"/>
            <w:vAlign w:val="bottom"/>
          </w:tcPr>
          <w:p>
            <w:pPr>
              <w:spacing w:after="0"/>
              <w:rPr>
                <w:sz w:val="1"/>
                <w:szCs w:val="1"/>
                <w:color w:val="auto"/>
              </w:rPr>
            </w:pPr>
          </w:p>
        </w:tc>
      </w:tr>
      <w:tr>
        <w:trPr>
          <w:trHeight w:val="18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48,587</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19,988</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265,459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279,458</w:t>
            </w:r>
          </w:p>
        </w:tc>
        <w:tc>
          <w:tcPr>
            <w:tcW w:w="0" w:type="dxa"/>
            <w:vAlign w:val="bottom"/>
          </w:tcPr>
          <w:p>
            <w:pPr>
              <w:spacing w:after="0"/>
              <w:rPr>
                <w:sz w:val="1"/>
                <w:szCs w:val="1"/>
                <w:color w:val="auto"/>
              </w:rPr>
            </w:pPr>
          </w:p>
        </w:tc>
      </w:tr>
      <w:tr>
        <w:trPr>
          <w:trHeight w:val="193"/>
        </w:trPr>
        <w:tc>
          <w:tcPr>
            <w:tcW w:w="4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loans with fixed interest rates</w:t>
            </w: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20,066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238,008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688,135</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946,642</w:t>
            </w:r>
          </w:p>
        </w:tc>
        <w:tc>
          <w:tcPr>
            <w:tcW w:w="0" w:type="dxa"/>
            <w:vAlign w:val="bottom"/>
          </w:tcPr>
          <w:p>
            <w:pPr>
              <w:spacing w:after="0"/>
              <w:rPr>
                <w:sz w:val="1"/>
                <w:szCs w:val="1"/>
                <w:color w:val="auto"/>
              </w:rPr>
            </w:pPr>
          </w:p>
        </w:tc>
      </w:tr>
      <w:tr>
        <w:trPr>
          <w:trHeight w:val="204"/>
        </w:trPr>
        <w:tc>
          <w:tcPr>
            <w:tcW w:w="4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Loans with floating or adjustable interest rates:</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177,584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1,997,345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2,269,348</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0" w:type="dxa"/>
            <w:vAlign w:val="bottom"/>
          </w:tcPr>
          <w:p>
            <w:pPr>
              <w:spacing w:after="0"/>
              <w:rPr>
                <w:sz w:val="1"/>
                <w:szCs w:val="1"/>
                <w:color w:val="auto"/>
              </w:rPr>
            </w:pPr>
          </w:p>
        </w:tc>
      </w:tr>
      <w:tr>
        <w:trPr>
          <w:trHeight w:val="19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28,279</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42,368</w:t>
            </w:r>
          </w:p>
        </w:tc>
        <w:tc>
          <w:tcPr>
            <w:tcW w:w="0" w:type="dxa"/>
            <w:vAlign w:val="bottom"/>
          </w:tcPr>
          <w:p>
            <w:pPr>
              <w:spacing w:after="0"/>
              <w:rPr>
                <w:sz w:val="1"/>
                <w:szCs w:val="1"/>
                <w:color w:val="auto"/>
              </w:rPr>
            </w:pPr>
          </w:p>
        </w:tc>
      </w:tr>
      <w:tr>
        <w:trPr>
          <w:trHeight w:val="188"/>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125,208</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7,570</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loans with floating or adjustable interest rates</w:t>
            </w: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90,352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2,146,685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76,653</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2,591,211</w:t>
            </w:r>
          </w:p>
        </w:tc>
        <w:tc>
          <w:tcPr>
            <w:tcW w:w="0" w:type="dxa"/>
            <w:vAlign w:val="bottom"/>
          </w:tcPr>
          <w:p>
            <w:pPr>
              <w:spacing w:after="0"/>
              <w:rPr>
                <w:sz w:val="1"/>
                <w:szCs w:val="1"/>
                <w:color w:val="auto"/>
              </w:rPr>
            </w:pPr>
          </w:p>
        </w:tc>
      </w:tr>
      <w:tr>
        <w:trPr>
          <w:trHeight w:val="193"/>
        </w:trPr>
        <w:tc>
          <w:tcPr>
            <w:tcW w:w="4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Real estate:</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2,383,655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75,759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2,857,173</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0" w:type="dxa"/>
            <w:vAlign w:val="bottom"/>
          </w:tcPr>
          <w:p>
            <w:pPr>
              <w:spacing w:after="0"/>
              <w:rPr>
                <w:sz w:val="1"/>
                <w:szCs w:val="1"/>
                <w:color w:val="auto"/>
              </w:rPr>
            </w:pPr>
          </w:p>
        </w:tc>
      </w:tr>
      <w:tr>
        <w:trPr>
          <w:trHeight w:val="202"/>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0" w:type="dxa"/>
            <w:vAlign w:val="bottom"/>
          </w:tcPr>
          <w:p>
            <w:pPr>
              <w:spacing w:after="0"/>
              <w:rPr>
                <w:sz w:val="1"/>
                <w:szCs w:val="1"/>
                <w:color w:val="auto"/>
              </w:rPr>
            </w:pPr>
          </w:p>
        </w:tc>
      </w:tr>
      <w:tr>
        <w:trPr>
          <w:trHeight w:val="213"/>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9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47,241</w:t>
            </w:r>
          </w:p>
        </w:tc>
        <w:tc>
          <w:tcPr>
            <w:tcW w:w="0" w:type="dxa"/>
            <w:vAlign w:val="bottom"/>
          </w:tcPr>
          <w:p>
            <w:pPr>
              <w:spacing w:after="0"/>
              <w:rPr>
                <w:sz w:val="1"/>
                <w:szCs w:val="1"/>
                <w:color w:val="auto"/>
              </w:rPr>
            </w:pPr>
          </w:p>
        </w:tc>
      </w:tr>
      <w:tr>
        <w:trPr>
          <w:trHeight w:val="181"/>
        </w:trPr>
        <w:tc>
          <w:tcPr>
            <w:tcW w:w="4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70,035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173,795</w:t>
            </w:r>
          </w:p>
        </w:tc>
        <w:tc>
          <w:tcPr>
            <w:tcW w:w="0" w:type="dxa"/>
            <w:vAlign w:val="bottom"/>
          </w:tcPr>
          <w:p>
            <w:pPr>
              <w:spacing w:after="0"/>
              <w:rPr>
                <w:sz w:val="1"/>
                <w:szCs w:val="1"/>
                <w:color w:val="auto"/>
              </w:rPr>
            </w:pPr>
          </w:p>
        </w:tc>
      </w:tr>
      <w:tr>
        <w:trPr>
          <w:trHeight w:val="207"/>
        </w:trPr>
        <w:tc>
          <w:tcPr>
            <w:tcW w:w="4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 and other</w:t>
            </w: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265,459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279,584</w:t>
            </w:r>
          </w:p>
        </w:tc>
        <w:tc>
          <w:tcPr>
            <w:tcW w:w="0" w:type="dxa"/>
            <w:vAlign w:val="bottom"/>
          </w:tcPr>
          <w:p>
            <w:pPr>
              <w:spacing w:after="0"/>
              <w:rPr>
                <w:sz w:val="1"/>
                <w:szCs w:val="1"/>
                <w:color w:val="auto"/>
              </w:rPr>
            </w:pPr>
          </w:p>
        </w:tc>
      </w:tr>
      <w:tr>
        <w:trPr>
          <w:trHeight w:val="193"/>
        </w:trPr>
        <w:tc>
          <w:tcPr>
            <w:tcW w:w="42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loans</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110,418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515,529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2,834,820</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77,086</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3,537,853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4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9"/>
              </w:rPr>
              <w:t>60</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40" w:right="298"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ACL. We periodically employ the 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Nonperforming Assets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SBA Loans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During 2025, the Company sold 10 SBA 7(a) loans with government-guaranteed portions totaling approximately $3.3 million. The decrease in sales from prior years is due to a strategic, intentional reduction in originations of loans held for sale. The Company received gross proceeds of $3.5 million on the loans sold in 2025, resulting in a net gain on sale of $0.2 million.</w:t>
      </w:r>
    </w:p>
    <w:p>
      <w:pPr>
        <w:spacing w:after="0" w:line="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During 2024, the Company sold 56 SBA 7(a) loans with government-guaranteed portions totaling approximately $18.3 million. The Company received gross proceeds of $19.6 million on the loans sold in 2024, resulting in a net gain on sale of $1.3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53" w:right="298"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6"/>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Non-accrual Loans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09"/>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12 provides details of our nonperforming and restructured assets and certain other related information as of the dates presented: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12: Nonperforming and Restructured Assets</w:t>
            </w: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5"/>
        </w:trPr>
        <w:tc>
          <w:tcPr>
            <w:tcW w:w="7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72"/>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Non-accrual loans: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88"/>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5"/>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2,666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1,750</w:t>
            </w:r>
          </w:p>
        </w:tc>
      </w:tr>
      <w:tr>
        <w:trPr>
          <w:trHeight w:val="181"/>
        </w:trPr>
        <w:tc>
          <w:tcPr>
            <w:tcW w:w="7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1"/>
        </w:trPr>
        <w:tc>
          <w:tcPr>
            <w:tcW w:w="7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Secured</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48</w:t>
            </w:r>
          </w:p>
        </w:tc>
      </w:tr>
      <w:tr>
        <w:trPr>
          <w:trHeight w:val="193"/>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non-accrual loans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1,798</w:t>
            </w:r>
          </w:p>
        </w:tc>
      </w:tr>
      <w:tr>
        <w:trPr>
          <w:trHeight w:val="108"/>
        </w:trPr>
        <w:tc>
          <w:tcPr>
            <w:tcW w:w="2860" w:type="dxa"/>
            <w:vAlign w:val="bottom"/>
            <w:shd w:val="clear" w:color="auto" w:fill="CCEEFF"/>
          </w:tcPr>
          <w:p>
            <w:pPr>
              <w:spacing w:after="0"/>
              <w:rPr>
                <w:sz w:val="9"/>
                <w:szCs w:val="9"/>
                <w:color w:val="auto"/>
              </w:rPr>
            </w:pPr>
          </w:p>
        </w:tc>
        <w:tc>
          <w:tcPr>
            <w:tcW w:w="5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r>
      <w:tr>
        <w:trPr>
          <w:trHeight w:val="170"/>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past due 90 days or more and still accruing:</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203"/>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loans past due and still accruing</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Total nonperforming loans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3,096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1,798</w:t>
            </w:r>
          </w:p>
        </w:tc>
      </w:tr>
      <w:tr>
        <w:trPr>
          <w:trHeight w:val="97"/>
        </w:trPr>
        <w:tc>
          <w:tcPr>
            <w:tcW w:w="2860" w:type="dxa"/>
            <w:vAlign w:val="bottom"/>
            <w:shd w:val="clear" w:color="auto" w:fill="CCEEFF"/>
          </w:tcPr>
          <w:p>
            <w:pPr>
              <w:spacing w:after="0"/>
              <w:rPr>
                <w:sz w:val="8"/>
                <w:szCs w:val="8"/>
                <w:color w:val="auto"/>
              </w:rPr>
            </w:pPr>
          </w:p>
        </w:tc>
        <w:tc>
          <w:tcPr>
            <w:tcW w:w="5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r>
      <w:tr>
        <w:trPr>
          <w:trHeight w:val="181"/>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 owned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87</w:t>
            </w:r>
          </w:p>
        </w:tc>
      </w:tr>
      <w:tr>
        <w:trPr>
          <w:trHeight w:val="213"/>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nonperforming assets</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3,096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1,885</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286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1"/>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Performing LMs (not included above)</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17"/>
        </w:trPr>
        <w:tc>
          <w:tcPr>
            <w:tcW w:w="28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1"/>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period end nonperforming loans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1,434.40 %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2,101.78 %</w:t>
            </w:r>
          </w:p>
        </w:tc>
      </w:tr>
      <w:tr>
        <w:trPr>
          <w:trHeight w:val="181"/>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Nonperforming loans to loans held for investment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192"/>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184"/>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Nonperforming loans plus performing LMs to loans held for investment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0.05 %</w:t>
            </w:r>
          </w:p>
        </w:tc>
      </w:tr>
    </w:tbl>
    <w:p>
      <w:pPr>
        <w:spacing w:after="0" w:line="19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ratio of nonperforming loans to loans held for investment was 0.08% at December 31, 2025, increasing from 0.05% as of December 31, 2024. The ratio of non-accrual loans to loans held for investment was also 0.08% at December 31, 2025, increasing from 0.05% as of December 31, 2024.</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ratio of the allowance for credit losses to period end nonperforming loans decreased from 2,101.78% as of December 31, 2024 to 1,434.40% as of December 31, 2025. This decrease was due to a 72.19% increase in nonperforming loans year-over-year, partially offset by a 17.51% increase in the allowance for credit losses year-over-year. The increase in nonperforming loans resulted mainly from the occurrence of two separate faith-based real estate loans entering nonperforming status.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Potential Problem Loans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rPr>
        <w:t>Loans designated as “watch” are internal bank designations and are not considered adversely classified. However, loans designated as “substandard” or “doubtful” are considered adversely classified.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13 shows loans by credit quality risk rating as of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Table 13: Gross Loans Held for Investment by Credit Quality Risk Rating</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9"/>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Pass</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Watch</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Substandard</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Doubtful</w:t>
            </w:r>
          </w:p>
        </w:tc>
        <w:tc>
          <w:tcPr>
            <w:tcW w:w="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3,208,223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76,118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21,372</w:t>
            </w:r>
          </w:p>
        </w:tc>
        <w:tc>
          <w:tcPr>
            <w:tcW w:w="116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3,305,713</w:t>
            </w:r>
          </w:p>
        </w:tc>
      </w:tr>
      <w:tr>
        <w:trPr>
          <w:trHeight w:val="202"/>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r>
      <w:tr>
        <w:trPr>
          <w:trHeight w:val="20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81,840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96,760</w:t>
            </w:r>
          </w:p>
        </w:tc>
      </w:tr>
      <w:tr>
        <w:trPr>
          <w:trHeight w:val="202"/>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8,389</w:t>
            </w:r>
          </w:p>
        </w:tc>
      </w:tr>
      <w:tr>
        <w:trPr>
          <w:trHeight w:val="20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37,566</w:t>
            </w:r>
          </w:p>
        </w:tc>
      </w:tr>
      <w:tr>
        <w:trPr>
          <w:trHeight w:val="207"/>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59,606</w:t>
            </w:r>
          </w:p>
        </w:tc>
      </w:tr>
      <w:tr>
        <w:trPr>
          <w:trHeight w:val="208"/>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2"/>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240,511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251,736</w:t>
            </w:r>
          </w:p>
        </w:tc>
      </w:tr>
      <w:tr>
        <w:trPr>
          <w:trHeight w:val="20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40,422</w:t>
            </w:r>
          </w:p>
        </w:tc>
      </w:tr>
      <w:tr>
        <w:trPr>
          <w:trHeight w:val="207"/>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275,469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275,475</w:t>
            </w:r>
          </w:p>
        </w:tc>
      </w:tr>
      <w:tr>
        <w:trPr>
          <w:trHeight w:val="219"/>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3,952,793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101,895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22,331</w:t>
            </w:r>
          </w:p>
        </w:tc>
        <w:tc>
          <w:tcPr>
            <w:tcW w:w="116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4,077,019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3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7"/>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8"/>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2,746,594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16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191"/>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22"/>
        </w:trPr>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2"/>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197"/>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208"/>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197"/>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45,948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199"/>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7"/>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170,548</w:t>
            </w:r>
          </w:p>
        </w:tc>
      </w:tr>
      <w:tr>
        <w:trPr>
          <w:trHeight w:val="208"/>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202"/>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279,575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213"/>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3,408,558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123,404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w:t>
            </w:r>
          </w:p>
        </w:tc>
        <w:tc>
          <w:tcPr>
            <w:tcW w:w="116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3,534,606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Loans designated as watch decreased from $123.4 million to $101.9 million between December 31, 2024 and December 31, 2025. Consequently, loans designated as substandard increased from $2.6 million to $22.3 million between December 31, 2024 and December 31, 2025, primarily attributable to the downgrade of one borrower experiencing financial difficulty with a special purpose commercial real estate loan and a commercial line of credit. There were no loans with doubtful risk grades at December 31, 2025 or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allowance for credit losses is established through a provision for credit losses charged to operations. Provisions are charged against the allowance for credit losses when management believes that the collectability of the principal is unlikely. Subsequent recoveries of previously charged-off amounts, if any, are credited to the allowance for credit losses.</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allowance for credit losses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Historical loss rates within the commercial secured pool are also evaluated by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66" w:name="page67"/>
    <w:bookmarkEnd w:id="66"/>
    <w:p>
      <w:pPr>
        <w:jc w:val="both"/>
        <w:spacing w:after="0" w:line="288" w:lineRule="auto"/>
        <w:rPr>
          <w:sz w:val="20"/>
          <w:szCs w:val="20"/>
          <w:color w:val="auto"/>
        </w:rPr>
      </w:pPr>
      <w:r>
        <w:rPr>
          <w:rFonts w:ascii="Times New Roman" w:cs="Times New Roman" w:eastAsia="Times New Roman" w:hAnsi="Times New Roman"/>
          <w:sz w:val="14"/>
          <w:szCs w:val="14"/>
          <w:color w:val="auto"/>
        </w:rPr>
        <w:t>management on a regular basis to estimate the allowance for credit losses. This evaluation is inherently subjective, as it requires estimates that are susceptible to significant revision as more information becomes available.</w:t>
      </w:r>
    </w:p>
    <w:p>
      <w:pPr>
        <w:spacing w:after="0" w:line="1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 December 31, 2025, the Company’s allowance for credit losses was $44.4 million compared to $37.8 million at December 31, 2024. The $6.6 million increase in the allowance is due to a $9.8 million provision for credit losses, partially offset by net charge-offs of $3.1 million during the year ended December 31, 2025, mainly attributable to commercial and industrial loans, during the same period.</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While the entire allowance for credit losses is available to absorb losses from any and all loans, Table 14 represents management’s allocation of our allowance for credit losses by loan category, the allocation of our allowance for credit losses as a percent of the total allowance for credit losses, and the balance of loans in each category as a percentage of total loans, for the periods indicated.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14: Allocation of the Allowance for Credit Losses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187"/>
        </w:trPr>
        <w:tc>
          <w:tcPr>
            <w:tcW w:w="3180" w:type="dxa"/>
            <w:vAlign w:val="bottom"/>
            <w:tcBorders>
              <w:top w:val="single" w:sz="8" w:color="auto"/>
            </w:tcBorders>
          </w:tcPr>
          <w:p>
            <w:pPr>
              <w:spacing w:after="0"/>
              <w:rPr>
                <w:sz w:val="16"/>
                <w:szCs w:val="16"/>
                <w:color w:val="auto"/>
              </w:rPr>
            </w:pPr>
          </w:p>
        </w:tc>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 of Allowance for Credit</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92"/>
        </w:trPr>
        <w:tc>
          <w:tcPr>
            <w:tcW w:w="5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80" w:type="dxa"/>
            <w:vAlign w:val="bottom"/>
          </w:tcPr>
          <w:p>
            <w:pPr>
              <w:spacing w:after="0"/>
              <w:rPr>
                <w:sz w:val="16"/>
                <w:szCs w:val="16"/>
                <w:color w:val="auto"/>
              </w:rPr>
            </w:pPr>
          </w:p>
        </w:tc>
        <w:tc>
          <w:tcPr>
            <w:tcW w:w="19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19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 of Loans to Total Loans</w:t>
            </w:r>
          </w:p>
        </w:tc>
      </w:tr>
      <w:tr>
        <w:trPr>
          <w:trHeight w:val="199"/>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188"/>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820" w:type="dxa"/>
            <w:vAlign w:val="bottom"/>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25,219</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56.77 %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81.08 %</w:t>
            </w:r>
          </w:p>
        </w:tc>
      </w:tr>
      <w:tr>
        <w:trPr>
          <w:trHeight w:val="181"/>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0.03 %</w:t>
            </w:r>
          </w:p>
        </w:tc>
      </w:tr>
      <w:tr>
        <w:trPr>
          <w:trHeight w:val="192"/>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2.37 %</w:t>
            </w:r>
          </w:p>
        </w:tc>
      </w:tr>
      <w:tr>
        <w:trPr>
          <w:trHeight w:val="181"/>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0.48 %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0.21 %</w:t>
            </w:r>
          </w:p>
        </w:tc>
      </w:tr>
      <w:tr>
        <w:trPr>
          <w:trHeight w:val="181"/>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0.92 %</w:t>
            </w:r>
          </w:p>
        </w:tc>
      </w:tr>
      <w:tr>
        <w:trPr>
          <w:trHeight w:val="188"/>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1.46 %</w:t>
            </w:r>
          </w:p>
        </w:tc>
      </w:tr>
      <w:tr>
        <w:trPr>
          <w:trHeight w:val="185"/>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181"/>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25.23 %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6.17 %</w:t>
            </w:r>
          </w:p>
        </w:tc>
      </w:tr>
      <w:tr>
        <w:trPr>
          <w:trHeight w:val="192"/>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0.99 %</w:t>
            </w:r>
          </w:p>
        </w:tc>
      </w:tr>
      <w:tr>
        <w:trPr>
          <w:trHeight w:val="181"/>
        </w:trPr>
        <w:tc>
          <w:tcPr>
            <w:tcW w:w="5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8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5.31 %</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6.77 %</w:t>
            </w:r>
          </w:p>
        </w:tc>
      </w:tr>
      <w:tr>
        <w:trPr>
          <w:trHeight w:val="213"/>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44,409</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r>
        <w:trPr>
          <w:trHeight w:val="154"/>
        </w:trPr>
        <w:tc>
          <w:tcPr>
            <w:tcW w:w="31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spacing w:after="0"/>
              <w:rPr>
                <w:sz w:val="13"/>
                <w:szCs w:val="13"/>
                <w:color w:val="auto"/>
              </w:rPr>
            </w:pPr>
          </w:p>
        </w:tc>
      </w:tr>
      <w:tr>
        <w:trPr>
          <w:trHeight w:val="202"/>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r>
      <w:tr>
        <w:trPr>
          <w:trHeight w:val="188"/>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820" w:type="dxa"/>
            <w:vAlign w:val="bottom"/>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68.44 %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80.75 %</w:t>
            </w:r>
          </w:p>
        </w:tc>
      </w:tr>
      <w:tr>
        <w:trPr>
          <w:trHeight w:val="181"/>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0.21 %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0.11 %</w:t>
            </w:r>
          </w:p>
        </w:tc>
      </w:tr>
      <w:tr>
        <w:trPr>
          <w:trHeight w:val="192"/>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construction</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w:t>
            </w:r>
          </w:p>
        </w:tc>
      </w:tr>
      <w:tr>
        <w:trPr>
          <w:trHeight w:val="181"/>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Residential construction</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0.17 %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0.13 %</w:t>
            </w:r>
          </w:p>
        </w:tc>
      </w:tr>
      <w:tr>
        <w:trPr>
          <w:trHeight w:val="181"/>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Residential</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0.71 %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0.93 %</w:t>
            </w:r>
          </w:p>
        </w:tc>
      </w:tr>
      <w:tr>
        <w:trPr>
          <w:trHeight w:val="188"/>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Farmland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1.34 %</w:t>
            </w:r>
          </w:p>
        </w:tc>
      </w:tr>
      <w:tr>
        <w:trPr>
          <w:trHeight w:val="185"/>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r>
      <w:tr>
        <w:trPr>
          <w:trHeight w:val="181"/>
        </w:trPr>
        <w:tc>
          <w:tcPr>
            <w:tcW w:w="5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15.52 %</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4.91 %</w:t>
            </w:r>
          </w:p>
        </w:tc>
      </w:tr>
      <w:tr>
        <w:trPr>
          <w:trHeight w:val="192"/>
        </w:trPr>
        <w:tc>
          <w:tcPr>
            <w:tcW w:w="5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0.74 %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0.78 %</w:t>
            </w:r>
          </w:p>
        </w:tc>
      </w:tr>
      <w:tr>
        <w:trPr>
          <w:trHeight w:val="181"/>
        </w:trPr>
        <w:tc>
          <w:tcPr>
            <w:tcW w:w="53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6.60 %</w:t>
            </w:r>
          </w:p>
        </w:tc>
        <w:tc>
          <w:tcPr>
            <w:tcW w:w="100" w:type="dxa"/>
            <w:vAlign w:val="bottom"/>
            <w:tcBorders>
              <w:bottom w:val="single" w:sz="8" w:color="CCEEFF"/>
            </w:tcBorders>
          </w:tcPr>
          <w:p>
            <w:pPr>
              <w:spacing w:after="0"/>
              <w:rPr>
                <w:sz w:val="15"/>
                <w:szCs w:val="15"/>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7.90 %</w:t>
            </w:r>
          </w:p>
        </w:tc>
      </w:tr>
      <w:tr>
        <w:trPr>
          <w:trHeight w:val="213"/>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820" w:type="dxa"/>
            <w:vAlign w:val="bottom"/>
            <w:gridSpan w:val="2"/>
            <w:shd w:val="clear" w:color="auto" w:fill="CCEEFF"/>
          </w:tcPr>
          <w:p>
            <w:pPr>
              <w:jc w:val="right"/>
              <w:ind w:right="5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total loans held for investment was 1.09% at December 31, 2025, as compared to 1.07% at December 31, 2024.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Table 15 provides information on the activity within the allowance for credit losses as of and for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15: Activity Within the Allowance for Credit Losses</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3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3"/>
          </w:tcPr>
          <w:p>
            <w:pPr>
              <w:jc w:val="right"/>
              <w:ind w:right="98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80" w:type="dxa"/>
            <w:vAlign w:val="bottom"/>
          </w:tcPr>
          <w:p>
            <w:pPr>
              <w:spacing w:after="0"/>
              <w:rPr>
                <w:sz w:val="11"/>
                <w:szCs w:val="11"/>
                <w:color w:val="auto"/>
              </w:rPr>
            </w:pPr>
          </w:p>
        </w:tc>
        <w:tc>
          <w:tcPr>
            <w:tcW w:w="1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of Average Loans Held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vMerge w:val="restart"/>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Activity</w:t>
            </w:r>
          </w:p>
        </w:tc>
        <w:tc>
          <w:tcPr>
            <w:tcW w:w="80" w:type="dxa"/>
            <w:vAlign w:val="bottom"/>
          </w:tcPr>
          <w:p>
            <w:pPr>
              <w:spacing w:after="0"/>
              <w:rPr>
                <w:sz w:val="11"/>
                <w:szCs w:val="11"/>
                <w:color w:val="auto"/>
              </w:rPr>
            </w:pPr>
          </w:p>
        </w:tc>
        <w:tc>
          <w:tcPr>
            <w:tcW w:w="1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 of Average Loans Held</w:t>
            </w:r>
          </w:p>
        </w:tc>
        <w:tc>
          <w:tcPr>
            <w:tcW w:w="0" w:type="dxa"/>
            <w:vAlign w:val="bottom"/>
          </w:tcPr>
          <w:p>
            <w:pPr>
              <w:spacing w:after="0"/>
              <w:rPr>
                <w:sz w:val="1"/>
                <w:szCs w:val="1"/>
                <w:color w:val="auto"/>
              </w:rPr>
            </w:pPr>
          </w:p>
        </w:tc>
      </w:tr>
      <w:tr>
        <w:trPr>
          <w:trHeight w:val="181"/>
        </w:trPr>
        <w:tc>
          <w:tcPr>
            <w:tcW w:w="458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for Investment</w:t>
            </w:r>
          </w:p>
        </w:tc>
        <w:tc>
          <w:tcPr>
            <w:tcW w:w="0" w:type="dxa"/>
            <w:vAlign w:val="bottom"/>
          </w:tcPr>
          <w:p>
            <w:pPr>
              <w:spacing w:after="0"/>
              <w:rPr>
                <w:sz w:val="1"/>
                <w:szCs w:val="1"/>
                <w:color w:val="auto"/>
              </w:rPr>
            </w:pPr>
          </w:p>
        </w:tc>
      </w:tr>
      <w:tr>
        <w:trPr>
          <w:trHeight w:val="193"/>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Average loans held for investment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3,766,410</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3,276,841</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37,791</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34,431</w:t>
            </w:r>
          </w:p>
        </w:tc>
        <w:tc>
          <w:tcPr>
            <w:tcW w:w="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(charge-offs) recoveries: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Real estate:</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(280)</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1"/>
        </w:trPr>
        <w:tc>
          <w:tcPr>
            <w:tcW w:w="46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Secured</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(2,738)</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(4,042)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97"/>
        </w:trPr>
        <w:tc>
          <w:tcPr>
            <w:tcW w:w="466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Unsecured</w:t>
            </w:r>
          </w:p>
        </w:tc>
        <w:tc>
          <w:tcPr>
            <w:tcW w:w="320" w:type="dxa"/>
            <w:vAlign w:val="bottom"/>
          </w:tcPr>
          <w:p>
            <w:pPr>
              <w:spacing w:after="0"/>
              <w:rPr>
                <w:sz w:val="17"/>
                <w:szCs w:val="17"/>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8"/>
        </w:trPr>
        <w:tc>
          <w:tcPr>
            <w:tcW w:w="466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Consumer and other</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8"/>
        </w:trPr>
        <w:tc>
          <w:tcPr>
            <w:tcW w:w="4660" w:type="dxa"/>
            <w:vAlign w:val="bottom"/>
            <w:tcBorders>
              <w:bottom w:val="single" w:sz="8" w:color="CCEEFF"/>
            </w:tcBorders>
            <w:gridSpan w:val="3"/>
          </w:tcPr>
          <w:p>
            <w:pPr>
              <w:ind w:left="260"/>
              <w:spacing w:after="0"/>
              <w:rPr>
                <w:sz w:val="20"/>
                <w:szCs w:val="20"/>
                <w:color w:val="auto"/>
              </w:rPr>
            </w:pPr>
            <w:r>
              <w:rPr>
                <w:rFonts w:ascii="Times New Roman" w:cs="Times New Roman" w:eastAsia="Times New Roman" w:hAnsi="Times New Roman"/>
                <w:sz w:val="14"/>
                <w:szCs w:val="14"/>
                <w:color w:val="auto"/>
              </w:rPr>
              <w:t>Net charge-offs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(3,132)</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(4,090)</w:t>
            </w:r>
          </w:p>
        </w:tc>
        <w:tc>
          <w:tcPr>
            <w:tcW w:w="17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6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9,750</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7,450</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44,409</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37,791</w:t>
            </w: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6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4,074,929</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3,532,686</w:t>
            </w: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loans held for investment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allowance for credit losses to loans held for investment increased from 1.07% as of December 31, 2024 to 1.09% as of December 31, 2025. Net charge-offs as a percent of average loans held for investment decreased from 0.12% to 0.08% for the years ended December 31, 2024 and December 31, 2025,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Liabilities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During 2025, total liabilities increased by $652.4 million from $3.7 billion at December 31, 2024 to $4.3 billion at December 31, 2025. This increase was primarily attributable to an increase in deposits of $643.1 million. The $643.1 million increase in deposits was largely due to increases in money market, non-interest-bearing demand, interest-bearing transaction, and savings deposits of $553.3 million, $161.9 million, $29.0 million, and $14.5 million, respectively. These increases were partially offset by decreases in time deposits of $115.5 million, largely driven by a $95.0 million decrease in wholesale deposits.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Representing 97.49% of our total liabilities as of December 31, 2025, deposits are our primary source of funding for our business operations.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Total deposits increased by $643.1 million, or 18.07%, to $4.2 billion at December 31, 2025 from $3.6 billion as of December 31, 2024. Deposit increases were primarily attributable to an increase in the number of new relationships, as well as normal fluctuations in our existing accounts. Non-interest-bearing deposits increased by $161.9 million in 2025 to $1.1 billion, and represented 25.82% of total deposits at December 31, 2025, compared to 25.93% of total deposits at December 31, 2024. Our loan to deposit ratio was 97.00% at December 31, 2025, compared to 99.38% at December 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68" w:name="page69"/>
    <w:bookmarkEnd w:id="68"/>
    <w:p>
      <w:pPr>
        <w:jc w:val="both"/>
        <w:spacing w:after="0" w:line="288" w:lineRule="auto"/>
        <w:rPr>
          <w:sz w:val="20"/>
          <w:szCs w:val="20"/>
          <w:color w:val="auto"/>
        </w:rPr>
      </w:pPr>
      <w:r>
        <w:rPr>
          <w:rFonts w:ascii="Times New Roman" w:cs="Times New Roman" w:eastAsia="Times New Roman" w:hAnsi="Times New Roman"/>
          <w:sz w:val="14"/>
          <w:szCs w:val="14"/>
          <w:color w:val="auto"/>
        </w:rPr>
        <w:t>2024. We closely monitor the loan to deposit ratio for purposes of both operational objectives and regulatory capital compliance. We intend to continue to operate our business with close monitoring of the loan to deposit ratio.</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16 summarizes our deposit composition by average deposits and average rates paid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Table 16: Deposit Composition by Average Balances and Average Rates Paid</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30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of Total Deposits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Average Amount</w:t>
            </w:r>
          </w:p>
        </w:tc>
        <w:tc>
          <w:tcPr>
            <w:tcW w:w="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Rate Paid</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of Total Deposits</w:t>
            </w:r>
          </w:p>
        </w:tc>
        <w:tc>
          <w:tcPr>
            <w:tcW w:w="0" w:type="dxa"/>
            <w:vAlign w:val="bottom"/>
          </w:tcPr>
          <w:p>
            <w:pPr>
              <w:spacing w:after="0"/>
              <w:rPr>
                <w:sz w:val="1"/>
                <w:szCs w:val="1"/>
                <w:color w:val="auto"/>
              </w:rPr>
            </w:pPr>
          </w:p>
        </w:tc>
      </w:tr>
      <w:tr>
        <w:trPr>
          <w:trHeight w:val="199"/>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306,983</w:t>
            </w:r>
          </w:p>
        </w:tc>
        <w:tc>
          <w:tcPr>
            <w:tcW w:w="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7.97 %</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298,137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9.24 %</w:t>
            </w:r>
          </w:p>
        </w:tc>
        <w:tc>
          <w:tcPr>
            <w:tcW w:w="0" w:type="dxa"/>
            <w:vAlign w:val="bottom"/>
          </w:tcPr>
          <w:p>
            <w:pPr>
              <w:spacing w:after="0"/>
              <w:rPr>
                <w:sz w:val="1"/>
                <w:szCs w:val="1"/>
                <w:color w:val="auto"/>
              </w:rPr>
            </w:pPr>
          </w:p>
        </w:tc>
      </w:tr>
      <w:tr>
        <w:trPr>
          <w:trHeight w:val="19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Money market and savings accounts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1,897,216</w:t>
            </w:r>
          </w:p>
        </w:tc>
        <w:tc>
          <w:tcPr>
            <w:tcW w:w="4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3.15 %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49.22 %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1,657,613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51.37 %</w:t>
            </w:r>
          </w:p>
        </w:tc>
        <w:tc>
          <w:tcPr>
            <w:tcW w:w="0" w:type="dxa"/>
            <w:vAlign w:val="bottom"/>
          </w:tcPr>
          <w:p>
            <w:pPr>
              <w:spacing w:after="0"/>
              <w:rPr>
                <w:sz w:val="1"/>
                <w:szCs w:val="1"/>
                <w:color w:val="auto"/>
              </w:rPr>
            </w:pPr>
          </w:p>
        </w:tc>
      </w:tr>
      <w:tr>
        <w:trPr>
          <w:trHeight w:val="208"/>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accounts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661,321</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4.26 %</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412,007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12.77 %</w:t>
            </w:r>
          </w:p>
        </w:tc>
        <w:tc>
          <w:tcPr>
            <w:tcW w:w="0" w:type="dxa"/>
            <w:vAlign w:val="bottom"/>
          </w:tcPr>
          <w:p>
            <w:pPr>
              <w:spacing w:after="0"/>
              <w:rPr>
                <w:sz w:val="1"/>
                <w:szCs w:val="1"/>
                <w:color w:val="auto"/>
              </w:rPr>
            </w:pPr>
          </w:p>
        </w:tc>
      </w:tr>
      <w:tr>
        <w:trPr>
          <w:trHeight w:val="20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Demand accounts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988,447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25.65 %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858,789</w:t>
            </w: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26.62 %</w:t>
            </w:r>
          </w:p>
        </w:tc>
        <w:tc>
          <w:tcPr>
            <w:tcW w:w="0" w:type="dxa"/>
            <w:vAlign w:val="bottom"/>
          </w:tcPr>
          <w:p>
            <w:pPr>
              <w:spacing w:after="0"/>
              <w:rPr>
                <w:sz w:val="1"/>
                <w:szCs w:val="1"/>
                <w:color w:val="auto"/>
              </w:rPr>
            </w:pPr>
          </w:p>
        </w:tc>
      </w:tr>
      <w:tr>
        <w:trPr>
          <w:trHeight w:val="202"/>
        </w:trPr>
        <w:tc>
          <w:tcPr>
            <w:tcW w:w="308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deposits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3,853,967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3,226,546</w:t>
            </w:r>
          </w:p>
        </w:tc>
        <w:tc>
          <w:tcPr>
            <w:tcW w:w="13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Uninsured and uncollateralized deposits totaled $1.4 billion and $1.2 billion at December 31, 2025 and 2024, respectively.</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of December 31, 2025, our 53 largest deposit relationships, each accounting for more than $10.0 million, totaled $2.0 billion, or 47.82% of our total deposits. The average age on deposit relationships of more than $5.0 million was approximately 7.67 years. As of December 31, 2024, our 49 largest deposit relationships, each accounting for more than $10.0 million, totaled $1.8 billion, or 50.35% of our total deposits. Overall, our large deposit relationships have been relatively consistent over time and have helped to continue to grow our deposit base. Table 17 shows the entity types making up our large deposit relationships at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17: Composition of Large Deposit Relationships</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tcPr>
          <w:p>
            <w:pPr>
              <w:spacing w:after="0"/>
              <w:rPr>
                <w:sz w:val="13"/>
                <w:szCs w:val="13"/>
                <w:color w:val="auto"/>
              </w:rPr>
            </w:pPr>
          </w:p>
        </w:tc>
      </w:tr>
      <w:tr>
        <w:trPr>
          <w:trHeight w:val="219"/>
        </w:trPr>
        <w:tc>
          <w:tcPr>
            <w:tcW w:w="3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9"/>
        </w:trPr>
        <w:tc>
          <w:tcPr>
            <w:tcW w:w="7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Municipalities</w:t>
            </w:r>
          </w:p>
        </w:tc>
        <w:tc>
          <w:tcPr>
            <w:tcW w:w="3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789,643</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674,094</w:t>
            </w:r>
          </w:p>
        </w:tc>
      </w:tr>
      <w:tr>
        <w:trPr>
          <w:trHeight w:val="197"/>
        </w:trPr>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Non-profits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283,666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211,480</w:t>
            </w:r>
          </w:p>
        </w:tc>
      </w:tr>
      <w:tr>
        <w:trPr>
          <w:trHeight w:val="199"/>
        </w:trPr>
        <w:tc>
          <w:tcPr>
            <w:tcW w:w="7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Businesses</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760,516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605,894</w:t>
            </w:r>
          </w:p>
        </w:tc>
      </w:tr>
      <w:tr>
        <w:trPr>
          <w:trHeight w:val="181"/>
        </w:trPr>
        <w:tc>
          <w:tcPr>
            <w:tcW w:w="7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Brokered deposits</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174,981</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299,961</w:t>
            </w:r>
          </w:p>
        </w:tc>
      </w:tr>
      <w:tr>
        <w:trPr>
          <w:trHeight w:val="197"/>
        </w:trPr>
        <w:tc>
          <w:tcPr>
            <w:tcW w:w="70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2,008,806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1,791,429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largest single deposit relationship at December 31, 2025 related to a government agency. The balance for this customer was $290.0 million, or approximately 6.90% of total deposits as of December 31, 2025. At December 31, 2024, our largest single deposit relationship related to brokered deposits and had a balance of $300.0 million, or 8.43% of total deposits as of December 31, 2024. As our demand deposits fluctuate, we have purchased brokered deposits as needed to supplement liquidity. We do not consider brokered deposits as core deposits, but as another deposit funding source for our loan growth.</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18 sets forth the maturity of time deposits as of December 31, 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20"/>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18: Scheduled Maturities of Time Deposits</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9"/>
        </w:trPr>
        <w:tc>
          <w:tcPr>
            <w:tcW w:w="5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$250,000 or Greater</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Less than $250,000</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Uninsured Portion</w:t>
            </w:r>
          </w:p>
        </w:tc>
      </w:tr>
      <w:tr>
        <w:trPr>
          <w:trHeight w:val="188"/>
        </w:trPr>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Remaining maturity:</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81"/>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Three months or less</w:t>
            </w:r>
          </w:p>
        </w:tc>
        <w:tc>
          <w:tcPr>
            <w:tcW w:w="3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332,954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182,057</w:t>
            </w:r>
          </w:p>
        </w:tc>
        <w:tc>
          <w:tcPr>
            <w:tcW w:w="4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515,011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324,494</w:t>
            </w:r>
          </w:p>
        </w:tc>
      </w:tr>
      <w:tr>
        <w:trPr>
          <w:trHeight w:val="181"/>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three through six months</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4,745</w:t>
            </w:r>
          </w:p>
        </w:tc>
      </w:tr>
      <w:tr>
        <w:trPr>
          <w:trHeight w:val="188"/>
        </w:trPr>
        <w:tc>
          <w:tcPr>
            <w:tcW w:w="50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Over six through twelve months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r>
      <w:tr>
        <w:trPr>
          <w:trHeight w:val="185"/>
        </w:trPr>
        <w:tc>
          <w:tcPr>
            <w:tcW w:w="50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Over twelve months</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172"/>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350,032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204,579</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554,611</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333,822</w:t>
            </w:r>
          </w:p>
        </w:tc>
      </w:tr>
      <w:tr>
        <w:trPr>
          <w:trHeight w:val="20"/>
        </w:trPr>
        <w:tc>
          <w:tcPr>
            <w:tcW w:w="2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706"/>
        </w:trPr>
        <w:tc>
          <w:tcPr>
            <w:tcW w:w="28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76"/>
        </w:trPr>
        <w:tc>
          <w:tcPr>
            <w:tcW w:w="2800" w:type="dxa"/>
            <w:vAlign w:val="bottom"/>
            <w:tcBorders>
              <w:bottom w:val="single" w:sz="8" w:color="9A9A9A"/>
            </w:tcBorders>
          </w:tcPr>
          <w:p>
            <w:pPr>
              <w:spacing w:after="0"/>
              <w:rPr>
                <w:sz w:val="6"/>
                <w:szCs w:val="6"/>
                <w:color w:val="auto"/>
              </w:rPr>
            </w:pPr>
          </w:p>
        </w:tc>
        <w:tc>
          <w:tcPr>
            <w:tcW w:w="22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4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FHLB Advances and Other Borrowings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From time to time, we utilize short-term collateralized FHLB borrowings to maintain adequate liquidity. There were no borrowings outstanding as of December 31, 2025 and December 31, 2024, respectively.</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2022, we issued subordinated notes of $75.0 million. This debt was issued to investors in private placement transactions. See Note 9, Long Term Debt and Other Borrowings, in the notes to our audited consolidated financial statements included in this Annual Report on Form 10-K for additional information regarding these subordinated notes. The proceeds of the notes qualify as Tier 2 capital for the Company under the regulatory capital rules of the federal banking agencies.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19 is a summary of our outstanding subordinated notes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19: Subordinated Notes Outstanding</w:t>
            </w: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219"/>
        </w:trPr>
        <w:tc>
          <w:tcPr>
            <w:tcW w:w="2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Amount of Notes</w:t>
            </w:r>
          </w:p>
        </w:tc>
        <w:tc>
          <w:tcPr>
            <w:tcW w:w="10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Prepayment Right</w:t>
            </w:r>
          </w:p>
        </w:tc>
        <w:tc>
          <w:tcPr>
            <w:tcW w:w="8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199"/>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notes</w:t>
            </w:r>
          </w:p>
        </w:tc>
        <w:tc>
          <w:tcPr>
            <w:tcW w:w="8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2022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August 17, 2027</w:t>
            </w: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135255</wp:posOffset>
            </wp:positionV>
            <wp:extent cx="7186930" cy="1282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128270"/>
                    </a:xfrm>
                    <a:prstGeom prst="rect">
                      <a:avLst/>
                    </a:prstGeom>
                    <a:noFill/>
                  </pic:spPr>
                </pic:pic>
              </a:graphicData>
            </a:graphic>
          </wp:anchor>
        </w:drawing>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Fixed at 6.00% through September 1, 2027, then three-month Term SOFR plus 329.0 basis points (6.94% as of December 31, 2025) through maturity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Shareholders’ equity totaled $445.8 million at December 31, 2025 and $396.6 million at December 31, 2024. The increase in shareholders’ equity was primarily net income recognized of $61.6 million, partially offset by $17.1 million in cash dividends paid during the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Liquidity Management</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52" w:right="298" w:bottom="1440" w:gutter="0" w:footer="0" w:header="0"/>
        </w:sectPr>
      </w:pPr>
    </w:p>
    <w:bookmarkStart w:id="70" w:name="page71"/>
    <w:bookmarkEnd w:id="70"/>
    <w:p>
      <w:pPr>
        <w:jc w:val="both"/>
        <w:spacing w:after="0" w:line="265" w:lineRule="auto"/>
        <w:rPr>
          <w:sz w:val="20"/>
          <w:szCs w:val="20"/>
          <w:color w:val="auto"/>
        </w:rPr>
      </w:pPr>
      <w:r>
        <w:rPr>
          <w:rFonts w:ascii="Times New Roman" w:cs="Times New Roman" w:eastAsia="Times New Roman" w:hAnsi="Times New Roman"/>
          <w:sz w:val="14"/>
          <w:szCs w:val="14"/>
          <w:color w:val="auto"/>
        </w:rPr>
        <w:t>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 events and emergency cash flow requirements; and internal controls and internal audit processes sufficient to determine the adequacy of the Bank’s liquidity risk management process.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the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as of December 31, 2025, we had a shelf registration statement on file with the SEC registering the offer and sale by us of up to $250.0 million of any combination of equity or debt securities, depository shares, warrants, purchase contracts, purchase units, subscription rights, and units in one or more offerings. In April 2024, we sold an aggregate of 3,967,500 shares of our common stock at a price of $21.75 per share in a public offering (the “2024 Public Offering”), for net proceeds to us, after deducting underwriting discounts and commissions and offering expenses payable by us, of approximately $80.9 million, to be used for general corporate purposes and to support continued growth, including through investments in the Bank to pursue growth opportunities, and for working capital. The 2024 Public Offering used approximately $86.3 million of our shelf registration statement on file with the SEC, leaving approximately $163.7 million available for future offerings as of December 31, 2025. In February 2026, our new shelf registration statement became effective, registering the offer and sale by us of up to $300.0 million of any combination of equity or debt securities, depository shares, warrants, purchase contracts, purchase units, subscription rights, and units in one or more offerings, and replacing our prior shelf registration statement. Specific information on the terms of any securities being offered, including the expected use of proceeds from the sale of such securities, are provided at the time of the offering.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Sources and Uses of Cash</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December 31, 2025, management believes the above-mentioned sources will provide adequate liquidity during the next twelve months for the Bank to meet its operating needs.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Based on our current capital allocation objectives, during 2026, we project spending $0.5 million related to continued build-out of our IT systems and processes and allocating $21.4 million of cash for dividends on our common stock.</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For the 12-month period ending December 31, 2026, we project that our fixed commitments could potentially include: (i) approximately $503.3 million to fund off-balance sheet commitments outstanding at December 31, 2025; (ii) $9.4 million for IT services, IT support, and compliance expenditures; and (iii) $2.0 million for operating leases. In future years, we expect that our main sources and uses of cash will relate primarily to regular operating activities.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2025, we had cash outflows of $544.2 million in loan originations and advances, net of principal collected, and $1.4 million in loans originated for sale.</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Additionally, in the ordinary course of business, we enter into commitments to extend credit, such as commitments to fund new loans and undisbursed construction funds. While these commitments represent contractual cash requirements, a</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71" w:name="page72"/>
    <w:bookmarkEnd w:id="71"/>
    <w:p>
      <w:pPr>
        <w:jc w:val="both"/>
        <w:spacing w:after="0" w:line="271" w:lineRule="auto"/>
        <w:rPr>
          <w:sz w:val="20"/>
          <w:szCs w:val="20"/>
          <w:color w:val="auto"/>
        </w:rPr>
      </w:pPr>
      <w:r>
        <w:rPr>
          <w:rFonts w:ascii="Times New Roman" w:cs="Times New Roman" w:eastAsia="Times New Roman" w:hAnsi="Times New Roman"/>
          <w:sz w:val="14"/>
          <w:szCs w:val="14"/>
          <w:color w:val="auto"/>
        </w:rPr>
        <w:t>portion of these commitments to extend credit may expire without being drawn upon. Therefore, the total commitment amounts do not necessarily represent future cash requirements. At December 31, 2025, off-balance sheet commitments totaled $503.3 million. We expect to fund these commitments to the extent utilized primarily through the repayment of existing loans, deposit growth, and liquid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Deposits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Deposits are our primary source of funding for our business operations, and the cost of deposits has a significant impact on our net interest income and net interest margin.</w:t>
      </w:r>
    </w:p>
    <w:p>
      <w:pPr>
        <w:spacing w:after="0" w:line="1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deposits are primarily made up of money market, interest-bearing transaction,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2025, we had cash inflows related to an increase in deposits of $643.1 million.</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twelve months following December 31, 2025, approximately $552.9 million of time deposits are expected to mature, which includes $175.0 million of brokered deposits. In addition, we expect $1.7 million of time deposits to mature through 2030. These deposits may or may not renew due to general competition. We expect the outflow will not be significant and can be replenished through our organic growth in deposits. We believe our emphasis on local deposits and our San Francisco Bay Area expansion provide a stable funding base.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cash and cash equivalents represented 12.06% of total deposits.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Investment Securities</w:t>
      </w:r>
    </w:p>
    <w:p>
      <w:pPr>
        <w:spacing w:after="0" w:line="14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investment securities totaled $96.9 million at December 31, 2025. Mortgage-backed securities and obligations of states and political subdivisions comprised 49.73% and 40.41%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$9.5 million from our securities over the next twelve months. In future periods, we expect to maintain approximately the same level of cash flows from our securities. Depending on market yield and our liquidity, we may purchase securities as a use of cash in our interest-earning asset portfolio.</w:t>
      </w:r>
    </w:p>
    <w:p>
      <w:pPr>
        <w:spacing w:after="0" w:line="12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During the year ended December 31, 2025, we had cash proceeds from sales, maturities, calls and prepayments of securities of $9.3 million and cash outflows from the purchase of a security for $1.0 million. Additionally, at December 31, 2025, securities available-for-sale totaled $94.7 million, of which $89.7 million has been pledged as collateral for borrowings and other commitments.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Future Contractual Obligations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estimated future obligations as of December 31, 2025 include both current and long-term obligations. Under our operating leases as discussed in Note 15, Commitments and Contingencies, of the notes to our audited consolidated financial statements included in this Annual Report on Form 10-K, we have a current obligation of $2.0 million and a long-term obligation of $12.5 million. We also have a current obligation of $552.9 million and a long-term obligation of $1.7 million related to time deposits, as discussed in Note 8, Interest-Bearing Deposits, of the notes to our audited consolidated financial statements included in this Annual Report on Form 10-K. We have net subordinated notes of $74.0 million, all of which are long-term obligations. Finally, we have two significant contracts, one for core processing services and the other for a digital and mobile banking platform. The actual obligations under both contracts are unknown and dependent on certain factors, including volume and activity. Based on our average monthly expenses for 2025, and extrapolating those figures over the remaining term of the core processing services contract, we estimate our current obligation to be approximately $2.1 million, with a long-term obligation of $9.3 million. For the digital and mobile banking platform contract, using the same methodology, our current obligation under this contract is estimated at $1.1 million. We do not have any long-term obligation under this contract until it is renewed.</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auto"/>
        </w:rPr>
        <w:t>Total Liquidity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liquidity (consisting of cash and cash equivalents and unused and immediately available borrowing capacity as set forth in Table 20) was approximately $2.3 billion as of December 31,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20: Total Liquidity</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9"/>
        </w:trPr>
        <w:tc>
          <w:tcPr>
            <w:tcW w:w="1420" w:type="dxa"/>
            <w:vAlign w:val="bottom"/>
            <w:tcBorders>
              <w:top w:val="single" w:sz="8" w:color="auto"/>
            </w:tcBorders>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04"/>
        </w:trPr>
        <w:tc>
          <w:tcPr>
            <w:tcW w:w="4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Line of Credit</w:t>
            </w:r>
          </w:p>
        </w:tc>
        <w:tc>
          <w:tcPr>
            <w:tcW w:w="80" w:type="dxa"/>
            <w:vAlign w:val="bottom"/>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Letters of Credit Issued</w:t>
            </w:r>
          </w:p>
        </w:tc>
        <w:tc>
          <w:tcPr>
            <w:tcW w:w="80" w:type="dxa"/>
            <w:vAlign w:val="bottom"/>
          </w:tcPr>
          <w:p>
            <w:pPr>
              <w:spacing w:after="0"/>
              <w:rPr>
                <w:sz w:val="17"/>
                <w:szCs w:val="17"/>
                <w:color w:val="auto"/>
              </w:rPr>
            </w:pP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Available</w:t>
            </w:r>
          </w:p>
        </w:tc>
      </w:tr>
      <w:tr>
        <w:trPr>
          <w:trHeight w:val="188"/>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FHLB advances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1,518,680</w:t>
            </w:r>
          </w:p>
        </w:tc>
        <w:tc>
          <w:tcPr>
            <w:tcW w:w="64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887,500</w:t>
            </w:r>
          </w:p>
        </w:tc>
        <w:tc>
          <w:tcPr>
            <w:tcW w:w="1320" w:type="dxa"/>
            <w:vAlign w:val="bottom"/>
            <w:gridSpan w:val="2"/>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631,180</w:t>
            </w:r>
          </w:p>
        </w:tc>
      </w:tr>
      <w:tr>
        <w:trPr>
          <w:trHeight w:val="181"/>
        </w:trPr>
        <w:tc>
          <w:tcPr>
            <w:tcW w:w="4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Reserve Discount Window</w:t>
            </w: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957,362</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957,362</w:t>
            </w:r>
          </w:p>
        </w:tc>
      </w:tr>
      <w:tr>
        <w:trPr>
          <w:trHeight w:val="181"/>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Correspondent bank lines of credit</w:t>
            </w: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185,000</w:t>
            </w:r>
          </w:p>
        </w:tc>
      </w:tr>
      <w:tr>
        <w:trPr>
          <w:trHeight w:val="191"/>
        </w:trPr>
        <w:tc>
          <w:tcPr>
            <w:tcW w:w="48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506,851</w:t>
            </w:r>
          </w:p>
        </w:tc>
      </w:tr>
      <w:tr>
        <w:trPr>
          <w:trHeight w:val="197"/>
        </w:trPr>
        <w:tc>
          <w:tcPr>
            <w:tcW w:w="48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2,661,042</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887,500</w:t>
            </w: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2,280,393</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FHLB Financing</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Bank is a shareholder of the FHLB, which enables the Bank to have access to lower-cost FHLB financing when necessary. At December 31, 2025, the Bank had no outstanding FHLB financing borrowings and a total financing availability of $631.2 million, net of letters of credit issued of $887.5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Federal Reserve Discount Window</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has the ability to borrow from the Federal Reserve Discount Window when necessary. At December 31, 2025, the Bank had no outstanding Federal Reserve Discount Window borrowings and total financing availability of $957.4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Correspondent Bank Lines of Credit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the unused and available amount for borrowing from correspondent bank lines of credit was $185.0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Dividends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use of liquidity for the Company is shareholder dividends. The Company paid dividends to its shareholders totaling $17.1 million during the year ended December 31, 2025.</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2026 at a rate of $0.25 per share, our average total dividend paid each quarter would be approximately $5.3 million based on the number of currently outstanding shares if there are no increases or decreases in the number of shares, and given that unvested RSAs share equally in dividends with outstanding common stock.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Impact of Inflation</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6"/>
        </w:trPr>
        <w:tc>
          <w:tcPr>
            <w:tcW w:w="59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Historical Information</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09"/>
        </w:trPr>
        <w:tc>
          <w:tcPr>
            <w:tcW w:w="5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21 summarizes our consolidated cash flow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1"/>
        </w:trPr>
        <w:tc>
          <w:tcPr>
            <w:tcW w:w="5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21: Consolidated Cash Flow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4"/>
        </w:trPr>
        <w:tc>
          <w:tcPr>
            <w:tcW w:w="2540" w:type="dxa"/>
            <w:vAlign w:val="bottom"/>
            <w:tcBorders>
              <w:top w:val="single" w:sz="8" w:color="auto"/>
            </w:tcBorders>
          </w:tcPr>
          <w:p>
            <w:pPr>
              <w:spacing w:after="0"/>
              <w:rPr>
                <w:sz w:val="18"/>
                <w:szCs w:val="18"/>
                <w:color w:val="auto"/>
              </w:rPr>
            </w:pP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88"/>
        </w:trPr>
        <w:tc>
          <w:tcPr>
            <w:tcW w:w="5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9"/>
        </w:trPr>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160" w:type="dxa"/>
            <w:vAlign w:val="bottom"/>
            <w:shd w:val="clear" w:color="auto" w:fill="CCEEFF"/>
          </w:tcPr>
          <w:p>
            <w:pPr>
              <w:jc w:val="right"/>
              <w:ind w:right="100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72,612</w:t>
            </w:r>
          </w:p>
        </w:tc>
        <w:tc>
          <w:tcPr>
            <w:tcW w:w="1260" w:type="dxa"/>
            <w:vAlign w:val="bottom"/>
            <w:gridSpan w:val="2"/>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51,786</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20,826</w:t>
            </w:r>
          </w:p>
        </w:tc>
      </w:tr>
      <w:tr>
        <w:trPr>
          <w:trHeight w:val="191"/>
        </w:trPr>
        <w:tc>
          <w:tcPr>
            <w:tcW w:w="59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(544,109)</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(446,744)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97,365</w:t>
            </w:r>
          </w:p>
        </w:tc>
      </w:tr>
      <w:tr>
        <w:trPr>
          <w:trHeight w:val="22"/>
        </w:trPr>
        <w:tc>
          <w:tcPr>
            <w:tcW w:w="2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02"/>
        </w:trPr>
        <w:tc>
          <w:tcPr>
            <w:tcW w:w="5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626,005</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200,280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Operating Activities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Net cash provided by operating activities increased by $20.8 million for the year ended December 31, 2025 compared to the year ended December 31, 2024, primarily due to lower loans originated for sale, higher net income, higher net change in interest payable and other liabilities, and a higher provision for credit losses. These sources of cash were partially offset by lower gross proceeds from sale of loans, lower net change in interest receivable and other assets, and lower purchase of transferable tax credits. Cash provided by operating activities is subject to variability period-over-period as a result of timing differences, including with respect to the collection of receivables and payments of interest expense, accounts payable, and bonuses.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about our operating results, see “Results of Operations”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Investing Activities</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Net cash used in investing activities increased by $97.4 million for the year ended December 31, 2025 compared to the year ended December 31, 2024, primarily due to higher originations of loans held for investment, net of repayments.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Financing Activities</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Net cash provided by financing activities increased by $200.3 million for the year ended December 31, 2025 compared to the year ended December 31, 2024, primarily due to an increase in deposits and lower borrowings, partially offset by proceeds from the 2024 Public Offering.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Adequacy</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Bancorp and the Bank are subject to various regulatory capital requirements administered by the federal and state banking agencies. Failure to meet minimum capital requirements as set forth in Tables 22 and 23 can initiate certain mandatory and possibly additional discretionary actions by regulators that, if undertaken, could have a material effect on our consolidated financial statements.</w:t>
      </w:r>
    </w:p>
    <w:p>
      <w:pPr>
        <w:spacing w:after="0" w:line="1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Under federal regulations implementing the Basel III framework, the Bank is subject to minimum risk-based and leverage capital requirements. The Bank is also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December 31, 2025, both Bancorp and the Bank were in compliance with all applicable regulatory capital requirements, and the Bank qualified as “well-capitalized” under the prompt corrective action framework.</w:t>
      </w:r>
    </w:p>
    <w:p>
      <w:pPr>
        <w:spacing w:after="0" w:line="11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Management reviews capital ratios on a regular basis to ensure that capital exceeds the prescribed regulatory minimums and is adequate to meet our anticipated future needs. For all periods presented, the Bank’s ratios exceed the regulatory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74" w:name="page75"/>
    <w:bookmarkEnd w:id="74"/>
    <w:p>
      <w:pPr>
        <w:jc w:val="both"/>
        <w:spacing w:after="0" w:line="288" w:lineRule="auto"/>
        <w:rPr>
          <w:sz w:val="20"/>
          <w:szCs w:val="20"/>
          <w:color w:val="auto"/>
        </w:rPr>
      </w:pPr>
      <w:r>
        <w:rPr>
          <w:rFonts w:ascii="Times New Roman" w:cs="Times New Roman" w:eastAsia="Times New Roman" w:hAnsi="Times New Roman"/>
          <w:sz w:val="14"/>
          <w:szCs w:val="14"/>
          <w:color w:val="auto"/>
        </w:rPr>
        <w:t>definition of “well-capitalized” under the regulatory framework for prompt corrective action, and Bancorp’s ratios exceed the minimum ratios required for it to be considered a well-capitalized bank holding company.</w:t>
      </w:r>
    </w:p>
    <w:p>
      <w:pPr>
        <w:spacing w:after="0" w:line="1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capital adequacy ratios as of December 31, 2025 and 2024 for Bancorp and the Bank are presented in Tables 22 and 23. As of December 31, 2025 and 2024,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22: Capital Ratios for Bancorp</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4"/>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100" w:type="dxa"/>
            <w:vAlign w:val="bottom"/>
          </w:tcPr>
          <w:p>
            <w:pPr>
              <w:spacing w:after="0"/>
              <w:rPr>
                <w:sz w:val="13"/>
                <w:szCs w:val="13"/>
                <w:color w:val="auto"/>
              </w:rPr>
            </w:pPr>
          </w:p>
        </w:tc>
        <w:tc>
          <w:tcPr>
            <w:tcW w:w="2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c>
          <w:tcPr>
            <w:tcW w:w="0" w:type="dxa"/>
            <w:vAlign w:val="bottom"/>
          </w:tcPr>
          <w:p>
            <w:pPr>
              <w:spacing w:after="0"/>
              <w:rPr>
                <w:sz w:val="1"/>
                <w:szCs w:val="1"/>
                <w:color w:val="auto"/>
              </w:rPr>
            </w:pPr>
          </w:p>
        </w:tc>
      </w:tr>
      <w:tr>
        <w:trPr>
          <w:trHeight w:val="181"/>
        </w:trPr>
        <w:tc>
          <w:tcPr>
            <w:tcW w:w="3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589"/>
              <w:spacing w:after="0" w:line="181" w:lineRule="exact"/>
              <w:rPr>
                <w:sz w:val="20"/>
                <w:szCs w:val="20"/>
                <w:color w:val="auto"/>
              </w:rPr>
            </w:pPr>
            <w:r>
              <w:rPr>
                <w:rFonts w:ascii="Times New Roman" w:cs="Times New Roman" w:eastAsia="Times New Roman" w:hAnsi="Times New Roman"/>
                <w:sz w:val="14"/>
                <w:szCs w:val="14"/>
                <w:b w:val="1"/>
                <w:bCs w:val="1"/>
                <w:color w:val="auto"/>
                <w:w w:val="95"/>
              </w:rPr>
              <w:t>Purposes</w:t>
            </w:r>
            <w:r>
              <w:rPr>
                <w:rFonts w:ascii="Times New Roman" w:cs="Times New Roman" w:eastAsia="Times New Roman" w:hAnsi="Times New Roman"/>
                <w:sz w:val="18"/>
                <w:szCs w:val="18"/>
                <w:b w:val="1"/>
                <w:bCs w:val="1"/>
                <w:color w:val="auto"/>
                <w:w w:val="95"/>
                <w:vertAlign w:val="superscript"/>
              </w:rPr>
              <w:t>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c>
          <w:tcPr>
            <w:tcW w:w="0" w:type="dxa"/>
            <w:vAlign w:val="bottom"/>
          </w:tcPr>
          <w:p>
            <w:pPr>
              <w:spacing w:after="0"/>
              <w:rPr>
                <w:sz w:val="1"/>
                <w:szCs w:val="1"/>
                <w:color w:val="auto"/>
              </w:rPr>
            </w:pPr>
          </w:p>
        </w:tc>
      </w:tr>
      <w:tr>
        <w:trPr>
          <w:trHeight w:val="182"/>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5"/>
                <w:szCs w:val="15"/>
                <w:color w:val="auto"/>
              </w:rPr>
            </w:pPr>
          </w:p>
        </w:tc>
        <w:tc>
          <w:tcPr>
            <w:tcW w:w="12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5"/>
                <w:szCs w:val="15"/>
                <w:color w:val="auto"/>
              </w:rPr>
            </w:pPr>
          </w:p>
        </w:tc>
        <w:tc>
          <w:tcPr>
            <w:tcW w:w="10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22"/>
        </w:trPr>
        <w:tc>
          <w:tcPr>
            <w:tcW w:w="3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7"/>
                <w:szCs w:val="17"/>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10.58 %</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454,830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7"/>
                <w:szCs w:val="17"/>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9"/>
        </w:trPr>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454,830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9.70 %</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187,499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13.99 %</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7"/>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7"/>
                <w:szCs w:val="17"/>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1"/>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10.05 %</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162,960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6"/>
                <w:szCs w:val="16"/>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23: Capital Ratios for the Bank</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0"/>
        </w:trPr>
        <w:tc>
          <w:tcPr>
            <w:tcW w:w="21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4"/>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Required for Capital Adequacy</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Ratio to be Well-Capitalized under</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609"/>
              <w:spacing w:after="0" w:line="190" w:lineRule="exact"/>
              <w:rPr>
                <w:sz w:val="20"/>
                <w:szCs w:val="20"/>
                <w:color w:val="auto"/>
              </w:rPr>
            </w:pPr>
            <w:r>
              <w:rPr>
                <w:rFonts w:ascii="Times New Roman" w:cs="Times New Roman" w:eastAsia="Times New Roman" w:hAnsi="Times New Roman"/>
                <w:sz w:val="14"/>
                <w:szCs w:val="14"/>
                <w:b w:val="1"/>
                <w:bCs w:val="1"/>
                <w:color w:val="auto"/>
                <w:w w:val="99"/>
              </w:rPr>
              <w:t>Purposes</w:t>
            </w:r>
            <w:r>
              <w:rPr>
                <w:rFonts w:ascii="Times New Roman" w:cs="Times New Roman" w:eastAsia="Times New Roman" w:hAnsi="Times New Roman"/>
                <w:sz w:val="18"/>
                <w:szCs w:val="18"/>
                <w:b w:val="1"/>
                <w:bCs w:val="1"/>
                <w:color w:val="auto"/>
                <w:w w:val="99"/>
                <w:vertAlign w:val="superscript"/>
              </w:rPr>
              <w:t>1</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Prompt Corrective Action Provisions</w:t>
            </w:r>
          </w:p>
        </w:tc>
        <w:tc>
          <w:tcPr>
            <w:tcW w:w="0" w:type="dxa"/>
            <w:vAlign w:val="bottom"/>
          </w:tcPr>
          <w:p>
            <w:pPr>
              <w:spacing w:after="0"/>
              <w:rPr>
                <w:sz w:val="1"/>
                <w:szCs w:val="1"/>
                <w:color w:val="auto"/>
              </w:rPr>
            </w:pPr>
          </w:p>
        </w:tc>
      </w:tr>
      <w:tr>
        <w:trPr>
          <w:trHeight w:val="187"/>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Ratio</w:t>
            </w:r>
          </w:p>
        </w:tc>
        <w:tc>
          <w:tcPr>
            <w:tcW w:w="0" w:type="dxa"/>
            <w:vAlign w:val="bottom"/>
          </w:tcPr>
          <w:p>
            <w:pPr>
              <w:spacing w:after="0"/>
              <w:rPr>
                <w:sz w:val="1"/>
                <w:szCs w:val="1"/>
                <w:color w:val="auto"/>
              </w:rPr>
            </w:pPr>
          </w:p>
        </w:tc>
      </w:tr>
      <w:tr>
        <w:trPr>
          <w:trHeight w:val="199"/>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554,071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342,984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2"/>
        </w:trPr>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510,067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257,238</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9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192,928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0" w:type="dxa"/>
            <w:vAlign w:val="bottom"/>
          </w:tcPr>
          <w:p>
            <w:pPr>
              <w:spacing w:after="0"/>
              <w:rPr>
                <w:sz w:val="1"/>
                <w:szCs w:val="1"/>
                <w:color w:val="auto"/>
              </w:rPr>
            </w:pPr>
          </w:p>
        </w:tc>
      </w:tr>
      <w:tr>
        <w:trPr>
          <w:trHeight w:val="208"/>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510,067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9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504,896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13.59 %</w:t>
            </w: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208"/>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167,184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0" w:type="dxa"/>
            <w:vAlign w:val="bottom"/>
          </w:tcPr>
          <w:p>
            <w:pPr>
              <w:spacing w:after="0"/>
              <w:rPr>
                <w:sz w:val="1"/>
                <w:szCs w:val="1"/>
                <w:color w:val="auto"/>
              </w:rPr>
            </w:pPr>
          </w:p>
        </w:tc>
      </w:tr>
      <w:tr>
        <w:trPr>
          <w:trHeight w:val="191"/>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162,942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480" w:hanging="476"/>
        <w:spacing w:after="0"/>
        <w:tabs>
          <w:tab w:leader="none" w:pos="48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listed capital adequacy ratios exclude capital conservation buffers.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15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For a discussion of the expected impact of accounting pronouncements recently adopted and accounting pronouncements recently issued but not yet adopted by us as of December 31, 2025, see Note 2, Recently Issued Accounting Standards, in the notes to our audited consolidated financial statements included in this Annual Report on Form 10-K.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Management believes that tangible shareholders’ equity to tangible assets is a useful financial measure because it enables management, investors, and others to assess the Company’s financial health based on tangible capital.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Management believes that tangible book value per share is a useful financial measure because it enables management, investors, and others to assess the Company’s value and use of equity. We had no goodwill or other intangible assets at the end of any period indicated. As a result, tangible book value per share is the same as book value per share at the end of each of the periods indicated.</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non-GAAP financial measures when making comparisons.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 About Market Risk</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total interest income was $66.4 million for the three months ended December 31, 2025 and $248.9 million for the year ended December 31, 2025. Our total interest expense was $24.4 million for the three months ended December 31, 2025 and $97.0 million for the year ended December 31, 2025. Overall, our net interest income was $42.1 million for the three months ended December 31, 2025 and $151.9 million for the year ended December 31, 2025.</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December 31, 2025, the Company carried a slightly higher balance of assets than liabilities that will reprice within the next twelve months in the event that interest rates fall.</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on a monthly basis and our Director Asset Liability Committee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76" w:name="page77"/>
    <w:bookmarkEnd w:id="76"/>
    <w:p>
      <w:pPr>
        <w:jc w:val="both"/>
        <w:spacing w:after="0" w:line="271" w:lineRule="auto"/>
        <w:rPr>
          <w:sz w:val="20"/>
          <w:szCs w:val="20"/>
          <w:color w:val="auto"/>
        </w:rPr>
      </w:pPr>
      <w:r>
        <w:rPr>
          <w:rFonts w:ascii="Times New Roman" w:cs="Times New Roman" w:eastAsia="Times New Roman" w:hAnsi="Times New Roman"/>
          <w:sz w:val="14"/>
          <w:szCs w:val="14"/>
          <w:color w:val="auto"/>
        </w:rPr>
        <w:t>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3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As of December 31, 2025, the overnight federal funds rate (the rate used in the interest rate shock scenarios listed below) was 3.64%, a decrease from 4.33% at December 31, 2024. The scenarios presented assume that interest rates change instantaneously (“shock”) and that there are no significant changes in the structure of the Company’s balance sheet over the twelve months being measured.</w:t>
      </w:r>
    </w:p>
    <w:p>
      <w:pPr>
        <w:spacing w:after="0" w:line="3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Table 24 summarizes the estimated effect on net interest income and EVE from changing interest rates as measured against a flat rate (no interest rate change) instantaneous parallel shock scenario over a twelve-month period utilizing an interest sensitivity (GAP) analysis based on the Company’s specific mix of interest-earning assets and interest-bearing liabilities as of December 31, 2025 and 2024.</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24: Estimated Effect on Net Interest Income and EVE from Changing Interest Rates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20" w:type="dxa"/>
            <w:vAlign w:val="bottom"/>
            <w:gridSpan w:val="3"/>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3820" w:type="dxa"/>
            <w:vAlign w:val="bottom"/>
            <w:gridSpan w:val="3"/>
          </w:tcPr>
          <w:p>
            <w:pPr>
              <w:jc w:val="right"/>
              <w:ind w:right="126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3580" w:type="dxa"/>
            <w:vAlign w:val="bottom"/>
            <w:gridSpan w:val="2"/>
            <w:vMerge w:val="continue"/>
          </w:tcPr>
          <w:p>
            <w:pPr>
              <w:spacing w:after="0"/>
              <w:rPr>
                <w:sz w:val="24"/>
                <w:szCs w:val="24"/>
                <w:color w:val="auto"/>
              </w:rPr>
            </w:pPr>
          </w:p>
        </w:tc>
        <w:tc>
          <w:tcPr>
            <w:tcW w:w="186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Estimated Change in NII</w:t>
            </w:r>
          </w:p>
        </w:tc>
        <w:tc>
          <w:tcPr>
            <w:tcW w:w="80" w:type="dxa"/>
            <w:vAlign w:val="bottom"/>
          </w:tcPr>
          <w:p>
            <w:pPr>
              <w:spacing w:after="0"/>
              <w:rPr>
                <w:sz w:val="24"/>
                <w:szCs w:val="24"/>
                <w:color w:val="auto"/>
              </w:rPr>
            </w:pPr>
          </w:p>
        </w:tc>
        <w:tc>
          <w:tcPr>
            <w:tcW w:w="18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 Change in EVE</w:t>
            </w:r>
          </w:p>
        </w:tc>
        <w:tc>
          <w:tcPr>
            <w:tcW w:w="80" w:type="dxa"/>
            <w:vAlign w:val="bottom"/>
          </w:tcPr>
          <w:p>
            <w:pPr>
              <w:spacing w:after="0"/>
              <w:rPr>
                <w:sz w:val="24"/>
                <w:szCs w:val="24"/>
                <w:color w:val="auto"/>
              </w:rPr>
            </w:pPr>
          </w:p>
        </w:tc>
        <w:tc>
          <w:tcPr>
            <w:tcW w:w="18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 Change in NII</w:t>
            </w:r>
          </w:p>
        </w:tc>
        <w:tc>
          <w:tcPr>
            <w:tcW w:w="100" w:type="dxa"/>
            <w:vAlign w:val="bottom"/>
          </w:tcPr>
          <w:p>
            <w:pPr>
              <w:spacing w:after="0"/>
              <w:rPr>
                <w:sz w:val="24"/>
                <w:szCs w:val="24"/>
                <w:color w:val="auto"/>
              </w:rPr>
            </w:pPr>
          </w:p>
        </w:tc>
        <w:tc>
          <w:tcPr>
            <w:tcW w:w="18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Estimated Change in EVE</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basis points)</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(as % of NII)</w:t>
            </w:r>
          </w:p>
        </w:tc>
        <w:tc>
          <w:tcPr>
            <w:tcW w:w="8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(as % of EVE)</w:t>
            </w:r>
          </w:p>
        </w:tc>
        <w:tc>
          <w:tcPr>
            <w:tcW w:w="8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(as % of NII)</w:t>
            </w: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(as % of EVE)</w:t>
            </w:r>
          </w:p>
        </w:tc>
        <w:tc>
          <w:tcPr>
            <w:tcW w:w="0" w:type="dxa"/>
            <w:vAlign w:val="bottom"/>
          </w:tcPr>
          <w:p>
            <w:pPr>
              <w:spacing w:after="0"/>
              <w:rPr>
                <w:sz w:val="1"/>
                <w:szCs w:val="1"/>
                <w:color w:val="auto"/>
              </w:rPr>
            </w:pPr>
          </w:p>
        </w:tc>
      </w:tr>
      <w:tr>
        <w:trPr>
          <w:trHeight w:val="196"/>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(shock)</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0" w:type="dxa"/>
            <w:vAlign w:val="bottom"/>
          </w:tcPr>
          <w:p>
            <w:pPr>
              <w:spacing w:after="0"/>
              <w:rPr>
                <w:sz w:val="1"/>
                <w:szCs w:val="1"/>
                <w:color w:val="auto"/>
              </w:rPr>
            </w:pPr>
          </w:p>
        </w:tc>
      </w:tr>
      <w:tr>
        <w:trPr>
          <w:trHeight w:val="197"/>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(shock)</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(shock)</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(0.47)%</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7"/>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+ 0 (flat)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9"/>
        </w:trPr>
        <w:tc>
          <w:tcPr>
            <w:tcW w:w="3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(shock)</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0.86 %</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2.45 %</w:t>
            </w:r>
          </w:p>
        </w:tc>
        <w:tc>
          <w:tcPr>
            <w:tcW w:w="1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3.93 %</w:t>
            </w:r>
          </w:p>
        </w:tc>
        <w:tc>
          <w:tcPr>
            <w:tcW w:w="0" w:type="dxa"/>
            <w:vAlign w:val="bottom"/>
          </w:tcPr>
          <w:p>
            <w:pPr>
              <w:spacing w:after="0"/>
              <w:rPr>
                <w:sz w:val="1"/>
                <w:szCs w:val="1"/>
                <w:color w:val="auto"/>
              </w:rPr>
            </w:pPr>
          </w:p>
        </w:tc>
      </w:tr>
      <w:tr>
        <w:trPr>
          <w:trHeight w:val="197"/>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(shock)</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6.40 %</w:t>
            </w:r>
          </w:p>
        </w:tc>
        <w:tc>
          <w:tcPr>
            <w:tcW w:w="0" w:type="dxa"/>
            <w:vAlign w:val="bottom"/>
          </w:tcPr>
          <w:p>
            <w:pPr>
              <w:spacing w:after="0"/>
              <w:rPr>
                <w:sz w:val="1"/>
                <w:szCs w:val="1"/>
                <w:color w:val="auto"/>
              </w:rPr>
            </w:pPr>
          </w:p>
        </w:tc>
      </w:tr>
      <w:tr>
        <w:trPr>
          <w:trHeight w:val="208"/>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(shock)</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9.44 %</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8.79 %</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7.95 %</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10.12 %</w:t>
            </w: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computation of the prospective effects of hypothetical interest rate changes requires numerous assumptions, which are based upon our experience and published industry experience including, but not limited to, assumptions relating to expected maturities, hypothetical changes in interest rates, decay rates, and deposit betas.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6"/>
        </w:trPr>
        <w:tc>
          <w:tcPr>
            <w:tcW w:w="1102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60" w:type="dxa"/>
            <w:vAlign w:val="bottom"/>
            <w:gridSpan w:val="7"/>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82"/>
        </w:trPr>
        <w:tc>
          <w:tcPr>
            <w:tcW w:w="110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(Baker Tilly US LLP; PCAOB ID# 23)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
        </w:trPr>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
        </w:trPr>
        <w:tc>
          <w:tcPr>
            <w:tcW w:w="248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10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Income for the years ended December 31, 2025, 2024, and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248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line="20" w:lineRule="exact"/>
              <w:rPr>
                <w:sz w:val="1"/>
                <w:szCs w:val="1"/>
                <w:color w:val="auto"/>
              </w:rPr>
            </w:pPr>
          </w:p>
        </w:tc>
      </w:tr>
      <w:tr>
        <w:trPr>
          <w:trHeight w:val="193"/>
        </w:trPr>
        <w:tc>
          <w:tcPr>
            <w:tcW w:w="6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 for the years ended December 31, 2025, 2024, and 2023</w:t>
            </w:r>
          </w:p>
        </w:tc>
        <w:tc>
          <w:tcPr>
            <w:tcW w:w="4840" w:type="dxa"/>
            <w:vAlign w:val="bottom"/>
            <w:gridSpan w:val="4"/>
          </w:tcPr>
          <w:p>
            <w:pPr>
              <w:spacing w:after="0"/>
              <w:rPr>
                <w:sz w:val="16"/>
                <w:szCs w:val="16"/>
                <w:color w:val="auto"/>
              </w:rPr>
            </w:pPr>
          </w:p>
        </w:tc>
        <w:tc>
          <w:tcPr>
            <w:tcW w:w="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Consolidated Statements of Changes in Shareholders’ Equity for the years ended December 31, 2025, 2024, and 2023</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82"/>
        </w:trPr>
        <w:tc>
          <w:tcPr>
            <w:tcW w:w="63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40" w:type="dxa"/>
            <w:vAlign w:val="bottom"/>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43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2"/>
        </w:trPr>
        <w:tc>
          <w:tcPr>
            <w:tcW w:w="54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5540" w:type="dxa"/>
            <w:vAlign w:val="bottom"/>
            <w:gridSpan w:val="5"/>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746"/>
        </w:trPr>
        <w:tc>
          <w:tcPr>
            <w:tcW w:w="2480" w:type="dxa"/>
            <w:vAlign w:val="bottom"/>
            <w:tcBorders>
              <w:top w:val="single" w:sz="8" w:color="0000FF"/>
            </w:tcBorders>
          </w:tcPr>
          <w:p>
            <w:pPr>
              <w:spacing w:after="0"/>
              <w:rPr>
                <w:sz w:val="24"/>
                <w:szCs w:val="24"/>
                <w:color w:val="auto"/>
              </w:rPr>
            </w:pPr>
          </w:p>
        </w:tc>
        <w:tc>
          <w:tcPr>
            <w:tcW w:w="37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4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43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-796925</wp:posOffset>
            </wp:positionV>
            <wp:extent cx="2286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2860" cy="698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Five Star Bancorp and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Opinion on the Financial Statements</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Five Star Bancorp (and subsidiary) (the “Company”) as of December 31, 2025 and 2024, the related consolidated statements of income, comprehensive income, changes in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cash flows for each of the three years in the period ended December 31, 2025,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for Opinion</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Baker Tilly US,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Everett, 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2010.</w:t>
      </w:r>
    </w:p>
    <w:p>
      <w:pPr>
        <w:spacing w:after="0" w:line="200" w:lineRule="exact"/>
        <w:rPr>
          <w:sz w:val="20"/>
          <w:szCs w:val="20"/>
          <w:color w:val="auto"/>
        </w:rPr>
      </w:pPr>
    </w:p>
    <w:p>
      <w:pPr>
        <w:spacing w:after="0" w:line="28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50165</wp:posOffset>
            </wp:positionV>
            <wp:extent cx="72123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0800"/>
          </w:cols>
          <w:pgMar w:left="820" w:top="927" w:right="298"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 and 2024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share amounts)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73"/>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Cash and due from financial institutions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33,978</w:t>
            </w:r>
          </w:p>
        </w:tc>
        <w:tc>
          <w:tcPr>
            <w:tcW w:w="440" w:type="dxa"/>
            <w:vAlign w:val="bottom"/>
            <w:gridSpan w:val="2"/>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33,882</w:t>
            </w:r>
          </w:p>
        </w:tc>
      </w:tr>
      <w:tr>
        <w:trPr>
          <w:trHeight w:val="197"/>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472,873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318,461</w:t>
            </w:r>
          </w:p>
        </w:tc>
      </w:tr>
      <w:tr>
        <w:trPr>
          <w:trHeight w:val="170"/>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506,851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352,343</w:t>
            </w:r>
          </w:p>
        </w:tc>
      </w:tr>
      <w:tr>
        <w:trPr>
          <w:trHeight w:val="24"/>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Time deposits in banks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4,121</w:t>
            </w:r>
          </w:p>
        </w:tc>
      </w:tr>
      <w:tr>
        <w:trPr>
          <w:trHeight w:val="164"/>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Securities available-for-sale, at fair value, net of allowance for credit losses of $0 at December 31, 2025 and 2024 (amortized cost of $107,197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1"/>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$115,757 at December 31, 2025 and 2024, respectively)</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94,699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98,194</w:t>
            </w:r>
          </w:p>
        </w:tc>
      </w:tr>
      <w:tr>
        <w:trPr>
          <w:trHeight w:val="16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Securities held-to-maturity, at amortized cost, net of allowance for credit losses of $20 at December 31, 2025 and 2024 (fair value of $1,995 and $2,353</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at December 31, 2025 and 2024, respectively)</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2,720</w:t>
            </w: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Loans held for sale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w:t>
            </w:r>
          </w:p>
        </w:tc>
      </w:tr>
      <w:tr>
        <w:trPr>
          <w:trHeight w:val="18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Loans held for investment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4,074,929</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3,532,686</w:t>
            </w: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Allowance for credit losses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(44,409)</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(37,791)</w:t>
            </w:r>
          </w:p>
        </w:tc>
      </w:tr>
      <w:tr>
        <w:trPr>
          <w:trHeight w:val="180"/>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Loans held for investment, net of allowance for credit losses</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4,030,520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3,494,895</w:t>
            </w: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FHLB stock</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18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leases, right-of-use asset, net</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6,245</w:t>
            </w: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Premises and equipment,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1,584</w:t>
            </w:r>
          </w:p>
        </w:tc>
      </w:tr>
      <w:tr>
        <w:trPr>
          <w:trHeight w:val="198"/>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Bank-owned life insurance, net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19,375</w:t>
            </w:r>
          </w:p>
        </w:tc>
      </w:tr>
      <w:tr>
        <w:trPr>
          <w:trHeight w:val="196"/>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68,680</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55,554</w:t>
            </w:r>
          </w:p>
        </w:tc>
      </w:tr>
      <w:tr>
        <w:trPr>
          <w:trHeight w:val="193"/>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4,754,861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4,053,278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8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182"/>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SHAREHOLDERS’ EQUITY</w:t>
            </w: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Deposits: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Non-interest-bearing</w:t>
            </w:r>
          </w:p>
        </w:tc>
        <w:tc>
          <w:tcPr>
            <w:tcW w:w="340" w:type="dxa"/>
            <w:vAlign w:val="bottom"/>
            <w:tcBorders>
              <w:bottom w:val="single" w:sz="8" w:color="CCEEFF"/>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1,084,537</w:t>
            </w:r>
          </w:p>
        </w:tc>
        <w:tc>
          <w:tcPr>
            <w:tcW w:w="440" w:type="dxa"/>
            <w:vAlign w:val="bottom"/>
            <w:tcBorders>
              <w:bottom w:val="single" w:sz="8" w:color="CCEEFF"/>
            </w:tcBorders>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922,629</w:t>
            </w:r>
          </w:p>
        </w:tc>
      </w:tr>
      <w:tr>
        <w:trPr>
          <w:trHeight w:val="185"/>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Interest-bearing</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3,116,547</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2,635,365</w:t>
            </w:r>
          </w:p>
        </w:tc>
      </w:tr>
      <w:tr>
        <w:trPr>
          <w:trHeight w:val="189"/>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deposits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4,201,084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3,557,994</w:t>
            </w:r>
          </w:p>
        </w:tc>
      </w:tr>
      <w:tr>
        <w:trPr>
          <w:trHeight w:val="178"/>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Borrowings: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Subordinated notes, net</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74,041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73,895</w:t>
            </w:r>
          </w:p>
        </w:tc>
      </w:tr>
      <w:tr>
        <w:trPr>
          <w:trHeight w:val="185"/>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borrowings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liability</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6,857</w:t>
            </w:r>
          </w:p>
        </w:tc>
      </w:tr>
      <w:tr>
        <w:trPr>
          <w:trHeight w:val="185"/>
        </w:trPr>
        <w:tc>
          <w:tcPr>
            <w:tcW w:w="8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22,032</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17,908</w:t>
            </w:r>
          </w:p>
        </w:tc>
      </w:tr>
      <w:tr>
        <w:trPr>
          <w:trHeight w:val="189"/>
        </w:trPr>
        <w:tc>
          <w:tcPr>
            <w:tcW w:w="82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4,309,029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3,656,654</w:t>
            </w:r>
          </w:p>
        </w:tc>
      </w:tr>
      <w:tr>
        <w:trPr>
          <w:trHeight w:val="185"/>
        </w:trPr>
        <w:tc>
          <w:tcPr>
            <w:tcW w:w="824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15)</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8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85"/>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Preferred stock, no par value; 10,000,000 shares authorized; zero issued and outstanding at December 31, 2025 and 2024</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Common stock, no par value; 100,000,000 shares authorized; 21,367,387 shares issued and outstanding at December 31, 2025; 21,319,083 shares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7"/>
        </w:trPr>
        <w:tc>
          <w:tcPr>
            <w:tcW w:w="8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issued and outstanding at December 31, 2024</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303,990</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302,531</w:t>
            </w:r>
          </w:p>
        </w:tc>
      </w:tr>
      <w:tr>
        <w:trPr>
          <w:trHeight w:val="185"/>
        </w:trPr>
        <w:tc>
          <w:tcPr>
            <w:tcW w:w="82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Retained earnings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150,985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106,464</w:t>
            </w: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loss, net of taxes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(9,143)</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(12,371)</w:t>
            </w:r>
          </w:p>
        </w:tc>
      </w:tr>
      <w:tr>
        <w:trPr>
          <w:trHeight w:val="170"/>
        </w:trPr>
        <w:tc>
          <w:tcPr>
            <w:tcW w:w="82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445,832</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396,624</w:t>
            </w:r>
          </w:p>
        </w:tc>
      </w:tr>
      <w:tr>
        <w:trPr>
          <w:trHeight w:val="193"/>
        </w:trPr>
        <w:tc>
          <w:tcPr>
            <w:tcW w:w="82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3"/>
                <w:szCs w:val="13"/>
                <w:b w:val="1"/>
                <w:bCs w:val="1"/>
                <w:color w:val="auto"/>
              </w:rPr>
              <w:t>Total liabilities and shareholders’ equity</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4,754,861</w:t>
            </w:r>
          </w:p>
        </w:tc>
        <w:tc>
          <w:tcPr>
            <w:tcW w:w="44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4,053,278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4"/>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Interest and fee income:</w:t>
            </w:r>
          </w:p>
        </w:tc>
        <w:tc>
          <w:tcPr>
            <w:tcW w:w="8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Loans, including fees</w:t>
            </w:r>
          </w:p>
        </w:tc>
        <w:tc>
          <w:tcPr>
            <w:tcW w:w="880" w:type="dxa"/>
            <w:vAlign w:val="bottom"/>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229,214</w:t>
            </w:r>
          </w:p>
        </w:tc>
        <w:tc>
          <w:tcPr>
            <w:tcW w:w="960" w:type="dxa"/>
            <w:vAlign w:val="bottom"/>
            <w:gridSpan w:val="2"/>
          </w:tcPr>
          <w:p>
            <w:pPr>
              <w:jc w:val="right"/>
              <w:ind w:right="733"/>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193,341</w:t>
            </w:r>
          </w:p>
        </w:tc>
        <w:tc>
          <w:tcPr>
            <w:tcW w:w="420" w:type="dxa"/>
            <w:vAlign w:val="bottom"/>
            <w:gridSpan w:val="2"/>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162,713</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Taxable securities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w:t>
            </w:r>
          </w:p>
        </w:tc>
        <w:tc>
          <w:tcPr>
            <w:tcW w:w="0" w:type="dxa"/>
            <w:vAlign w:val="bottom"/>
          </w:tcPr>
          <w:p>
            <w:pPr>
              <w:spacing w:after="0"/>
              <w:rPr>
                <w:sz w:val="1"/>
                <w:szCs w:val="1"/>
                <w:color w:val="auto"/>
              </w:rPr>
            </w:pPr>
          </w:p>
        </w:tc>
      </w:tr>
      <w:tr>
        <w:trPr>
          <w:trHeight w:val="185"/>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Nontaxable securities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Interest-bearing deposits in banks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17,421</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9,069</w:t>
            </w:r>
          </w:p>
        </w:tc>
        <w:tc>
          <w:tcPr>
            <w:tcW w:w="0" w:type="dxa"/>
            <w:vAlign w:val="bottom"/>
          </w:tcPr>
          <w:p>
            <w:pPr>
              <w:spacing w:after="0"/>
              <w:rPr>
                <w:sz w:val="1"/>
                <w:szCs w:val="1"/>
                <w:color w:val="auto"/>
              </w:rPr>
            </w:pPr>
          </w:p>
        </w:tc>
      </w:tr>
      <w:tr>
        <w:trPr>
          <w:trHeight w:val="172"/>
        </w:trPr>
        <w:tc>
          <w:tcPr>
            <w:tcW w:w="6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interest and fee income</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248,933</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206,951</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174,382</w:t>
            </w:r>
          </w:p>
        </w:tc>
        <w:tc>
          <w:tcPr>
            <w:tcW w:w="0" w:type="dxa"/>
            <w:vAlign w:val="bottom"/>
          </w:tcPr>
          <w:p>
            <w:pPr>
              <w:spacing w:after="0"/>
              <w:rPr>
                <w:sz w:val="1"/>
                <w:szCs w:val="1"/>
                <w:color w:val="auto"/>
              </w:rPr>
            </w:pPr>
          </w:p>
        </w:tc>
      </w:tr>
      <w:tr>
        <w:trPr>
          <w:trHeight w:val="162"/>
        </w:trPr>
        <w:tc>
          <w:tcPr>
            <w:tcW w:w="6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Deposits</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92,382</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57,861</w:t>
            </w:r>
          </w:p>
        </w:tc>
        <w:tc>
          <w:tcPr>
            <w:tcW w:w="0" w:type="dxa"/>
            <w:vAlign w:val="bottom"/>
          </w:tcPr>
          <w:p>
            <w:pPr>
              <w:spacing w:after="0"/>
              <w:rPr>
                <w:sz w:val="1"/>
                <w:szCs w:val="1"/>
                <w:color w:val="auto"/>
              </w:rPr>
            </w:pPr>
          </w:p>
        </w:tc>
      </w:tr>
      <w:tr>
        <w:trPr>
          <w:trHeight w:val="196"/>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Subordinated notes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borrowings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0" w:type="dxa"/>
            <w:vAlign w:val="bottom"/>
          </w:tcPr>
          <w:p>
            <w:pPr>
              <w:spacing w:after="0"/>
              <w:rPr>
                <w:sz w:val="1"/>
                <w:szCs w:val="1"/>
                <w:color w:val="auto"/>
              </w:rPr>
            </w:pPr>
          </w:p>
        </w:tc>
      </w:tr>
      <w:tr>
        <w:trPr>
          <w:trHeight w:val="161"/>
        </w:trPr>
        <w:tc>
          <w:tcPr>
            <w:tcW w:w="6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interest expense</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97,028</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87,240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63,502</w:t>
            </w:r>
          </w:p>
        </w:tc>
        <w:tc>
          <w:tcPr>
            <w:tcW w:w="0" w:type="dxa"/>
            <w:vAlign w:val="bottom"/>
          </w:tcPr>
          <w:p>
            <w:pPr>
              <w:spacing w:after="0"/>
              <w:rPr>
                <w:sz w:val="1"/>
                <w:szCs w:val="1"/>
                <w:color w:val="auto"/>
              </w:rPr>
            </w:pPr>
          </w:p>
        </w:tc>
      </w:tr>
      <w:tr>
        <w:trPr>
          <w:trHeight w:val="161"/>
        </w:trPr>
        <w:tc>
          <w:tcPr>
            <w:tcW w:w="6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940" w:type="dxa"/>
            <w:vAlign w:val="bottom"/>
          </w:tcPr>
          <w:p>
            <w:pPr>
              <w:spacing w:after="0"/>
              <w:rPr>
                <w:sz w:val="20"/>
                <w:szCs w:val="20"/>
                <w:color w:val="auto"/>
              </w:rPr>
            </w:pPr>
            <w:r>
              <w:rPr>
                <w:rFonts w:ascii="Times New Roman" w:cs="Times New Roman" w:eastAsia="Times New Roman" w:hAnsi="Times New Roman"/>
                <w:sz w:val="13"/>
                <w:szCs w:val="13"/>
                <w:color w:val="auto"/>
              </w:rPr>
              <w:t>Net interest income</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151,905</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119,711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110,880</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177"/>
        </w:trPr>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Net interest income after provision for credit losses</w:t>
            </w: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142,205</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112,761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106,880</w:t>
            </w:r>
          </w:p>
        </w:tc>
        <w:tc>
          <w:tcPr>
            <w:tcW w:w="0" w:type="dxa"/>
            <w:vAlign w:val="bottom"/>
          </w:tcPr>
          <w:p>
            <w:pPr>
              <w:spacing w:after="0"/>
              <w:rPr>
                <w:sz w:val="1"/>
                <w:szCs w:val="1"/>
                <w:color w:val="auto"/>
              </w:rPr>
            </w:pPr>
          </w:p>
        </w:tc>
      </w:tr>
      <w:tr>
        <w:trPr>
          <w:trHeight w:val="157"/>
        </w:trPr>
        <w:tc>
          <w:tcPr>
            <w:tcW w:w="6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Non-interest income:</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Service charges on deposit accounts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0" w:type="dxa"/>
            <w:vAlign w:val="bottom"/>
          </w:tcPr>
          <w:p>
            <w:pPr>
              <w:spacing w:after="0"/>
              <w:rPr>
                <w:sz w:val="1"/>
                <w:szCs w:val="1"/>
                <w:color w:val="auto"/>
              </w:rPr>
            </w:pPr>
          </w:p>
        </w:tc>
      </w:tr>
      <w:tr>
        <w:trPr>
          <w:trHeight w:val="178"/>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gain (loss) on sale of securities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sale of loans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0" w:type="dxa"/>
            <w:vAlign w:val="bottom"/>
          </w:tcPr>
          <w:p>
            <w:pPr>
              <w:spacing w:after="0"/>
              <w:rPr>
                <w:sz w:val="1"/>
                <w:szCs w:val="1"/>
                <w:color w:val="auto"/>
              </w:rPr>
            </w:pPr>
          </w:p>
        </w:tc>
      </w:tr>
      <w:tr>
        <w:trPr>
          <w:trHeight w:val="185"/>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Loan-related fees</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0" w:type="dxa"/>
            <w:vAlign w:val="bottom"/>
          </w:tcPr>
          <w:p>
            <w:pPr>
              <w:spacing w:after="0"/>
              <w:rPr>
                <w:sz w:val="1"/>
                <w:szCs w:val="1"/>
                <w:color w:val="auto"/>
              </w:rPr>
            </w:pPr>
          </w:p>
        </w:tc>
      </w:tr>
      <w:tr>
        <w:trPr>
          <w:trHeight w:val="189"/>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FHLB stock dividends</w:t>
            </w:r>
          </w:p>
        </w:tc>
        <w:tc>
          <w:tcPr>
            <w:tcW w:w="8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1,317</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0" w:type="dxa"/>
            <w:vAlign w:val="bottom"/>
          </w:tcPr>
          <w:p>
            <w:pPr>
              <w:spacing w:after="0"/>
              <w:rPr>
                <w:sz w:val="1"/>
                <w:szCs w:val="1"/>
                <w:color w:val="auto"/>
              </w:rPr>
            </w:pPr>
          </w:p>
        </w:tc>
      </w:tr>
      <w:tr>
        <w:trPr>
          <w:trHeight w:val="185"/>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Earnings on BOLI</w:t>
            </w: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97"/>
        </w:trPr>
        <w:tc>
          <w:tcPr>
            <w:tcW w:w="6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0" w:type="dxa"/>
            <w:vAlign w:val="bottom"/>
          </w:tcPr>
          <w:p>
            <w:pPr>
              <w:spacing w:after="0"/>
              <w:rPr>
                <w:sz w:val="1"/>
                <w:szCs w:val="1"/>
                <w:color w:val="auto"/>
              </w:rPr>
            </w:pPr>
          </w:p>
        </w:tc>
      </w:tr>
      <w:tr>
        <w:trPr>
          <w:trHeight w:val="172"/>
        </w:trPr>
        <w:tc>
          <w:tcPr>
            <w:tcW w:w="69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Total non-interest income</w:t>
            </w: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6,535</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6,453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7,511</w:t>
            </w:r>
          </w:p>
        </w:tc>
        <w:tc>
          <w:tcPr>
            <w:tcW w:w="0" w:type="dxa"/>
            <w:vAlign w:val="bottom"/>
          </w:tcPr>
          <w:p>
            <w:pPr>
              <w:spacing w:after="0"/>
              <w:rPr>
                <w:sz w:val="1"/>
                <w:szCs w:val="1"/>
                <w:color w:val="auto"/>
              </w:rPr>
            </w:pPr>
          </w:p>
        </w:tc>
      </w:tr>
      <w:tr>
        <w:trPr>
          <w:trHeight w:val="152"/>
        </w:trPr>
        <w:tc>
          <w:tcPr>
            <w:tcW w:w="69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6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Non-interest expense:</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Salaries and employee benefits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37,885</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27,097</w:t>
            </w:r>
          </w:p>
        </w:tc>
        <w:tc>
          <w:tcPr>
            <w:tcW w:w="0" w:type="dxa"/>
            <w:vAlign w:val="bottom"/>
          </w:tcPr>
          <w:p>
            <w:pPr>
              <w:spacing w:after="0"/>
              <w:rPr>
                <w:sz w:val="1"/>
                <w:szCs w:val="1"/>
                <w:color w:val="auto"/>
              </w:rPr>
            </w:pPr>
          </w:p>
        </w:tc>
      </w:tr>
      <w:tr>
        <w:trPr>
          <w:trHeight w:val="178"/>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Occupancy and equipment</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Data processing and software</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6,121</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4,015</w:t>
            </w:r>
          </w:p>
        </w:tc>
        <w:tc>
          <w:tcPr>
            <w:tcW w:w="0" w:type="dxa"/>
            <w:vAlign w:val="bottom"/>
          </w:tcPr>
          <w:p>
            <w:pPr>
              <w:spacing w:after="0"/>
              <w:rPr>
                <w:sz w:val="1"/>
                <w:szCs w:val="1"/>
                <w:color w:val="auto"/>
              </w:rPr>
            </w:pPr>
          </w:p>
        </w:tc>
      </w:tr>
      <w:tr>
        <w:trPr>
          <w:trHeight w:val="178"/>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FDIC insurance</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Professional services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w:t>
            </w:r>
          </w:p>
        </w:tc>
        <w:tc>
          <w:tcPr>
            <w:tcW w:w="0" w:type="dxa"/>
            <w:vAlign w:val="bottom"/>
          </w:tcPr>
          <w:p>
            <w:pPr>
              <w:spacing w:after="0"/>
              <w:rPr>
                <w:sz w:val="1"/>
                <w:szCs w:val="1"/>
                <w:color w:val="auto"/>
              </w:rPr>
            </w:pPr>
          </w:p>
        </w:tc>
      </w:tr>
      <w:tr>
        <w:trPr>
          <w:trHeight w:val="178"/>
        </w:trPr>
        <w:tc>
          <w:tcPr>
            <w:tcW w:w="6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Advertising and promotional</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3,178</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2,403</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Loan-related expenses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1,192</w:t>
            </w:r>
          </w:p>
        </w:tc>
        <w:tc>
          <w:tcPr>
            <w:tcW w:w="0" w:type="dxa"/>
            <w:vAlign w:val="bottom"/>
          </w:tcPr>
          <w:p>
            <w:pPr>
              <w:spacing w:after="0"/>
              <w:rPr>
                <w:sz w:val="1"/>
                <w:szCs w:val="1"/>
                <w:color w:val="auto"/>
              </w:rPr>
            </w:pPr>
          </w:p>
        </w:tc>
      </w:tr>
      <w:tr>
        <w:trPr>
          <w:trHeight w:val="185"/>
        </w:trPr>
        <w:tc>
          <w:tcPr>
            <w:tcW w:w="6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7,946</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0" w:type="dxa"/>
            <w:vAlign w:val="bottom"/>
          </w:tcPr>
          <w:p>
            <w:pPr>
              <w:spacing w:after="0"/>
              <w:rPr>
                <w:sz w:val="1"/>
                <w:szCs w:val="1"/>
                <w:color w:val="auto"/>
              </w:rPr>
            </w:pPr>
          </w:p>
        </w:tc>
      </w:tr>
      <w:tr>
        <w:trPr>
          <w:trHeight w:val="175"/>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non-interest expense</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65,008</w:t>
            </w:r>
          </w:p>
        </w:tc>
        <w:tc>
          <w:tcPr>
            <w:tcW w:w="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54,493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47,775</w:t>
            </w:r>
          </w:p>
        </w:tc>
        <w:tc>
          <w:tcPr>
            <w:tcW w:w="0" w:type="dxa"/>
            <w:vAlign w:val="bottom"/>
          </w:tcPr>
          <w:p>
            <w:pPr>
              <w:spacing w:after="0"/>
              <w:rPr>
                <w:sz w:val="1"/>
                <w:szCs w:val="1"/>
                <w:color w:val="auto"/>
              </w:rPr>
            </w:pPr>
          </w:p>
        </w:tc>
      </w:tr>
      <w:tr>
        <w:trPr>
          <w:trHeight w:val="154"/>
        </w:trPr>
        <w:tc>
          <w:tcPr>
            <w:tcW w:w="6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provision for income taxes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83,732</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66,616</w:t>
            </w:r>
          </w:p>
        </w:tc>
        <w:tc>
          <w:tcPr>
            <w:tcW w:w="0" w:type="dxa"/>
            <w:vAlign w:val="bottom"/>
          </w:tcPr>
          <w:p>
            <w:pPr>
              <w:spacing w:after="0"/>
              <w:rPr>
                <w:sz w:val="1"/>
                <w:szCs w:val="1"/>
                <w:color w:val="auto"/>
              </w:rPr>
            </w:pPr>
          </w:p>
        </w:tc>
      </w:tr>
      <w:tr>
        <w:trPr>
          <w:trHeight w:val="202"/>
        </w:trPr>
        <w:tc>
          <w:tcPr>
            <w:tcW w:w="6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22,126</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18,882</w:t>
            </w:r>
          </w:p>
        </w:tc>
        <w:tc>
          <w:tcPr>
            <w:tcW w:w="0" w:type="dxa"/>
            <w:vAlign w:val="bottom"/>
          </w:tcPr>
          <w:p>
            <w:pPr>
              <w:spacing w:after="0"/>
              <w:rPr>
                <w:sz w:val="1"/>
                <w:szCs w:val="1"/>
                <w:color w:val="auto"/>
              </w:rPr>
            </w:pPr>
          </w:p>
        </w:tc>
      </w:tr>
      <w:tr>
        <w:trPr>
          <w:trHeight w:val="192"/>
        </w:trPr>
        <w:tc>
          <w:tcPr>
            <w:tcW w:w="69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61,606</w:t>
            </w:r>
          </w:p>
        </w:tc>
        <w:tc>
          <w:tcPr>
            <w:tcW w:w="960" w:type="dxa"/>
            <w:vAlign w:val="bottom"/>
            <w:gridSpan w:val="2"/>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45,671</w:t>
            </w:r>
          </w:p>
        </w:tc>
        <w:tc>
          <w:tcPr>
            <w:tcW w:w="42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47,734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Basic earnings per common share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Diluted earnings per common share</w:t>
            </w: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7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2.90</w:t>
            </w:r>
          </w:p>
        </w:tc>
        <w:tc>
          <w:tcPr>
            <w:tcW w:w="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73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ind w:right="173"/>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2.78</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106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r>
      <w:tr>
        <w:trPr>
          <w:trHeight w:val="213"/>
        </w:trPr>
        <w:tc>
          <w:tcPr>
            <w:tcW w:w="6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6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7"/>
        </w:trPr>
        <w:tc>
          <w:tcPr>
            <w:tcW w:w="6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holding gain (loss) on securities available-for-sale during the period</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5,067</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2,228</w:t>
            </w:r>
          </w:p>
        </w:tc>
      </w:tr>
      <w:tr>
        <w:trPr>
          <w:trHeight w:val="199"/>
        </w:trPr>
        <w:tc>
          <w:tcPr>
            <w:tcW w:w="66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Reclassification for net loss on sale of securities included in net income</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1"/>
        </w:trPr>
        <w:tc>
          <w:tcPr>
            <w:tcW w:w="66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Less: Income tax expense (benefit) related to items of other comprehensive income (loss)</w:t>
            </w: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w:t>
            </w:r>
          </w:p>
        </w:tc>
      </w:tr>
      <w:tr>
        <w:trPr>
          <w:trHeight w:val="19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1,687</w:t>
            </w:r>
          </w:p>
        </w:tc>
      </w:tr>
      <w:tr>
        <w:trPr>
          <w:trHeight w:val="202"/>
        </w:trPr>
        <w:tc>
          <w:tcPr>
            <w:tcW w:w="66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02"/>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64,834</w:t>
            </w:r>
          </w:p>
        </w:tc>
        <w:tc>
          <w:tcPr>
            <w:tcW w:w="106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45,067</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49,421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2600" w:type="dxa"/>
            <w:vAlign w:val="bottom"/>
            <w:gridSpan w:val="4"/>
            <w:vMerge w:val="restart"/>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1"/>
                <w:szCs w:val="11"/>
                <w:color w:val="auto"/>
              </w:rPr>
            </w:pPr>
          </w:p>
        </w:tc>
        <w:tc>
          <w:tcPr>
            <w:tcW w:w="260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ind w:right="49"/>
              <w:spacing w:after="0" w:line="125"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69"/>
              <w:spacing w:after="0" w:line="125"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26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17,241,926</w:t>
            </w:r>
          </w:p>
        </w:tc>
        <w:tc>
          <w:tcPr>
            <w:tcW w:w="3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219,543</w:t>
            </w:r>
          </w:p>
        </w:tc>
        <w:tc>
          <w:tcPr>
            <w:tcW w:w="48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252,825</w:t>
            </w:r>
          </w:p>
        </w:tc>
        <w:tc>
          <w:tcPr>
            <w:tcW w:w="0" w:type="dxa"/>
            <w:vAlign w:val="bottom"/>
          </w:tcPr>
          <w:p>
            <w:pPr>
              <w:spacing w:after="0"/>
              <w:rPr>
                <w:sz w:val="1"/>
                <w:szCs w:val="1"/>
                <w:color w:val="auto"/>
              </w:rPr>
            </w:pPr>
          </w:p>
        </w:tc>
      </w:t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Cumulative effect of adoption of ASC 326 on retained earnings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forfeitures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paid ($0.75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(12,943)</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17,256,989</w:t>
            </w:r>
          </w:p>
        </w:tc>
        <w:tc>
          <w:tcPr>
            <w:tcW w:w="3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220,505</w:t>
            </w:r>
          </w:p>
        </w:tc>
        <w:tc>
          <w:tcPr>
            <w:tcW w:w="48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285,774</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0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forfeitures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3,967,500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c>
          <w:tcPr>
            <w:tcW w:w="0" w:type="dxa"/>
            <w:vAlign w:val="bottom"/>
          </w:tcPr>
          <w:p>
            <w:pPr>
              <w:spacing w:after="0"/>
              <w:rPr>
                <w:sz w:val="1"/>
                <w:szCs w:val="1"/>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paid ($0.80 per share)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(16,243)</w:t>
            </w:r>
          </w:p>
        </w:tc>
        <w:tc>
          <w:tcPr>
            <w:tcW w:w="0" w:type="dxa"/>
            <w:vAlign w:val="bottom"/>
          </w:tcPr>
          <w:p>
            <w:pPr>
              <w:spacing w:after="0"/>
              <w:rPr>
                <w:sz w:val="1"/>
                <w:szCs w:val="1"/>
                <w:color w:val="auto"/>
              </w:rPr>
            </w:pPr>
          </w:p>
        </w:tc>
      </w:tr>
      <w:tr>
        <w:trPr>
          <w:trHeight w:val="172"/>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21,319,083</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302,531</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106,464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396,624</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Stock issued under stock award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
        </w:trPr>
        <w:tc>
          <w:tcPr>
            <w:tcW w:w="4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0" w:type="dxa"/>
            <w:vAlign w:val="bottom"/>
          </w:tcPr>
          <w:p>
            <w:pPr>
              <w:spacing w:after="0"/>
              <w:rPr>
                <w:sz w:val="1"/>
                <w:szCs w:val="1"/>
                <w:color w:val="auto"/>
              </w:rPr>
            </w:pPr>
          </w:p>
        </w:tc>
      </w:tr>
      <w:tr>
        <w:trPr>
          <w:trHeight w:val="197"/>
        </w:trPr>
        <w:tc>
          <w:tcPr>
            <w:tcW w:w="4040" w:type="dxa"/>
            <w:vAlign w:val="bottom"/>
          </w:tcPr>
          <w:p>
            <w:pPr>
              <w:spacing w:after="0"/>
              <w:rPr>
                <w:sz w:val="20"/>
                <w:szCs w:val="20"/>
                <w:color w:val="auto"/>
              </w:rPr>
            </w:pPr>
            <w:r>
              <w:rPr>
                <w:rFonts w:ascii="Times New Roman" w:cs="Times New Roman" w:eastAsia="Times New Roman" w:hAnsi="Times New Roman"/>
                <w:sz w:val="14"/>
                <w:szCs w:val="14"/>
                <w:color w:val="auto"/>
              </w:rPr>
              <w:t>Stock forfeitures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dividends paid ($0.80 per share)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(17,085)</w:t>
            </w:r>
          </w:p>
        </w:tc>
        <w:tc>
          <w:tcPr>
            <w:tcW w:w="0" w:type="dxa"/>
            <w:vAlign w:val="bottom"/>
          </w:tcPr>
          <w:p>
            <w:pPr>
              <w:spacing w:after="0"/>
              <w:rPr>
                <w:sz w:val="1"/>
                <w:szCs w:val="1"/>
                <w:color w:val="auto"/>
              </w:rPr>
            </w:pPr>
          </w:p>
        </w:tc>
      </w:tr>
      <w:tr>
        <w:trPr>
          <w:trHeight w:val="183"/>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21,367,387</w:t>
            </w:r>
          </w:p>
        </w:tc>
        <w:tc>
          <w:tcPr>
            <w:tcW w:w="3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303,990</w:t>
            </w:r>
          </w:p>
        </w:tc>
        <w:tc>
          <w:tcPr>
            <w:tcW w:w="480" w:type="dxa"/>
            <w:vAlign w:val="bottom"/>
            <w:gridSpan w:val="2"/>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445,832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b w:val="1"/>
          <w:bCs w:val="1"/>
          <w:color w:val="auto"/>
        </w:rPr>
        <w:t>FIVE STAR BANCORP AND SUBSIDIARY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8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2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61,606</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47,734</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0" w:type="dxa"/>
            <w:vAlign w:val="bottom"/>
          </w:tcPr>
          <w:p>
            <w:pPr>
              <w:spacing w:after="0"/>
              <w:rPr>
                <w:sz w:val="1"/>
                <w:szCs w:val="1"/>
                <w:color w:val="auto"/>
              </w:rPr>
            </w:pPr>
          </w:p>
        </w:tc>
      </w:tr>
      <w:tr>
        <w:trPr>
          <w:trHeight w:val="178"/>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deferred loan fees and costs</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premiums and discounts on securities</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1,152</w:t>
            </w:r>
          </w:p>
        </w:tc>
        <w:tc>
          <w:tcPr>
            <w:tcW w:w="0" w:type="dxa"/>
            <w:vAlign w:val="bottom"/>
          </w:tcPr>
          <w:p>
            <w:pPr>
              <w:spacing w:after="0"/>
              <w:rPr>
                <w:sz w:val="1"/>
                <w:szCs w:val="1"/>
                <w:color w:val="auto"/>
              </w:rPr>
            </w:pPr>
          </w:p>
        </w:tc>
      </w:tr>
      <w:tr>
        <w:trPr>
          <w:trHeight w:val="185"/>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subordinated note issuance costs</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low income housing tax credits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85"/>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 compensation expense</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Earnings on BOLI</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85"/>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tax provision</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 of transferable tax credits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5"/>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Loans originated for sale</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(21,654)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(47,922)</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sale of loans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(1,952)</w:t>
            </w:r>
          </w:p>
        </w:tc>
        <w:tc>
          <w:tcPr>
            <w:tcW w:w="0" w:type="dxa"/>
            <w:vAlign w:val="bottom"/>
          </w:tcPr>
          <w:p>
            <w:pPr>
              <w:spacing w:after="0"/>
              <w:rPr>
                <w:sz w:val="1"/>
                <w:szCs w:val="1"/>
                <w:color w:val="auto"/>
              </w:rPr>
            </w:pPr>
          </w:p>
        </w:tc>
      </w:tr>
      <w:tr>
        <w:trPr>
          <w:trHeight w:val="185"/>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Gross proceeds from sale of loans</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38,410</w:t>
            </w: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loss (gain) on sale of securities available-for-sale</w:t>
            </w:r>
          </w:p>
        </w:tc>
        <w:tc>
          <w:tcPr>
            <w:tcW w:w="2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8"/>
        </w:trPr>
        <w:tc>
          <w:tcPr>
            <w:tcW w:w="50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Earnings on equity investments</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changes in:</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Interest receivable and other assets</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(3,708)</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Interest payable and other liabilities</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20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77"/>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2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72,612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51,786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38,914</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from sale of securities available-for-sale</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0" w:type="dxa"/>
            <w:vAlign w:val="bottom"/>
          </w:tcPr>
          <w:p>
            <w:pPr>
              <w:spacing w:after="0"/>
              <w:rPr>
                <w:sz w:val="1"/>
                <w:szCs w:val="1"/>
                <w:color w:val="auto"/>
              </w:rPr>
            </w:pPr>
          </w:p>
        </w:tc>
      </w:tr>
      <w:tr>
        <w:trPr>
          <w:trHeight w:val="185"/>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Maturities, prepayments, and calls of securities available-for-sale</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10,056</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Purchases of securities available-for-sale</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w:t>
            </w:r>
          </w:p>
        </w:tc>
        <w:tc>
          <w:tcPr>
            <w:tcW w:w="0" w:type="dxa"/>
            <w:vAlign w:val="bottom"/>
          </w:tcPr>
          <w:p>
            <w:pPr>
              <w:spacing w:after="0"/>
              <w:rPr>
                <w:sz w:val="1"/>
                <w:szCs w:val="1"/>
                <w:color w:val="auto"/>
              </w:rPr>
            </w:pPr>
          </w:p>
        </w:tc>
      </w:tr>
      <w:tr>
        <w:trPr>
          <w:trHeight w:val="185"/>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call for equity investments</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Proceeds received from equity investments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0" w:type="dxa"/>
            <w:vAlign w:val="bottom"/>
          </w:tcPr>
          <w:p>
            <w:pPr>
              <w:spacing w:after="0"/>
              <w:rPr>
                <w:sz w:val="1"/>
                <w:szCs w:val="1"/>
                <w:color w:val="auto"/>
              </w:rPr>
            </w:pPr>
          </w:p>
        </w:tc>
      </w:tr>
      <w:tr>
        <w:trPr>
          <w:trHeight w:val="185"/>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Capital call for low income housing tax credits</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change in time deposits in banks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0" w:type="dxa"/>
            <w:vAlign w:val="bottom"/>
          </w:tcPr>
          <w:p>
            <w:pPr>
              <w:spacing w:after="0"/>
              <w:rPr>
                <w:sz w:val="1"/>
                <w:szCs w:val="1"/>
                <w:color w:val="auto"/>
              </w:rPr>
            </w:pPr>
          </w:p>
        </w:tc>
      </w:tr>
      <w:tr>
        <w:trPr>
          <w:trHeight w:val="185"/>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Loan originations, net of repayments</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(544,152)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(442,843)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(284,314)</w:t>
            </w:r>
          </w:p>
        </w:tc>
        <w:tc>
          <w:tcPr>
            <w:tcW w:w="0" w:type="dxa"/>
            <w:vAlign w:val="bottom"/>
          </w:tcPr>
          <w:p>
            <w:pPr>
              <w:spacing w:after="0"/>
              <w:rPr>
                <w:sz w:val="1"/>
                <w:szCs w:val="1"/>
                <w:color w:val="auto"/>
              </w:rPr>
            </w:pPr>
          </w:p>
        </w:tc>
      </w:tr>
      <w:tr>
        <w:trPr>
          <w:trHeight w:val="198"/>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premises and equipment, net</w:t>
            </w:r>
          </w:p>
        </w:tc>
        <w:tc>
          <w:tcPr>
            <w:tcW w:w="2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0" w:type="dxa"/>
            <w:vAlign w:val="bottom"/>
          </w:tcPr>
          <w:p>
            <w:pPr>
              <w:spacing w:after="0"/>
              <w:rPr>
                <w:sz w:val="1"/>
                <w:szCs w:val="1"/>
                <w:color w:val="auto"/>
              </w:rPr>
            </w:pPr>
          </w:p>
        </w:tc>
      </w:tr>
      <w:tr>
        <w:trPr>
          <w:trHeight w:val="178"/>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FHLB stock</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BOLI</w:t>
            </w:r>
          </w:p>
        </w:tc>
        <w:tc>
          <w:tcPr>
            <w:tcW w:w="20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0" w:type="dxa"/>
            <w:vAlign w:val="bottom"/>
          </w:tcPr>
          <w:p>
            <w:pPr>
              <w:spacing w:after="0"/>
              <w:rPr>
                <w:sz w:val="1"/>
                <w:szCs w:val="1"/>
                <w:color w:val="auto"/>
              </w:rPr>
            </w:pPr>
          </w:p>
        </w:tc>
      </w:tr>
      <w:tr>
        <w:trPr>
          <w:trHeight w:val="191"/>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real estate sale proceeds</w:t>
            </w:r>
          </w:p>
        </w:tc>
        <w:tc>
          <w:tcPr>
            <w:tcW w:w="2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20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(544,109)</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(446,744)</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(279,278)</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change in deposits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643,090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531,098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244,892</w:t>
            </w:r>
          </w:p>
        </w:tc>
        <w:tc>
          <w:tcPr>
            <w:tcW w:w="0" w:type="dxa"/>
            <w:vAlign w:val="bottom"/>
          </w:tcPr>
          <w:p>
            <w:pPr>
              <w:spacing w:after="0"/>
              <w:rPr>
                <w:sz w:val="1"/>
                <w:szCs w:val="1"/>
                <w:color w:val="auto"/>
              </w:rPr>
            </w:pPr>
          </w:p>
        </w:tc>
      </w:tr>
      <w:tr>
        <w:trPr>
          <w:trHeight w:val="185"/>
        </w:trPr>
        <w:tc>
          <w:tcPr>
            <w:tcW w:w="50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issuance of stock, net of issuance costs</w:t>
            </w: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advances on other borrowings</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85"/>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Cash dividends paid</w:t>
            </w:r>
          </w:p>
        </w:tc>
        <w:tc>
          <w:tcPr>
            <w:tcW w:w="2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(17,085)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(16,243)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(12,943)</w:t>
            </w:r>
          </w:p>
        </w:tc>
        <w:tc>
          <w:tcPr>
            <w:tcW w:w="0" w:type="dxa"/>
            <w:vAlign w:val="bottom"/>
          </w:tcPr>
          <w:p>
            <w:pPr>
              <w:spacing w:after="0"/>
              <w:rPr>
                <w:sz w:val="1"/>
                <w:szCs w:val="1"/>
                <w:color w:val="auto"/>
              </w:rPr>
            </w:pPr>
          </w:p>
        </w:tc>
      </w:tr>
      <w:tr>
        <w:trPr>
          <w:trHeight w:val="177"/>
        </w:trPr>
        <w:tc>
          <w:tcPr>
            <w:tcW w:w="5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20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626,005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425,725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301,949</w:t>
            </w:r>
          </w:p>
        </w:tc>
        <w:tc>
          <w:tcPr>
            <w:tcW w:w="0" w:type="dxa"/>
            <w:vAlign w:val="bottom"/>
          </w:tcPr>
          <w:p>
            <w:pPr>
              <w:spacing w:after="0"/>
              <w:rPr>
                <w:sz w:val="1"/>
                <w:szCs w:val="1"/>
                <w:color w:val="auto"/>
              </w:rPr>
            </w:pPr>
          </w:p>
        </w:tc>
      </w:tr>
      <w:tr>
        <w:trPr>
          <w:trHeight w:val="171"/>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2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154,508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30,767</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61,585</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20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352,343</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321,576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259,991</w:t>
            </w:r>
          </w:p>
        </w:tc>
        <w:tc>
          <w:tcPr>
            <w:tcW w:w="0" w:type="dxa"/>
            <w:vAlign w:val="bottom"/>
          </w:tcPr>
          <w:p>
            <w:pPr>
              <w:spacing w:after="0"/>
              <w:rPr>
                <w:sz w:val="1"/>
                <w:szCs w:val="1"/>
                <w:color w:val="auto"/>
              </w:rPr>
            </w:pPr>
          </w:p>
        </w:tc>
      </w:tr>
      <w:tr>
        <w:trPr>
          <w:trHeight w:val="176"/>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2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506,851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352,343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321,576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20" w:type="dxa"/>
            <w:vAlign w:val="bottom"/>
            <w:vMerge w:val="restart"/>
          </w:tcPr>
          <w:p>
            <w:pPr>
              <w:jc w:val="right"/>
              <w:ind w:right="1271"/>
              <w:spacing w:after="0"/>
              <w:rPr>
                <w:sz w:val="20"/>
                <w:szCs w:val="20"/>
                <w:color w:val="auto"/>
              </w:rPr>
            </w:pPr>
            <w:r>
              <w:rPr>
                <w:rFonts w:ascii="Times New Roman" w:cs="Times New Roman" w:eastAsia="Times New Roman" w:hAnsi="Times New Roman"/>
                <w:sz w:val="14"/>
                <w:szCs w:val="14"/>
                <w:color w:val="auto"/>
              </w:rPr>
              <w:t>81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504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040" w:type="dxa"/>
            <w:vAlign w:val="bottom"/>
            <w:tcBorders>
              <w:bottom w:val="single" w:sz="8" w:color="9A9A9A"/>
            </w:tcBorders>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5"/>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9"/>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8"/>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paid</w:t>
            </w: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97,581</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87,113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61,854</w:t>
            </w:r>
          </w:p>
        </w:tc>
      </w:tr>
      <w:tr>
        <w:trPr>
          <w:trHeight w:val="24"/>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060" w:type="dxa"/>
            <w:vAlign w:val="bottom"/>
            <w:shd w:val="clear" w:color="auto" w:fill="CCEEFF"/>
          </w:tcPr>
          <w:p>
            <w:pPr>
              <w:ind w:left="140"/>
              <w:spacing w:after="0" w:line="192" w:lineRule="exact"/>
              <w:rPr>
                <w:sz w:val="20"/>
                <w:szCs w:val="20"/>
                <w:color w:val="auto"/>
              </w:rPr>
            </w:pPr>
            <w:r>
              <w:rPr>
                <w:rFonts w:ascii="Times New Roman" w:cs="Times New Roman" w:eastAsia="Times New Roman" w:hAnsi="Times New Roman"/>
                <w:sz w:val="13"/>
                <w:szCs w:val="13"/>
                <w:color w:val="auto"/>
              </w:rPr>
              <w:t>Income taxes paid:</w:t>
            </w:r>
            <w:r>
              <w:rPr>
                <w:rFonts w:ascii="Times New Roman" w:cs="Times New Roman" w:eastAsia="Times New Roman" w:hAnsi="Times New Roman"/>
                <w:sz w:val="17"/>
                <w:szCs w:val="17"/>
                <w:color w:val="auto"/>
                <w:vertAlign w:val="superscript"/>
              </w:rPr>
              <w:t>1</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8"/>
        </w:trPr>
        <w:tc>
          <w:tcPr>
            <w:tcW w:w="70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US Federal</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11,647</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US Federal - IRC 45X Tax Credits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6,572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8"/>
        </w:trPr>
        <w:tc>
          <w:tcPr>
            <w:tcW w:w="70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US State and Local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California</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0"/>
        </w:trPr>
        <w:tc>
          <w:tcPr>
            <w:tcW w:w="70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Other states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4"/>
        </w:trPr>
        <w:tc>
          <w:tcPr>
            <w:tcW w:w="7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24,959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16,884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19,969</w:t>
            </w:r>
          </w:p>
        </w:tc>
      </w:tr>
      <w:tr>
        <w:trPr>
          <w:trHeight w:val="170"/>
        </w:trPr>
        <w:tc>
          <w:tcPr>
            <w:tcW w:w="7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items: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78"/>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Transfer from loans held for sale to loans held for investment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9,416</w:t>
            </w:r>
          </w:p>
        </w:tc>
      </w:tr>
      <w:tr>
        <w:trPr>
          <w:trHeight w:val="24"/>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 (loss) on securities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w:t>
            </w:r>
          </w:p>
        </w:tc>
      </w:tr>
      <w:tr>
        <w:trPr>
          <w:trHeight w:val="178"/>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exchanged for ROUA</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2,260</w:t>
            </w:r>
          </w:p>
        </w:tc>
      </w:tr>
      <w:tr>
        <w:trPr>
          <w:trHeight w:val="24"/>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ROUA acquired</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(6,132)</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w:t>
            </w:r>
          </w:p>
        </w:tc>
      </w:tr>
      <w:tr>
        <w:trPr>
          <w:trHeight w:val="178"/>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Increase (decrease) in commitment for low income housing tax credits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13,612</w:t>
            </w:r>
          </w:p>
        </w:tc>
      </w:tr>
      <w:tr>
        <w:trPr>
          <w:trHeight w:val="24"/>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Cumulative effect of adoption of ASC 326 on retained earnings, net of tax</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(4,491)</w:t>
            </w:r>
          </w:p>
        </w:tc>
      </w:tr>
    </w:tbl>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Income taxes are presented by significant jurisdictions beginning in 2025 as required by ASU 2023-09. This standard has been applied on a prospective basis.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65" w:right="298"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Basis of Presentation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Nature of Operations and Principles of Consolidation</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Five Star Bank was chartered on October 26, 1999 and began operations on December 20, 1999. Five Star Bancorp was incorporated on September 16, 2002 and subsequently obtained approval from the Federal Reserve to become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 The Company publicly filed a Registration Statement on Form S-1 with the SEC in connection with its IPO, which was declared effective by the SEC on May 4, 2021 and closed on May 7, 2021. In connection with the Company’s IPO, its status as a Subchapter S corporation was terminated and the Company became a taxable C Corporation as of May 5, 2021.</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through the Bank, provides a broad range of banking products and services to customers who are predominately small and medium-sized businesses, professionals, and individuals primarily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nine branch offices in Roseville, Natomas, Rancho Cordova, Redding, Elk Grove, Chico, Yuba City, San Francisco, and Walnut Creek.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Financial Statement Presentation and Consolidation</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accounting principles generally accepted in the United States of America (“GAAP”) as contained within the FASB’s ASC, including ASU, and the rules and regulations of the SEC, including the instructions to Regulation S-X.</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consolidated financial statements include Bancorp and its wholly owned subsidiary, the Bank. All significant intercompany transactions and balances are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accounting and reporting policies conform to GAAP and to general practices within the banking industry.</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qualifies as an emerging growth company as defined in the Jumpstart Our Business Startups Act of 2012 (the “JOBS Act”), and, as such, may take advantage of specified reduced reporting requirements and deferred accounting standards adoption dates, and is relieved of other significant requirements that are otherwise generally applicable to other public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Segments</w:t>
      </w:r>
    </w:p>
    <w:p>
      <w:pPr>
        <w:spacing w:after="0" w:line="1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has one reportable operating segment: banking. The banking segment derives its revenues through the Bank, which provides a broad range of banking products and services to customers who are predominantly small to medium-sized businesses, professionals, and individuals primarily in Northern California. The Company manages the business activities on a consolidated basis.</w:t>
      </w:r>
    </w:p>
    <w:p>
      <w:pPr>
        <w:spacing w:after="0" w:line="2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chief operating decision maker (“CODM”) is its Chief Executive Officer, who reviews financial information presented on a consolidated basis. The CODM assesses performance for the operating segment and decides how to allocate resources based on net income that also is reported on the income statement as consolidated net income. The measure of segment assets is reported on the balance sheet as total consolidated assets.</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In accordance with ASC 280, as amended by ASU 2023-07, the Company discloses the following significant expense categories and other items on a consolidated basis which are regularly provided to the CODM and included in the measure of consolidated profit or loss:</w:t>
      </w:r>
    </w:p>
    <w:p>
      <w:pPr>
        <w:spacing w:after="0" w:line="8" w:lineRule="exact"/>
        <w:rPr>
          <w:sz w:val="20"/>
          <w:szCs w:val="20"/>
          <w:color w:val="auto"/>
        </w:rPr>
      </w:pPr>
    </w:p>
    <w:p>
      <w:pPr>
        <w:ind w:left="500" w:hanging="254"/>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 includes interest paid on deposits, borrowings, and subordinated notes;</w:t>
      </w:r>
    </w:p>
    <w:p>
      <w:pPr>
        <w:spacing w:after="0" w:line="73"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credit losses - represents the amount charged to earnings to maintain the allowance for credit losses at an appropriate level;</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Salaries and employee benefits - includes wages, incentive compensation, payroll taxes, and employee benefits;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86" w:name="page87"/>
    <w:bookmarkEnd w:id="86"/>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and equipment expense - includes rent, depreciation, utilities, and maintenance of premises and equipment;</w:t>
      </w:r>
    </w:p>
    <w:p>
      <w:pPr>
        <w:spacing w:after="0" w:line="73"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processing and software expense - includes costs related to core processing, digital banking platforms, and other technology-related services;</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services - includes legal, audit, consulting, and other professional fees;</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FDIC insurance - represents deposit insurance premiums paid to the FDIC;</w:t>
      </w:r>
    </w:p>
    <w:p>
      <w:pPr>
        <w:spacing w:after="0" w:line="73"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Advertising and promotional expense - includes marketing, advertising, and business development costs;</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Loan-related expenses - includes costs associated with loan origination, servicing, and collection; and</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expenses - includes all other expenses not separately disclosed above, such as office supplies, travel, and regulatory assessments.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items regularly provided to the CODM and included in the measure of consolidated profit or loss include:</w:t>
      </w:r>
    </w:p>
    <w:p>
      <w:pPr>
        <w:spacing w:after="0" w:line="63" w:lineRule="exact"/>
        <w:rPr>
          <w:sz w:val="20"/>
          <w:szCs w:val="20"/>
          <w:color w:val="auto"/>
        </w:rPr>
      </w:pPr>
    </w:p>
    <w:p>
      <w:pPr>
        <w:ind w:left="500" w:hanging="254"/>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Non-interest income - such as service charges on deposit accounts, gain on sale of loans, loan-related fees, FHLB stock dividends, and earnings on BOLI; and</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 expense - represents the provision for federal and state income taxes.</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Segment profit or loss is measured as consolidated net income, which is calculated as total revenues (net interest income and non-interest income) less total expenses (interest expense, provision for credit losses, and non-interest expenses) and income tax expense. These financial metrics are used by the CODM to make key operating decisions, such as determination of the rate at which the Company seeks to grow, loan and deposit pricing, and the allocation of budget for non-interest expenses. Net income is used to monitor budget versus actual results. The Company does not have any other reportable segments, and discrete financial information is not available other than on a consolidated basis. All significant operating decisions are made on a consolidated basis.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Management is required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and assumptions affect the amounts reported in the consolidated financial statements and the disclosures provided, and actual results could differ. The ACL is the most significant accounting estimate reflected in the Company’s consolidated financial statements. Other estimates include fair value measurements and deferred tax asset valuation.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Company defines cash and cash equivalents as cash, due from financial institutions, interest-bearing deposits in banks with short-term original maturities, and federal funds sold. Generally, federal funds are sold for one-day periods, if at all. At times throughout the year, balances can exceed FDIC insurance limits. The Company has not experienced any historical losses associated with balances maintained with financial institutions in excess of FDIC insurance limits, and management continues to monitor the financial condition of the major financial institutions where these funds are held.</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Available-for-Sale</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Available-for-sale securities consist of bonds, notes, and debentures not classified as trading securities or held-to-maturity securities. Securities are classified as available-for-sale if the Company intends and has the ability to hold those securities for a period of time, but not necessarily to maturity. Any decision to sell a security classified as available-for-sale would be based on various factors, including significant movements in interest rates, changes in the maturity mix of assets and liabilities, liquidity needs, regulatory capital considerations, and other similar factors.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Securities available-for-sale are carried at fair value. Unrealized holding gains or losses are included in other comprehensive income as a separate component of shareholders’ equity, net of tax. Realized gains or losses, determined based on the cost of specific securities sold, are included in earnings. Premiums are amortized over the life of the security or, if a callable bond, over the earliest call date, and discounts are accreted over the life of the related investment security as an adjustment to interest income using the effective interest method. Interest income is recognized when earned.</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Unrealized credit losses are recognized through an allowance for credit losses instead of an adjustment to amortized cost basis, eliminating the other-than-temporary impairment concept. For available-for-sale debt securities in an unrealized loss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12" w:right="298" w:bottom="1440" w:gutter="0" w:footer="0" w:header="0"/>
        </w:sectPr>
      </w:pPr>
    </w:p>
    <w:bookmarkStart w:id="87" w:name="page88"/>
    <w:bookmarkEnd w:id="87"/>
    <w:p>
      <w:pPr>
        <w:jc w:val="both"/>
        <w:spacing w:after="0" w:line="259" w:lineRule="auto"/>
        <w:rPr>
          <w:sz w:val="20"/>
          <w:szCs w:val="20"/>
          <w:color w:val="auto"/>
        </w:rPr>
      </w:pPr>
      <w:r>
        <w:rPr>
          <w:rFonts w:ascii="Times New Roman" w:cs="Times New Roman" w:eastAsia="Times New Roman" w:hAnsi="Times New Roman"/>
          <w:sz w:val="14"/>
          <w:szCs w:val="14"/>
          <w:color w:val="auto"/>
        </w:rPr>
        <w:t>position, the Company first assesses whether it intends to sell, or it is more likely than not that it will be required to sell, the security before recovery of amortized cost basis. If either criteria regarding intent or requirement to sell is met, the security’s amortized cost basis is written down to fair value through earnings. For available-for-sale debt securities that do not meet the above conditions, the Company evaluates at the individual security level whether the decrease in fair value has resulted from credit factors or non-credit factors. If assessment determines that a credit loss exists, the present value of cash flows expected to be collected from the security is compared to the amortized cost basis of the security. If the present value of cash flows expected to be collected is less than the amortized cost basis of the security, then a credit loss would be recognized, limited to the amount by which the fair value is less than the amortized cost basis. All other changes in fair value of an available-for-sale debt security are recognized in other comprehensive income, net of applicable taxes. Changes in the allowance for credit losses, if any, are recognized as a provision for (or reversal of) credit losses. Accrued interest receivable is not subject to an estimate for credit loss, as the Company has a policy to charge off accrued interest deemed uncollectible in a timely manner.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Held-to-Maturity</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Securities are classified as held-to-maturity if the Company has both the intent and ability to hold those securities to maturity regardless of changes in market conditions, liquidity needs, or changes in general economic conditions. These securities are carried at cost adjusted for amortization of premium to the earliest callable call date and accretion of discount, computed by the effective interest method over the life of the related investment. Estimated credit losses are recorded through a credit loss expense and an allowance. Accrued interest receivable is not subject to an estimate for credit loss, as the Company has a policy to charge off accrued interest deemed uncollectible in a timely manner.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Loans are reported at the principal amount outstanding, net of deferred loan fees and costs and the allowance for credit losses. Interest on loans is accrued daily based on the principal outstanding.</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Loan fees, net of certain direct costs of origination, are deferred and recognized in interest income using the level-yield method without anticipating prepayments. During the years ended December 31, 2025, 2024, and 2023, salaries and employee benefits totaling $5,218,000, $3,719,000, and $3,461,000, respectively, were deferred as loan origination costs.</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The ACL is a valuation account that offsets the amortized cost basis of loans receivable and certain other financial assets, including unfunded loan commitments and held-to-maturity debt securities. Under ASU No. 2016-13, </w:t>
      </w:r>
      <w:r>
        <w:rPr>
          <w:rFonts w:ascii="Times New Roman" w:cs="Times New Roman" w:eastAsia="Times New Roman" w:hAnsi="Times New Roman"/>
          <w:sz w:val="14"/>
          <w:szCs w:val="14"/>
          <w:i w:val="1"/>
          <w:iCs w:val="1"/>
          <w:color w:val="auto"/>
        </w:rPr>
        <w:t>Financial Instruments – Credit Losses (Topic 326): Measurement of Credit Losses on Financial Instruments</w:t>
      </w:r>
      <w:r>
        <w:rPr>
          <w:rFonts w:ascii="Times New Roman" w:cs="Times New Roman" w:eastAsia="Times New Roman" w:hAnsi="Times New Roman"/>
          <w:sz w:val="14"/>
          <w:szCs w:val="14"/>
          <w:color w:val="auto"/>
        </w:rPr>
        <w:t xml:space="preserve"> and all subsequent amendments that modified ASU 2016-13 (collectively, “ASC 326”), amortized cost basis is the basis on which the ACL is determined. Amortized cost basis on loans receivable is principal outstanding, net of any purchase premiums and discounts, and net of any deferred loan fees and costs.</w:t>
      </w:r>
    </w:p>
    <w:p>
      <w:pPr>
        <w:spacing w:after="0" w:line="14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Credit losses are charged off when management believes that the collectability of at least some portion of outstanding principal is unlikely. These charge-offs are recorded as a reversal to, thereby reducing, the allowance for credit losses. Subsequent recoveries of previously charged-off amounts, if any, are recorded as a provision to, thereby increasing, the allowance for credit losses. The allowance for credit losses is maintained at a level to absorb expected credit losses over the contractual life, including consideration of prepayments. Determining the adequacy of the allowance is complex and requires judgments that are inherently subjective, as it requires estimates that are susceptible to revision as additional information becomes available. While the Company has determined an allowance for credit losses it considers appropriate, there can be no assurance that the allowance will be sufficient to absorb future losses.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88" w:name="page89"/>
    <w:bookmarkEnd w:id="88"/>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process for determining expected lifetime credit losses entails a loan-level, model-based approach and considers a broad range of information, including historical loss experience, current conditions, and reasonable and supportable forecasts. Credit loss is estimated for all loans. Accordingly, the Company has stratified the full loan population into segments sharing similar characteristics to perform the evaluation of the credit loss collectively. The Company can also further stratify loans of similar types, risk attributes, and methods for credit risk monitoring.</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has determined loan pools based primarily on regulatory reporting codes, as the loans within each pool share similar risk characteristics and there is sufficient historical peer loss data from the FFIEC to provide statistically meaningful support in the models developed. The Company further stratified the following portfolios as the loans in these pools have different repayment structures and credit risk characteristics: Multifamily portfolio into traditional Multifamily loans and Manufactured Home Community (“MHC”) loans, CRE Non-Owner Occupied portfolio into traditional CRE Non-Owner Occupied loans and RV Park loans, and C&amp;I portfolio into traditional C&amp;I loans and SBA loans. The Company also stratified C&amp;I loans and consumer loans that do not require reserves, as the Company has third-party agreements in place to cover credit losses. The Company has identified the following pools subject to estimate of credit loss: (1) 1-4 Family Construction; (2) Other Construction; (3) Farmland; (4) Revolving Secured by 1-4 Family; (5) Residential Secured by First Liens; (6) Residential Secured by Junior Liens; (7) Multifamily; (8) Multifamily MHC; (9) CRE Owner Occupied; (10) CRE Non-Owner Occupied; (11) CRE Non-Owner Occupied RV Park; (12) Agriculture; (13) C&amp;I; (14) C&amp;I SBA; (15) Consumer; and (16) Municipal.</w:t>
      </w:r>
    </w:p>
    <w:p>
      <w:pPr>
        <w:spacing w:after="0" w:line="1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has determined, given its limited loss experience, that peer data and other external data to support loss history provides the best basis for its assessment of expected credit losses. The Company believes that the use of peer loss data from March 31, 2004 through December 31, 2019 and January 31, 2022 through March 31, 2025 presents loss histories that appropriately reflect a full economic cycle, reflects asset-specific risk characteristics at each pool level identified, and includes a historical look-back period that is objective and reflective of future expected credit losses. Loss data from 2020 and 2021 was excluded from the data set to exclude pandemic-related data from the model.</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method for determining the estimate of lifetime credit losses includes, among other things, the following main components: (i) the use of probability of default and loss given default assumptions under a discounted cash flow model; (ii) a multi-scenario macroeconomic forecast; (iii) an initial and reasonable and supportable forecast period of one year for all loan segments; and (iv) a reversion period of one year using a linear transition method to historical loss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Given the inherent limitations of a quantitative-only model, qualitative adjustments are included to factor in data points not captured from a quantitative analysis alone.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Qualitative criteria that can be considered includes, among other things, the following:</w:t>
      </w:r>
    </w:p>
    <w:p>
      <w:pPr>
        <w:spacing w:after="0" w:line="63" w:lineRule="exact"/>
        <w:rPr>
          <w:sz w:val="20"/>
          <w:szCs w:val="20"/>
          <w:color w:val="auto"/>
        </w:rPr>
      </w:pPr>
    </w:p>
    <w:p>
      <w:pPr>
        <w:ind w:left="500" w:hanging="254"/>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Concentrations – the existence and effect of any concentrations of credit, and changes in the level of such concentrations;</w:t>
      </w:r>
    </w:p>
    <w:p>
      <w:pPr>
        <w:spacing w:after="0" w:line="73"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 changes in the nature and volume of the portfolio and in the terms of the loans;</w:t>
      </w:r>
    </w:p>
    <w:p>
      <w:pPr>
        <w:spacing w:after="0" w:line="62"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 changes in international, national, regional, and local economic and business conditions and developments that affect the collectability of the portfolio, including the condition of various market segments;</w:t>
      </w:r>
    </w:p>
    <w:p>
      <w:pPr>
        <w:spacing w:after="0" w:line="7" w:lineRule="exact"/>
        <w:rPr>
          <w:rFonts w:ascii="Times New Roman" w:cs="Times New Roman" w:eastAsia="Times New Roman" w:hAnsi="Times New Roman"/>
          <w:sz w:val="14"/>
          <w:szCs w:val="14"/>
          <w:color w:val="auto"/>
        </w:rPr>
      </w:pPr>
    </w:p>
    <w:p>
      <w:pPr>
        <w:ind w:left="500" w:hanging="254"/>
        <w:spacing w:after="0" w:line="288" w:lineRule="auto"/>
        <w:tabs>
          <w:tab w:leader="none" w:pos="50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Policy – changes in lending policies and procedures, including changes in underwriting standards and collection, charge-off, and recovery practices not considered elsewhere in estimating credit losses;</w:t>
      </w:r>
    </w:p>
    <w:p>
      <w:pPr>
        <w:spacing w:after="0" w:line="18" w:lineRule="exact"/>
        <w:rPr>
          <w:rFonts w:ascii="Times New Roman" w:cs="Times New Roman" w:eastAsia="Times New Roman" w:hAnsi="Times New Roman"/>
          <w:sz w:val="14"/>
          <w:szCs w:val="14"/>
          <w:i w:val="1"/>
          <w:iCs w:val="1"/>
          <w:color w:val="auto"/>
        </w:rPr>
      </w:pPr>
    </w:p>
    <w:p>
      <w:pPr>
        <w:ind w:left="500" w:hanging="254"/>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Quality – changes in the volume and severity of past due loans, the volume of non-accrual loans, and the volume and severity of adversely classified or graded loans;</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review - changes in the quality of internal loan review processes, measured by third party audit and regulatory results; and</w:t>
      </w:r>
    </w:p>
    <w:p>
      <w:pPr>
        <w:spacing w:after="0" w:line="62"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External – the effect of other external factors, such as competition and legal and regulatory requirements on the level of estimated credit losses in the Company’s loan portfolio.</w:t>
      </w:r>
    </w:p>
    <w:p>
      <w:pPr>
        <w:spacing w:after="0" w:line="1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Management reviews current information on a quarterly basis to assess the forecasted future economic impact for purposes of evaluating the adequacy of the ACL. The forecasted direction and magnitude of change with respect to future economic conditions is then assessed against the estimate in the model. Any changes resulting from the quarterly assessment are recorded in “Provision for credit losses” in the unaudited consolidated statements of income. The Audit Committee of the board of directors reviews the adequacy of the allowance at least quarterly.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89" w:name="page90"/>
    <w:bookmarkEnd w:id="89"/>
    <w:p>
      <w:pPr>
        <w:jc w:val="both"/>
        <w:spacing w:after="0" w:line="271" w:lineRule="auto"/>
        <w:rPr>
          <w:sz w:val="20"/>
          <w:szCs w:val="20"/>
          <w:color w:val="auto"/>
        </w:rPr>
      </w:pPr>
      <w:r>
        <w:rPr>
          <w:rFonts w:ascii="Times New Roman" w:cs="Times New Roman" w:eastAsia="Times New Roman" w:hAnsi="Times New Roman"/>
          <w:sz w:val="14"/>
          <w:szCs w:val="14"/>
          <w:color w:val="auto"/>
        </w:rPr>
        <w:t>Accrued interest receivable is excluded from amortized cost of all financial instrument types and included in “Interest receivable and other assets” in the consolidated balance sheets. Accrued interest receivable is not subject to an estimate for credit loss, as the Company has a policy to charge off accrued interest deemed uncollectible in a timely manner. When a loan is placed on non-accrual status, which occurs within 90 days of a borrower becoming delinquent, interest previously accrued but not collected is reversed against current period income.</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If an individual loan’s characteristics have deteriorated to below a range of the overall pool, the loan would be individually evaluated. Individually evaluated loans are measured for credit loss based on one of the following methods: (i) present value of future expected cash flows, discounted at the loan’s effective interest rate; (ii) amount by which carrying value of the loan exceeds the loan’s observable market price; or (iii) the fair value of the collateral, less estimated selling costs, if the loan is collateral dependent. The Company applies the practical expedient and defines collateral dependent loans as those where the borrower is experiencing financial difficulty and on which payment is expected to be provided substantially through the operation or sale of the collateral.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Troubled Debt Restructurings (“TDRs”) and Other Loan Modifications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evaluates all loan modifications to determine whether they are made to borrowers experiencing financial difficulty, in accordance with ASC 326, as amended by ASU 2022-02. A loan modification is considered to be to a borrower experiencing financial difficulty if the borrower is unable to meet its current contractual obligations and the Company grants a concession, such as principal forgiveness, an interest rate reduction, an other-than-insignificant payment delay, or a term extension. For such modifications, the Company assesses whether the modification should be accounted for as a new loan or as a continuation of the existing loan, based on the specific facts and circumstances.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Company provides enhanced disclosures regarding the nature and extent of modifications made to borrowers experiencing financial difficulty, including the type of modification, the financial effect of the modification, and subsequent performance. The Company continues to monitor the performance of these modified loans and provides the required disclosures in the notes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Federal Home Loan Bank Stock</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Federal Home Loan Bank stock represents the Company’s investment in the stock of the FHLB and is carried at par value. While technically these are considered equity securities, there is no market for FHLB stock. Therefore, the shares are considered as other investment securities.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Management periodically evaluates FHLB stock for impairment.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(i) the significance of any decline in net assets of the FHLB, as compared to the capital stock amount for the FHLB and the length of time this situation has persisted; (ii) commitments by the FHLB to make payments required by law or regulation and the level of such payments in relation to the operating performance of the FHLB; (iii) the impact of legislative and regulatory changes on institutions and, accordingly, the customer base of the FHLB; and (iv) the liquidity position of the FHLB. Both cash and stock dividends are reported as non-interest income.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Premises and Equipment</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Premises and equipment are stated at cost less accumulated depreciation and amortization. Depreciation and amortization are provided for in amounts sufficient to relate the cost of depreciable assets to operations over their estimated service lives using a straight-line basis. Table 1.1 presents the normal estimated lives used in determining depreciation and amortization.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1.1: Normal Estimated Lives - Premises and Equipment</w:t>
            </w:r>
          </w:p>
        </w:tc>
        <w:tc>
          <w:tcPr>
            <w:tcW w:w="7780" w:type="dxa"/>
            <w:vAlign w:val="bottom"/>
          </w:tcPr>
          <w:p>
            <w:pPr>
              <w:spacing w:after="0"/>
              <w:rPr>
                <w:sz w:val="13"/>
                <w:szCs w:val="13"/>
                <w:color w:val="auto"/>
              </w:rPr>
            </w:pPr>
          </w:p>
        </w:tc>
      </w:tr>
      <w:tr>
        <w:trPr>
          <w:trHeight w:val="23"/>
        </w:trPr>
        <w:tc>
          <w:tcPr>
            <w:tcW w:w="35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0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Equipment</w:t>
            </w:r>
          </w:p>
        </w:tc>
        <w:tc>
          <w:tcPr>
            <w:tcW w:w="7780" w:type="dxa"/>
            <w:vAlign w:val="bottom"/>
            <w:shd w:val="clear" w:color="auto" w:fill="CCEEFF"/>
          </w:tcPr>
          <w:p>
            <w:pPr>
              <w:jc w:val="center"/>
              <w:ind w:left="6229"/>
              <w:spacing w:after="0"/>
              <w:rPr>
                <w:sz w:val="20"/>
                <w:szCs w:val="20"/>
                <w:color w:val="auto"/>
              </w:rPr>
            </w:pPr>
            <w:r>
              <w:rPr>
                <w:rFonts w:ascii="Times New Roman" w:cs="Times New Roman" w:eastAsia="Times New Roman" w:hAnsi="Times New Roman"/>
                <w:sz w:val="14"/>
                <w:szCs w:val="14"/>
                <w:color w:val="auto"/>
              </w:rPr>
              <w:t>3 - 12 years</w:t>
            </w:r>
          </w:p>
        </w:tc>
      </w:tr>
      <w:tr>
        <w:trPr>
          <w:trHeight w:val="197"/>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Furniture and fixtures</w:t>
            </w:r>
          </w:p>
        </w:tc>
        <w:tc>
          <w:tcPr>
            <w:tcW w:w="7780" w:type="dxa"/>
            <w:vAlign w:val="bottom"/>
          </w:tcPr>
          <w:p>
            <w:pPr>
              <w:jc w:val="center"/>
              <w:ind w:left="6229"/>
              <w:spacing w:after="0"/>
              <w:rPr>
                <w:sz w:val="20"/>
                <w:szCs w:val="20"/>
                <w:color w:val="auto"/>
              </w:rPr>
            </w:pPr>
            <w:r>
              <w:rPr>
                <w:rFonts w:ascii="Times New Roman" w:cs="Times New Roman" w:eastAsia="Times New Roman" w:hAnsi="Times New Roman"/>
                <w:sz w:val="14"/>
                <w:szCs w:val="14"/>
                <w:color w:val="auto"/>
              </w:rPr>
              <w:t>5 - 10 years</w:t>
            </w:r>
          </w:p>
        </w:tc>
      </w:tr>
      <w:tr>
        <w:trPr>
          <w:trHeight w:val="208"/>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Leasehold improvements</w:t>
            </w:r>
          </w:p>
        </w:tc>
        <w:tc>
          <w:tcPr>
            <w:tcW w:w="7780" w:type="dxa"/>
            <w:vAlign w:val="bottom"/>
            <w:shd w:val="clear" w:color="auto" w:fill="CCEEFF"/>
          </w:tcPr>
          <w:p>
            <w:pPr>
              <w:jc w:val="center"/>
              <w:ind w:left="6229"/>
              <w:spacing w:after="0"/>
              <w:rPr>
                <w:sz w:val="20"/>
                <w:szCs w:val="20"/>
                <w:color w:val="auto"/>
              </w:rPr>
            </w:pPr>
            <w:r>
              <w:rPr>
                <w:rFonts w:ascii="Times New Roman" w:cs="Times New Roman" w:eastAsia="Times New Roman" w:hAnsi="Times New Roman"/>
                <w:sz w:val="14"/>
                <w:szCs w:val="14"/>
                <w:color w:val="auto"/>
              </w:rPr>
              <w:t>5 - 15 years</w:t>
            </w:r>
          </w:p>
        </w:tc>
      </w:tr>
      <w:tr>
        <w:trPr>
          <w:trHeight w:val="191"/>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Automobiles</w:t>
            </w:r>
          </w:p>
        </w:tc>
        <w:tc>
          <w:tcPr>
            <w:tcW w:w="7780" w:type="dxa"/>
            <w:vAlign w:val="bottom"/>
          </w:tcPr>
          <w:p>
            <w:pPr>
              <w:jc w:val="center"/>
              <w:ind w:left="6229"/>
              <w:spacing w:after="0"/>
              <w:rPr>
                <w:sz w:val="20"/>
                <w:szCs w:val="20"/>
                <w:color w:val="auto"/>
              </w:rPr>
            </w:pPr>
            <w:r>
              <w:rPr>
                <w:rFonts w:ascii="Times New Roman" w:cs="Times New Roman" w:eastAsia="Times New Roman" w:hAnsi="Times New Roman"/>
                <w:sz w:val="14"/>
                <w:szCs w:val="14"/>
                <w:color w:val="auto"/>
              </w:rPr>
              <w:t>3 - 5 years</w:t>
            </w:r>
          </w:p>
        </w:tc>
      </w:tr>
    </w:tbl>
    <w:p>
      <w:pPr>
        <w:spacing w:after="0" w:line="22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Leasehold improvements are amortized over the lesser of the useful life of the asset or the remaining term of the lease. The straight-line method of depreciation is followed for all assets for financial reporting purposes, but accelerated methods are used for tax purposes.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90" w:name="page91"/>
    <w:bookmarkEnd w:id="90"/>
    <w:p>
      <w:pPr>
        <w:jc w:val="both"/>
        <w:spacing w:after="0" w:line="288" w:lineRule="auto"/>
        <w:rPr>
          <w:sz w:val="20"/>
          <w:szCs w:val="20"/>
          <w:color w:val="auto"/>
        </w:rPr>
      </w:pPr>
      <w:r>
        <w:rPr>
          <w:rFonts w:ascii="Times New Roman" w:cs="Times New Roman" w:eastAsia="Times New Roman" w:hAnsi="Times New Roman"/>
          <w:sz w:val="14"/>
          <w:szCs w:val="14"/>
          <w:color w:val="auto"/>
        </w:rPr>
        <w:t>When assets are sold or otherwise disposed of, the cost and related accumulated depreciation or amortization are removed from the accounts, and any resulting gain or loss is recognized in income for the period. The cost of maintenance and repairs is charged to expense as incurred.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Real Estate</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Real estate properties acquired through, or in lieu of, loan foreclosure, are classified as OREO, are to be sold, and are initially recorded at fair value of the property at the date of foreclosure less estimated selling costs. Any write-downs in value are recorded against the allowance for credit losses. Subsequent to foreclosure, valuations are periodically performed, and any revisions in the estimate of fair value are reported as adjustments to the carrying value of the real estate, provided the adjusted carrying amount does not exceed the original amount at foreclosure. Subsequent valuation adjustments are recognized as OREO write-downs. Revenues and expenses incurred from OREO property management are recorded in non-interest income and non-interest expense, respectively. During 2025, the Bank did not foreclose on any loans. During 2024, the Bank foreclosed on one loan, and its associated OREO was sold during 2025. During 2023, the Bank did not foreclose on any loans.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BOLI</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BOLI is recorded at the amount that can be realized under the insurance contract at the consolidated balance sheet date, which is the cash surrender value adjusted for other charges or other amounts due that are probable at settlement. Increases in contract value are recorded as non-interest income, and insurance proceeds received are recorded as a reduction of the contract value.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Long-Term Assets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Premises, equipment, and other long-term assets are reviewed for impairment when events indicate that their carrying amount may not be recoverable from future undiscounted cash flows. If impaired, the assets are adjusted to reflect their fair value.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records a ROUA in the consolidated balance sheets for those leases that convey rights to control use of identified assets for a period of time in exchange for consideration. The Company records a lease liability in the consolidated balance sheets for the present value of future payment commitments. All of the Company’s leases are comprised of operating leases in which the Company is the lessee of real estate property for branches and operations. The Company elected not to include short-term leases (i.e., leases with initial terms of 12 months or less) within the ROUA and lease liability. Known or determinable adjustments to the required minimum future lease payments are included in the calculation of the Company’s ROUA and lease liability. Adjustments to the required minimum future lease payments that are variable and will not be determinable until a future period, if any, are included as variable lease costs. Additionally, when expected variable payments for common area maintenance, taxes, and insurance are unknown and not determinable at lease commencement, they are not included in the determination of the Company’s ROUA and lease liability.</w:t>
      </w:r>
    </w:p>
    <w:p>
      <w:pPr>
        <w:spacing w:after="0" w:line="1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value of the ROUA and lease liability is impacted by the amount of the periodic payment required, length of the lease term, and the discount rate used to calculate the present value of the minimum lease payments. The Company’s lease agreements often include one or more options to renew at the Company’s discretion. If at lease inception, the Company considers the exercising of a renewal option to be reasonably certain, the Company will include the extended term in the calculation of the ROUA and lease liability. ASC 842 requires the use of the rate implicit in the lease whenever this rate is readily determinable. As this rate is rarely determinable, the Company utilizes its incremental borrowing rate at lease inception, on a collateralized basis, over a similar term. The lease liability is reduced based on the discounted present value of remaining payments as of each reporting period. The ROUA value is measured using the lease liability as adjusted for prepaid or accrued lease payments and remaining lease incentives, unamortized direct costs, and impairment, if 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Investments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records equity investments within “Interest receivable and other assets” in the consolidated balance sheets. Equity investments are recorded under the following methods:</w:t>
      </w:r>
    </w:p>
    <w:p>
      <w:pPr>
        <w:spacing w:after="0" w:line="73" w:lineRule="exact"/>
        <w:rPr>
          <w:sz w:val="20"/>
          <w:szCs w:val="20"/>
          <w:color w:val="auto"/>
        </w:rPr>
      </w:pPr>
    </w:p>
    <w:p>
      <w:pPr>
        <w:ind w:left="500" w:hanging="254"/>
        <w:spacing w:after="0" w:line="288" w:lineRule="auto"/>
        <w:tabs>
          <w:tab w:leader="none" w:pos="5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Low income housing tax credit investments are accounted for under the proportional amortization method. Under this method, the initial book value (gross commitment amount) of the investment is amortized over time in proportion to the projected tax benefits to be received. This amortization is a component of income tax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1" w:name="page92"/>
    <w:bookmarkEnd w:id="91"/>
    <w:p>
      <w:pPr>
        <w:jc w:val="both"/>
        <w:ind w:left="500" w:hanging="254"/>
        <w:spacing w:after="0" w:line="271"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equity investments where the Company has significant influence, the Company applies the equity method of accounting, which adjusts the carrying value of the investment to recognize a proportionate share of the financial results of the investment entity, regardless of whether any distribution is made. Any adjustments to the fair value of these investments are recorded in “Other non-interest income” in the consolidated statements of income.</w:t>
      </w:r>
    </w:p>
    <w:p>
      <w:pPr>
        <w:spacing w:after="0" w:line="29" w:lineRule="exact"/>
        <w:rPr>
          <w:rFonts w:ascii="Times New Roman" w:cs="Times New Roman" w:eastAsia="Times New Roman" w:hAnsi="Times New Roman"/>
          <w:sz w:val="14"/>
          <w:szCs w:val="14"/>
          <w:color w:val="auto"/>
        </w:rPr>
      </w:pPr>
    </w:p>
    <w:p>
      <w:pPr>
        <w:jc w:val="both"/>
        <w:ind w:left="500" w:hanging="254"/>
        <w:spacing w:after="0" w:line="265" w:lineRule="auto"/>
        <w:tabs>
          <w:tab w:leader="none" w:pos="5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certain nonmarketable equity investments where the equity method of accounting is not applicable, the Company applies the fair value method. Any adjustments to the fair value of these investments are recorded in “Other non-interest income” in the consolidated statements of income. Fair value is determined by reference to readily determinable market values, if applicable. As these investments do not have readily determinable fair values, they are generally accounted for at cost minus impairment, if any, plus or minus changes resulting from observable transactions involving the same or similar investments from the same issuer. This practice is referred to as the measurement alternative.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Contingencies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Loss contingencies, including claims and legal actions arising in the ordinary course of business, are recorded as liabilities when the likelihood of loss is probable and an amount or range of loss can be reasonably estimated.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Transfers of Financial Assets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Transfers of an entire financial asset, a group of financial assets, or a participating interest in an entire financial asset are accounted for as sales when control has been relinquished. Control is deemed to be surrendered when the assets have been isolated from the Company, the transferee obtains the right (free of more than trivial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Included in the loan portfolio are loans guaranteed by the SBA, the Farm Service Agency, the Federal Agriculture Mortgage Corporation, and the United States Department of Agriculture, of which the guaranteed portion is expected to be sold in the secondary market in exchange for a one-time premium. At the time the guaranteed portion of the loan is sold, the unguaranteed portion and related right to service the entire loan is retained with the Company, to earn future servicing income. The loans held for sale are accounted for at the lower of cost or fair value, using the aggregate method. There were no government-guaranteed loans held for sale at December 31, 2025. Government-guaranteed loans held for sale at December 31, 2024 totaled $3,247,000.</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Servicing rights acquired through the origination of loans, which are subsequently sold with servicing rights retained, are recognized as separate assets or liabilities. Servicing assets and liabilities are initially recorded at fair value and are subsequently amortized in proportion to, and over the period of, the related net servicing income or expense. Servicing assets represent the assets related to servicing loans for others, including collecting payments, maintaining escrow accounts, disbursing payments to investors, and conducting foreclosure proceedings. The amortized assets are assessed for impairment or increased obligations at the loan level, based on the fair value on a periodic basis. The Company serviced loans with unpaid principal balances of $121,515,000 and $159,078,000 as of December 31, 2025 and 2024, respectively, on behalf of others.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Commitments and Related Financial Instruments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Financial instruments include off-balance sheet credit instruments, such as commitments to make loans, and financial standby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2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Loan commitments not unconditionally cancellable are subject to an estimate of credit loss under the CECL model. The Company’s process for determining the estimate of credit loss on loan commitments is the same as it is on loans. Reserves for unfunded commitments are included as a component of “Interest payable and other liabilities” in the consolidated balance sheets.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issues equity grants in the form of stock options, RSAs, and PSUs under the Five Star Bancorp 2021 Equity Incentive Plan. These grants are issued to executives, directors, and employees. Compensation cost is recognized based on the fair value of these awards at the date of grant. A Black-Scholes model is utilized to estimate the grant date fair value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12" w:right="298" w:bottom="1440" w:gutter="0" w:footer="0" w:header="0"/>
        </w:sectPr>
      </w:pPr>
    </w:p>
    <w:bookmarkStart w:id="92" w:name="page93"/>
    <w:bookmarkEnd w:id="92"/>
    <w:p>
      <w:pPr>
        <w:jc w:val="both"/>
        <w:spacing w:after="0" w:line="271" w:lineRule="auto"/>
        <w:rPr>
          <w:sz w:val="20"/>
          <w:szCs w:val="20"/>
          <w:color w:val="auto"/>
        </w:rPr>
      </w:pPr>
      <w:r>
        <w:rPr>
          <w:rFonts w:ascii="Times New Roman" w:cs="Times New Roman" w:eastAsia="Times New Roman" w:hAnsi="Times New Roman"/>
          <w:sz w:val="14"/>
          <w:szCs w:val="14"/>
          <w:color w:val="auto"/>
        </w:rPr>
        <w:t>stock options, while the fair value of the Company’s common stock at the date of grant is used for RSAs and PSUs. Compensation cost is recognized over the required service period, generally defined as the vesting period. For awards with graded vesting, compensation cost is recognized on a straight-line basis over the requisite service period for the entire award. The Company recognizes forfeitures as they occur and does not estimate forfeitures at grant.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Supplemental Executive Retirement Plan</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Bank has entered into a non-qualified retirement plan for the Chief Executive Officer based on a continuation of employment. The present value of annual post-retirement payments is allocated to expense over the years of required service.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files its income taxes on a consolidated basis with its subsidiary. The allocation of income tax expense represents each entity’s proportionate share of the consolidated provision for income taxes.</w:t>
      </w:r>
    </w:p>
    <w:p>
      <w:pPr>
        <w:spacing w:after="0" w:line="9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Income tax expense is the total of the current year income tax due or refundable and the change in deferred tax assets and liabilities. Deferred tax assets and liabilities are the expected future tax amounts for the temporary differences between carrying amounts and tax bases of assets and liabilities computed using enacted tax rates. A valuation allowance is evaluated at least annually and, as needed, reduces deferred tax assets to the amount expected to be realized.</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The Company accounts for uncertain tax positions in accordance with FASB ASC Topic No. 740, </w:t>
      </w:r>
      <w:r>
        <w:rPr>
          <w:rFonts w:ascii="Times New Roman" w:cs="Times New Roman" w:eastAsia="Times New Roman" w:hAnsi="Times New Roman"/>
          <w:sz w:val="14"/>
          <w:szCs w:val="14"/>
          <w:i w:val="1"/>
          <w:iCs w:val="1"/>
          <w:color w:val="auto"/>
        </w:rPr>
        <w:t>Accounting for Uncertainty in Income Taxes</w:t>
      </w:r>
      <w:r>
        <w:rPr>
          <w:rFonts w:ascii="Times New Roman" w:cs="Times New Roman" w:eastAsia="Times New Roman" w:hAnsi="Times New Roman"/>
          <w:sz w:val="14"/>
          <w:szCs w:val="14"/>
          <w:color w:val="auto"/>
        </w:rPr>
        <w:t>. A tax position is recognized as a benefit only if it is “more likely than not” that the tax position would be sustained in a tax examination, with a tax examination being presumed to occur. The amount recognized is the largest amount of tax benefit that has a likelihood greater than 50% of being realized on examination. For tax positions not meeting the “more likely than not” test, no tax benefit is recorded.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derivative instruments are recorded at fair value. If derivative instruments are designated as hedges of fair values, both the change in the fair value of the hedge and the hedged item are included in current earnings. Fair value adjustments related to cash flow hedges, if any, are recorded in other comprehensive income or loss and reclassified to earnings when the hedged transaction is reflected in earnings.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Comprehensive Income or Loss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Comprehensive income or loss consists of net income and other comprehensive income or loss. Other comprehensive income or loss includes unrealized gains and losses on securities available-for-sale, net of tax, which are also recognized as separate components of shareholders’ equity.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EPS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Basic EPS is net income divided by the weighted average number of common shares outstanding during the period less average unvested RSAs. Diluted EPS includes the dilutive effect of additional potential common shares related to unvested RSAs using the treasury stock method. During the years ended December 31, 2025 and 2024, there were no outstanding stock options. The Company has two forms of outstanding common stock: common stock and unvested RSAs. Holders of unvested RSAs receive non-forfeitable dividends at the same rate as common shareholders and they both share equally 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undistributed earnings, and therefore the RSAs are considered participating securities. However, under the two-class method, the difference in EPS is not significant for these participating securities.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1.2: EPS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5"/>
        </w:trPr>
        <w:tc>
          <w:tcPr>
            <w:tcW w:w="6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93"/>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47,734</w:t>
            </w:r>
          </w:p>
        </w:tc>
      </w:tr>
      <w:tr>
        <w:trPr>
          <w:trHeight w:val="197"/>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Basic weighted average common shares outstanding</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21,224,788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20,154,385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17,166,592</w:t>
            </w:r>
          </w:p>
        </w:tc>
      </w:tr>
      <w:tr>
        <w:trPr>
          <w:trHeight w:val="213"/>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Dilutive effects of assumed vesting of restricted stock</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w:t>
            </w:r>
          </w:p>
        </w:tc>
      </w:tr>
      <w:tr>
        <w:trPr>
          <w:trHeight w:val="177"/>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dilutive weighted average common shares outstanding</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21,273,552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20,205,440</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17,187,969</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4"/>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Earnings per common share:</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91"/>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Basic EPS</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20"/>
        </w:trPr>
        <w:tc>
          <w:tcPr>
            <w:tcW w:w="84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89"/>
        </w:trPr>
        <w:tc>
          <w:tcPr>
            <w:tcW w:w="6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EPS</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did not have any anti-dilutive shares at December 31, 2025 or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Subordinated Notes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subordinated notes are recorded at par with related debt issuance costs reported as a direct reduction from the carrying amount. Issuance costs are amortized over the remaining maturity of the notes and reflected in interest expense.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consolidated financial statements include various estimated fair value information as of December 31, 2025 and 2024. Such information, which pertains to the Company’s financial instruments, does not purport to represent the aggregate net fair value of the Company. Further, the fair value estimates are based on various assumptions, methodologies, and subjective considerations, which vary widely among different financial institutions, and are subject to 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Fair Value Measurements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assets and liabilities and to determine fair value disclosures. The Company bases the fair values on the price that would be received to sell an asset or paid to transfer a liability in an orderly transaction between market participants at the measurement date. Securities available-for-sale and derivatives, if any, are recorded at fair value on a recurring basis.</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Additionally, from time to time, the Company may be required to record certain assets at fair value on a non-recurring basis, such as loans held for sale and certain collateral dependent impaired loans held for investment. These non-recurring fair value adjustments typically involve write-downs of individual assets due to application of lower of cost or fair value accounting.</w:t>
      </w:r>
    </w:p>
    <w:p>
      <w:pPr>
        <w:spacing w:after="0" w:line="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u w:val="single" w:color="auto"/>
          <w:color w:val="auto"/>
        </w:rPr>
        <w:t>Level 1</w:t>
      </w:r>
      <w:r>
        <w:rPr>
          <w:rFonts w:ascii="Times New Roman" w:cs="Times New Roman" w:eastAsia="Times New Roman" w:hAnsi="Times New Roman"/>
          <w:sz w:val="14"/>
          <w:szCs w:val="14"/>
          <w:color w:val="auto"/>
        </w:rPr>
        <w:t>: Quoted prices (unadjusted) for identical assets or liabilities in active markets that the Company has the ability to access as of the measurement date.</w:t>
      </w:r>
    </w:p>
    <w:p>
      <w:pPr>
        <w:spacing w:after="0" w:line="148" w:lineRule="exact"/>
        <w:rPr>
          <w:sz w:val="20"/>
          <w:szCs w:val="20"/>
          <w:color w:val="auto"/>
        </w:rPr>
      </w:pPr>
    </w:p>
    <w:p>
      <w:pPr>
        <w:ind w:left="500"/>
        <w:spacing w:after="0" w:line="288" w:lineRule="auto"/>
        <w:rPr>
          <w:sz w:val="20"/>
          <w:szCs w:val="20"/>
          <w:color w:val="auto"/>
        </w:rPr>
      </w:pPr>
      <w:r>
        <w:rPr>
          <w:rFonts w:ascii="Times New Roman" w:cs="Times New Roman" w:eastAsia="Times New Roman" w:hAnsi="Times New Roman"/>
          <w:sz w:val="14"/>
          <w:szCs w:val="14"/>
          <w:u w:val="single" w:color="auto"/>
          <w:color w:val="auto"/>
        </w:rPr>
        <w:t>Level 2</w:t>
      </w:r>
      <w:r>
        <w:rPr>
          <w:rFonts w:ascii="Times New Roman" w:cs="Times New Roman" w:eastAsia="Times New Roman" w:hAnsi="Times New Roman"/>
          <w:sz w:val="14"/>
          <w:szCs w:val="14"/>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u w:val="single" w:color="auto"/>
          <w:color w:val="auto"/>
        </w:rPr>
        <w:t>Level 3</w:t>
      </w:r>
      <w:r>
        <w:rPr>
          <w:rFonts w:ascii="Times New Roman" w:cs="Times New Roman" w:eastAsia="Times New Roman" w:hAnsi="Times New Roman"/>
          <w:sz w:val="14"/>
          <w:szCs w:val="14"/>
          <w:color w:val="auto"/>
        </w:rPr>
        <w:t>: Significant unobservable inputs that reflect the Company’s own assumptions about the assumptions that market participants would use in pricing an asset or liability.</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color w:val="auto"/>
        </w:rPr>
        <w:t>As a result, if other assumptions had been used, the Company’s recorded earnings or disclosures could have been materially different from those reflected in these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Subsequent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evaluated events and transactions subsequent to December 31, 2025 for recognition or disclosure. Additional detail can be found in Note 19, 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Recently Issued Accounting Standards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The following information reflects recent accounting standards that have been adopted or are pending adoption by the Company. As discussed in Note 1, Basis of Presentation, the Company qualifies as an emerging growth company and as such, has elected not to opt out of the extended transition period for complying with new or revised accounting standards and is not subject to the new or revised accounting standards applicable to public companies during the extended transition period. However, we may early adopt certain accounting standards, as the JOBS Act does not preclude an emerging growth company from adopting a new or revised accounting standard earlier than the time that such standard applies to private companies to the extent early adoption is permitted. Our early adoption of ASU No. 2023-09, </w:t>
      </w:r>
      <w:r>
        <w:rPr>
          <w:rFonts w:ascii="Times New Roman" w:cs="Times New Roman" w:eastAsia="Times New Roman" w:hAnsi="Times New Roman"/>
          <w:sz w:val="14"/>
          <w:szCs w:val="14"/>
          <w:i w:val="1"/>
          <w:iCs w:val="1"/>
          <w:color w:val="auto"/>
        </w:rPr>
        <w:t>Income Taxes (Topic 740) - Improvements to Income Tax Disclosures</w:t>
      </w:r>
      <w:r>
        <w:rPr>
          <w:rFonts w:ascii="Times New Roman" w:cs="Times New Roman" w:eastAsia="Times New Roman" w:hAnsi="Times New Roman"/>
          <w:sz w:val="14"/>
          <w:szCs w:val="14"/>
          <w:color w:val="auto"/>
        </w:rPr>
        <w:t xml:space="preserve"> (“ASU 2023-09”) was voluntary and does not represent an irrevocable election to opt out of the extended transition period for all standards. Apart from ASU 2023-09, the accounting standards discussed below indicate effective dates for the Company as an emerging growth company using the extended transition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Adopted</w:t>
      </w:r>
    </w:p>
    <w:p>
      <w:pPr>
        <w:spacing w:after="0" w:line="1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On January 1, 2023, the Company adopted ASC 326, which replaced the former “incurred loss” model for recognizing credit losses with an “expected loss” model referred to as the CECL model. The CECL model applies to estimated credit losses on loans receivable, held-to-maturity debt securities, unfunded loan commitments, and certain other financial assets measured at amortized cost. Under ASC 326, available-for-sale debt securities are evaluated for impairment if fair value is less than amortized cost, with any estimated credit losses recorded through a credit loss expense and an allowance, rather than a write-down of the investment. Changes in fair value that are not credit-related will continue to be recorded in other comprehensive income. The Company adopted this standard using a modified retrospective approach through a cumulative-effect adjustment to retained earnings as of the beginning of the first reporting period in which the guidance was effective for financial assets measured at amortized cost. For certain new disclosures required under ASC 326, such as credit quality indicators by year of origination, the Company has not restated comparative financial information before January 1, 2023 to conform under ASC 326. This adoption method is considered a change in accounting principle requiring additional disclosure of the nature and reason for the change, which is solely due to adoption of ASC 326. On January 1, 2023, the Company also adopted ASU No. 2022-02, </w:t>
      </w:r>
      <w:r>
        <w:rPr>
          <w:rFonts w:ascii="Times New Roman" w:cs="Times New Roman" w:eastAsia="Times New Roman" w:hAnsi="Times New Roman"/>
          <w:sz w:val="14"/>
          <w:szCs w:val="14"/>
          <w:i w:val="1"/>
          <w:iCs w:val="1"/>
          <w:color w:val="auto"/>
        </w:rPr>
        <w:t>Financial Instruments-Credit Losses (Topic 326): Troubled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Restructurings and Vintage Disclosures, </w:t>
      </w:r>
      <w:r>
        <w:rPr>
          <w:rFonts w:ascii="Times New Roman" w:cs="Times New Roman" w:eastAsia="Times New Roman" w:hAnsi="Times New Roman"/>
          <w:sz w:val="14"/>
          <w:szCs w:val="14"/>
          <w:color w:val="auto"/>
        </w:rPr>
        <w:t>which had no material impact.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Table 2.1 reflects the cumulative-effect adjustments the Company recorded on January 1, 2023 for the adoption of ASC 326.</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2.1: Impact of Adoption of ASC 326</w:t>
            </w: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vMerge w:val="restart"/>
          </w:tcPr>
          <w:p>
            <w:pPr>
              <w:jc w:val="right"/>
              <w:ind w:right="589"/>
              <w:spacing w:after="0"/>
              <w:rPr>
                <w:sz w:val="20"/>
                <w:szCs w:val="20"/>
                <w:color w:val="auto"/>
              </w:rPr>
            </w:pPr>
            <w:r>
              <w:rPr>
                <w:rFonts w:ascii="Times New Roman" w:cs="Times New Roman" w:eastAsia="Times New Roman" w:hAnsi="Times New Roman"/>
                <w:sz w:val="14"/>
                <w:szCs w:val="14"/>
                <w:color w:val="auto"/>
              </w:rPr>
              <w:t>January 1, 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Borders>
              <w:top w:val="single" w:sz="8" w:color="auto"/>
            </w:tcBorders>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5"/>
                <w:szCs w:val="15"/>
                <w:color w:val="auto"/>
              </w:rPr>
            </w:pPr>
          </w:p>
        </w:tc>
        <w:tc>
          <w:tcPr>
            <w:tcW w:w="198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Pre-ASC 326 Adoption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Impact of ASC 326 Adoption</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Post-ASC 326 Adoption</w:t>
            </w:r>
          </w:p>
        </w:tc>
        <w:tc>
          <w:tcPr>
            <w:tcW w:w="0" w:type="dxa"/>
            <w:vAlign w:val="bottom"/>
          </w:tcPr>
          <w:p>
            <w:pPr>
              <w:spacing w:after="0"/>
              <w:rPr>
                <w:sz w:val="1"/>
                <w:szCs w:val="1"/>
                <w:color w:val="auto"/>
              </w:rPr>
            </w:pPr>
          </w:p>
        </w:tc>
      </w:tr>
      <w:tr>
        <w:trPr>
          <w:trHeight w:val="175"/>
        </w:trPr>
        <w:tc>
          <w:tcPr>
            <w:tcW w:w="4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Allowance for Credit Losses - Loans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(33,651)</w:t>
            </w:r>
          </w:p>
        </w:tc>
        <w:tc>
          <w:tcPr>
            <w:tcW w:w="0" w:type="dxa"/>
            <w:vAlign w:val="bottom"/>
          </w:tcPr>
          <w:p>
            <w:pPr>
              <w:spacing w:after="0"/>
              <w:rPr>
                <w:sz w:val="1"/>
                <w:szCs w:val="1"/>
                <w:color w:val="auto"/>
              </w:rPr>
            </w:pPr>
          </w:p>
        </w:tc>
      </w:tr>
      <w:tr>
        <w:trPr>
          <w:trHeight w:val="192"/>
        </w:trPr>
        <w:tc>
          <w:tcPr>
            <w:tcW w:w="43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Allowance for Credit Losses - HTM Securities</w:t>
            </w:r>
          </w:p>
        </w:tc>
        <w:tc>
          <w:tcPr>
            <w:tcW w:w="26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4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Deferred Tax Asset (Interest receivable and other assets)</w:t>
            </w:r>
          </w:p>
        </w:tc>
        <w:tc>
          <w:tcPr>
            <w:tcW w:w="2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14,156</w:t>
            </w:r>
          </w:p>
        </w:tc>
        <w:tc>
          <w:tcPr>
            <w:tcW w:w="0" w:type="dxa"/>
            <w:vAlign w:val="bottom"/>
          </w:tcPr>
          <w:p>
            <w:pPr>
              <w:spacing w:after="0"/>
              <w:rPr>
                <w:sz w:val="1"/>
                <w:szCs w:val="1"/>
                <w:color w:val="auto"/>
              </w:rPr>
            </w:pPr>
          </w:p>
        </w:tc>
      </w:tr>
      <w:tr>
        <w:trPr>
          <w:trHeight w:val="213"/>
        </w:trPr>
        <w:tc>
          <w:tcPr>
            <w:tcW w:w="24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3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4380" w:type="dxa"/>
            <w:vAlign w:val="bottom"/>
            <w:gridSpan w:val="3"/>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Reserve for Unfunded Commitments (Interest payable and other</w:t>
            </w:r>
          </w:p>
        </w:tc>
        <w:tc>
          <w:tcPr>
            <w:tcW w:w="2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26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3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(42,245)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 March 2023, the FASB issued ASU 2023-02, </w:t>
      </w:r>
      <w:r>
        <w:rPr>
          <w:rFonts w:ascii="Times New Roman" w:cs="Times New Roman" w:eastAsia="Times New Roman" w:hAnsi="Times New Roman"/>
          <w:sz w:val="14"/>
          <w:szCs w:val="14"/>
          <w:i w:val="1"/>
          <w:iCs w:val="1"/>
          <w:color w:val="auto"/>
        </w:rPr>
        <w:t>Investments - Equity Method and Joint Ventures (Topic 323): Accounting for Investments in Tax Credit Structures Using the Proportional Amortization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Method </w:t>
      </w:r>
      <w:r>
        <w:rPr>
          <w:rFonts w:ascii="Times New Roman" w:cs="Times New Roman" w:eastAsia="Times New Roman" w:hAnsi="Times New Roman"/>
          <w:sz w:val="14"/>
          <w:szCs w:val="14"/>
          <w:color w:val="auto"/>
        </w:rPr>
        <w:t>(“ASU 2023-02”). Under current GAAP, an entity can only elect to apply the proportional amortization method to investments in low income housing tax credit (“LIHTC”) structures.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amendments in ASU 2023-02 allow entities to elect to account for equity investments made primarily for the purpose of receiving income tax credits using the proportional amortization method, regardless of the tax credit program through which the investment earns income tax credits, if certain conditions are met. ASU 2023-02 provides amendments to paragraph ASC 323-740-25-1, which sets forth the conditions needed to apply the proportional amortization method. The amendments make certain limited changes to those conditions to clarify their application to a broader group of tax credit investment programs. However, the conditions in substance remain consistent with current GAAP. The amendments in ASU 2023-02 also eliminate certain LIHTC-specific guidance to align the accounting more closely with the accounting for other equity investments in tax credit structures and require that the delayed equity contribution guidance in paragraph ASC 323-740-25-3 apply only to tax equity investments accounted for using the proportional amortization method. The Company adopted ASU 2023-02 on January 1, 2024, which did not have a significant impact on the Company’s consolidated financial statements.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In November 2023, the FASB issued ASU No. 2023-07, </w:t>
      </w:r>
      <w:r>
        <w:rPr>
          <w:rFonts w:ascii="Times New Roman" w:cs="Times New Roman" w:eastAsia="Times New Roman" w:hAnsi="Times New Roman"/>
          <w:sz w:val="14"/>
          <w:szCs w:val="14"/>
          <w:i w:val="1"/>
          <w:iCs w:val="1"/>
          <w:color w:val="auto"/>
        </w:rPr>
        <w:t>Segment Reporting (Topic 280) - Improvements to Reportable Segment Disclosures</w:t>
      </w:r>
      <w:r>
        <w:rPr>
          <w:rFonts w:ascii="Times New Roman" w:cs="Times New Roman" w:eastAsia="Times New Roman" w:hAnsi="Times New Roman"/>
          <w:sz w:val="14"/>
          <w:szCs w:val="14"/>
          <w:color w:val="auto"/>
        </w:rPr>
        <w:t xml:space="preserve"> (“ASU 2023-07”), amending disclosure requirements related to segment reporting primarily through enhanced disclosure about significant segment expenses and by requiring disclosure of segment information on an annual and interim basis. ASU 2023-07 is effective January 1, 2024 and for interim periods beginning after December 15, 2024. The key amendments: (i) require that a public entity disclose, on an annual and interim basis, significant segment expenses that are regularly provided to the chief operating decision maker (the “CODM”) and included within each reported measure of segment profit or loss; (ii) require that a public entity disclose, on an annual and interim basis, an amount for other segment items by reportable segment and a description of its composition; (iii) require that a public entity provide all annual disclosures about a reportable segment’s profit or loss currently required by GAAP in interim periods as well; (iv) clarify that if the CODM uses more than one measure of a segment’s profit or loss in assessing segment performance and deciding how to allocate resources, an entity may report one or more of those additional measures of segment profit; (v) require that a public entity disclose the title and position of the CODM and an explanation of how the CODM uses the reported measure of segment profit or loss in assessing segment performance and deciding how to allocate resources; and (vi) require that a public entity that has a single reportable segment provide all the disclosures required by the amendments in the ASU and all existing segment disclosures. The Company has one reportable segment. The Company adopted ASU 2023-07 on January 1, 2024, which did not have a significant impact on the Company’s consolidated financial statements.</w:t>
      </w:r>
    </w:p>
    <w:p>
      <w:pPr>
        <w:spacing w:after="0" w:line="14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In December 2023, the FASB issued ASU 2023-09, which enhances the transparency and decision usefulness of income tax disclosures. ASU 2023-09 will require disaggregated information about a reporting entity’s effective tax rate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6" w:name="page97"/>
    <w:bookmarkEnd w:id="96"/>
    <w:p>
      <w:pPr>
        <w:jc w:val="both"/>
        <w:spacing w:after="0" w:line="260" w:lineRule="auto"/>
        <w:rPr>
          <w:sz w:val="20"/>
          <w:szCs w:val="20"/>
          <w:color w:val="auto"/>
        </w:rPr>
      </w:pPr>
      <w:r>
        <w:rPr>
          <w:rFonts w:ascii="Times New Roman" w:cs="Times New Roman" w:eastAsia="Times New Roman" w:hAnsi="Times New Roman"/>
          <w:sz w:val="14"/>
          <w:szCs w:val="14"/>
          <w:color w:val="auto"/>
        </w:rPr>
        <w:t>reconciliation as well as information on income taxes paid. Entities will also be required to disclose income/(loss) from continuing operations before income tax expense/(benefit) disaggregated between domestic and foreign operations, as well as income tax expense/(benefit) from continuing operations disaggregated by federal, state, and foreign operations. ASU 2023-09 is effective for fiscal years beginning after December 15, 2025, including interim periods within those fiscal years, for emerging growth companies that have elected not to opt out of the extended transition period. The Company elected to early adopt ASU 2023-09 for the fiscal year ended December 31, 2025, which did not have a significant impact on the Company’s consolidated financial statements. The Company’s early adoption of ASU 2023-09 was voluntary and does not represent an irrevocable election to opt out of the extended transition period for all standards. The Company has updated its income tax disclosures in accordance with ASU 2023-09, which primarily enhances transparency regarding income tax expense and related items.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Standards Issued But Not Yet Adopted</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October 2023, the FASB issued ASU No. 2023-06, </w:t>
      </w:r>
      <w:r>
        <w:rPr>
          <w:rFonts w:ascii="Times New Roman" w:cs="Times New Roman" w:eastAsia="Times New Roman" w:hAnsi="Times New Roman"/>
          <w:sz w:val="14"/>
          <w:szCs w:val="14"/>
          <w:i w:val="1"/>
          <w:iCs w:val="1"/>
          <w:color w:val="auto"/>
        </w:rPr>
        <w:t>Disclosure Improvements - Codification Amendments in Response to the SEC’s Disclosure Update and Simplification Initiative</w:t>
      </w:r>
      <w:r>
        <w:rPr>
          <w:rFonts w:ascii="Times New Roman" w:cs="Times New Roman" w:eastAsia="Times New Roman" w:hAnsi="Times New Roman"/>
          <w:sz w:val="14"/>
          <w:szCs w:val="14"/>
          <w:color w:val="auto"/>
        </w:rPr>
        <w:t xml:space="preserve"> (“ASU 2023-06”), amending disclosure or presentation requirements related to various subtopics in the FASB’s ASC. ASU 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 xml:space="preserve">In March 2024, the FASB issued ASU 2024-02, </w:t>
      </w:r>
      <w:r>
        <w:rPr>
          <w:rFonts w:ascii="Times New Roman" w:cs="Times New Roman" w:eastAsia="Times New Roman" w:hAnsi="Times New Roman"/>
          <w:sz w:val="14"/>
          <w:szCs w:val="14"/>
          <w:i w:val="1"/>
          <w:iCs w:val="1"/>
          <w:color w:val="auto"/>
        </w:rPr>
        <w:t>Codification Improvements - Amendments to Remove References to the Concepts Statements</w:t>
      </w:r>
      <w:r>
        <w:rPr>
          <w:rFonts w:ascii="Times New Roman" w:cs="Times New Roman" w:eastAsia="Times New Roman" w:hAnsi="Times New Roman"/>
          <w:sz w:val="14"/>
          <w:szCs w:val="14"/>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2026 for emerging growth companies electing not to opt out of the extended transition period and is not expected to have a significant impact on the Company’s consolidated financial statements.</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 xml:space="preserve">On November 4,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w:t>
      </w:r>
      <w:r>
        <w:rPr>
          <w:rFonts w:ascii="Times New Roman" w:cs="Times New Roman" w:eastAsia="Times New Roman" w:hAnsi="Times New Roman"/>
          <w:sz w:val="14"/>
          <w:szCs w:val="14"/>
          <w:color w:val="auto"/>
        </w:rPr>
        <w:t xml:space="preserve"> (“Subtopic 220-40”)</w:t>
      </w:r>
      <w:r>
        <w:rPr>
          <w:rFonts w:ascii="Times New Roman" w:cs="Times New Roman" w:eastAsia="Times New Roman" w:hAnsi="Times New Roman"/>
          <w:sz w:val="14"/>
          <w:szCs w:val="14"/>
          <w:i w:val="1"/>
          <w:iCs w:val="1"/>
          <w:color w:val="auto"/>
        </w:rPr>
        <w:t>: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Statement Expenses </w:t>
      </w:r>
      <w:r>
        <w:rPr>
          <w:rFonts w:ascii="Times New Roman" w:cs="Times New Roman" w:eastAsia="Times New Roman" w:hAnsi="Times New Roman"/>
          <w:sz w:val="14"/>
          <w:szCs w:val="14"/>
          <w:color w:val="auto"/>
        </w:rPr>
        <w:t>(“ASU 2024-03”) and in January 2025 the FASB issued ASU 2025-01,</w:t>
      </w:r>
      <w:r>
        <w:rPr>
          <w:rFonts w:ascii="Times New Roman" w:cs="Times New Roman" w:eastAsia="Times New Roman" w:hAnsi="Times New Roman"/>
          <w:sz w:val="14"/>
          <w:szCs w:val="14"/>
          <w:i w:val="1"/>
          <w:iCs w:val="1"/>
          <w:color w:val="auto"/>
        </w:rPr>
        <w:t xml:space="preserve"> Clarifying the Effective Date</w:t>
      </w:r>
      <w:r>
        <w:rPr>
          <w:rFonts w:ascii="Times New Roman" w:cs="Times New Roman" w:eastAsia="Times New Roman" w:hAnsi="Times New Roman"/>
          <w:sz w:val="14"/>
          <w:szCs w:val="14"/>
          <w:color w:val="auto"/>
        </w:rPr>
        <w:t>. This standard responds to investor input by requiring public companies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disclose, in interim and annual reporting periods, additional information about certain expenses in the notes to the financial statements. This standard is effective for all entities that are subject to Subtopic 220-40, for annual periods beginning after December 15, 2026, and interim periods within annual reporting periods beginning after December 15, 2027, but early adoption is permitted. ASU 2024-03 is not expected to have a significant impact on the Company’s consolidated financial statements.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Investment Securities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the following tables.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9" w:right="298" w:bottom="1440" w:gutter="0" w:footer="0" w:header="0"/>
        </w:sectPr>
      </w:pPr>
    </w:p>
    <w:bookmarkStart w:id="97" w:name="page98"/>
    <w:bookmarkEnd w:id="97"/>
    <w:p>
      <w:pPr>
        <w:jc w:val="both"/>
        <w:spacing w:after="0" w:line="288" w:lineRule="auto"/>
        <w:rPr>
          <w:sz w:val="20"/>
          <w:szCs w:val="20"/>
          <w:color w:val="auto"/>
        </w:rPr>
      </w:pPr>
      <w:r>
        <w:rPr>
          <w:rFonts w:ascii="Times New Roman" w:cs="Times New Roman" w:eastAsia="Times New Roman" w:hAnsi="Times New Roman"/>
          <w:sz w:val="14"/>
          <w:szCs w:val="14"/>
          <w:color w:val="auto"/>
        </w:rPr>
        <w:t>A summary of the amortized cost and fair value related to securities held-to-maturity as of December 31, 2025 and 2024 is presented in Table 3.1. Securities held-to-maturity had a $20,000 allowance for credit losses as of December 31,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3.1: Securities Held-to-Maturity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180" w:type="dxa"/>
            <w:vAlign w:val="bottom"/>
            <w:tcBorders>
              <w:top w:val="single" w:sz="8" w:color="auto"/>
            </w:tcBorders>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4"/>
                <w:szCs w:val="14"/>
                <w:color w:val="auto"/>
              </w:rPr>
              <w:t>Gross Unrealized</w:t>
            </w:r>
          </w:p>
        </w:tc>
        <w:tc>
          <w:tcPr>
            <w:tcW w:w="4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Gains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(Losses)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2"/>
        </w:trPr>
        <w:tc>
          <w:tcPr>
            <w:tcW w:w="218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8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Pr>
          <w:p>
            <w:pPr>
              <w:spacing w:after="0"/>
              <w:rPr>
                <w:sz w:val="17"/>
                <w:szCs w:val="17"/>
                <w:color w:val="auto"/>
              </w:rPr>
            </w:pP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3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197"/>
        </w:trPr>
        <w:tc>
          <w:tcPr>
            <w:tcW w:w="500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held-to-maturity</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180" w:type="dxa"/>
            <w:vAlign w:val="bottom"/>
            <w:vMerge w:val="continue"/>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28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3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172"/>
        </w:trPr>
        <w:tc>
          <w:tcPr>
            <w:tcW w:w="5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held-to-maturity</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adopted ASC 326 on January 1, 2023, which affects accounting of credit loss expense on held-to-maturity and available-for-sale securities. As of December 31, 2025 and 2024, the allowance for credit losses on held-to-maturity securities was $20,000. The Company did not record an allowance for credit losses on available-for-sale securities as of December 31, 2025 and 2024. Refer to Note 1, Basis of Presentation, for further detail.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amortized cost and fair value related to securities available-for-sale as of December 31, 2025 and 2024 is presented in Table 3.2.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3.2: Securities Available-for-Sale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240" w:type="dxa"/>
            <w:vAlign w:val="bottom"/>
            <w:tcBorders>
              <w:top w:val="single" w:sz="8" w:color="auto"/>
            </w:tcBorders>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Gross Unrealized</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Amortized Cost</w:t>
            </w:r>
          </w:p>
        </w:tc>
        <w:tc>
          <w:tcPr>
            <w:tcW w:w="320" w:type="dxa"/>
            <w:vAlign w:val="bottom"/>
          </w:tcPr>
          <w:p>
            <w:pPr>
              <w:spacing w:after="0"/>
              <w:rPr>
                <w:sz w:val="17"/>
                <w:szCs w:val="17"/>
                <w:color w:val="auto"/>
              </w:rPr>
            </w:pPr>
          </w:p>
        </w:tc>
        <w:tc>
          <w:tcPr>
            <w:tcW w:w="11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Gains</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(Losses)</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99"/>
        </w:trPr>
        <w:tc>
          <w:tcPr>
            <w:tcW w:w="2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7,276</w:t>
            </w:r>
          </w:p>
        </w:tc>
        <w:tc>
          <w:tcPr>
            <w:tcW w:w="80" w:type="dxa"/>
            <w:vAlign w:val="bottom"/>
          </w:tcPr>
          <w:p>
            <w:pPr>
              <w:spacing w:after="0"/>
              <w:rPr>
                <w:sz w:val="17"/>
                <w:szCs w:val="17"/>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56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34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56,941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48,186</w:t>
            </w:r>
          </w:p>
        </w:tc>
        <w:tc>
          <w:tcPr>
            <w:tcW w:w="0" w:type="dxa"/>
            <w:vAlign w:val="bottom"/>
          </w:tcPr>
          <w:p>
            <w:pPr>
              <w:spacing w:after="0"/>
              <w:rPr>
                <w:sz w:val="1"/>
                <w:szCs w:val="1"/>
                <w:color w:val="auto"/>
              </w:rPr>
            </w:pPr>
          </w:p>
        </w:tc>
      </w:tr>
      <w:tr>
        <w:trPr>
          <w:trHeight w:val="197"/>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40,734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36,964</w:t>
            </w:r>
          </w:p>
        </w:tc>
        <w:tc>
          <w:tcPr>
            <w:tcW w:w="0" w:type="dxa"/>
            <w:vAlign w:val="bottom"/>
          </w:tcPr>
          <w:p>
            <w:pPr>
              <w:spacing w:after="0"/>
              <w:rPr>
                <w:sz w:val="1"/>
                <w:szCs w:val="1"/>
                <w:color w:val="auto"/>
              </w:rPr>
            </w:pPr>
          </w:p>
        </w:tc>
      </w:tr>
      <w:tr>
        <w:trPr>
          <w:trHeight w:val="208"/>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202"/>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0" w:type="dxa"/>
            <w:vAlign w:val="bottom"/>
          </w:tcPr>
          <w:p>
            <w:pPr>
              <w:spacing w:after="0"/>
              <w:rPr>
                <w:sz w:val="1"/>
                <w:szCs w:val="1"/>
                <w:color w:val="auto"/>
              </w:rPr>
            </w:pPr>
          </w:p>
        </w:tc>
      </w:tr>
      <w:tr>
        <w:trPr>
          <w:trHeight w:val="192"/>
        </w:trPr>
        <w:tc>
          <w:tcPr>
            <w:tcW w:w="5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107,197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56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(12,667)</w:t>
            </w:r>
          </w:p>
        </w:tc>
        <w:tc>
          <w:tcPr>
            <w:tcW w:w="3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4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6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8,293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560" w:type="dxa"/>
            <w:vAlign w:val="bottom"/>
            <w:gridSpan w:val="2"/>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0" w:type="dxa"/>
            <w:vAlign w:val="bottom"/>
          </w:tcPr>
          <w:p>
            <w:pPr>
              <w:spacing w:after="0"/>
              <w:rPr>
                <w:sz w:val="1"/>
                <w:szCs w:val="1"/>
                <w:color w:val="auto"/>
              </w:rPr>
            </w:pPr>
          </w:p>
        </w:tc>
      </w:tr>
      <w:tr>
        <w:trPr>
          <w:trHeight w:val="202"/>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62,397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Obligations of states and political subdivisions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42,762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37,137</w:t>
            </w:r>
          </w:p>
        </w:tc>
        <w:tc>
          <w:tcPr>
            <w:tcW w:w="0" w:type="dxa"/>
            <w:vAlign w:val="bottom"/>
          </w:tcPr>
          <w:p>
            <w:pPr>
              <w:spacing w:after="0"/>
              <w:rPr>
                <w:sz w:val="1"/>
                <w:szCs w:val="1"/>
                <w:color w:val="auto"/>
              </w:rPr>
            </w:pPr>
          </w:p>
        </w:tc>
      </w:tr>
      <w:tr>
        <w:trPr>
          <w:trHeight w:val="202"/>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13"/>
        </w:trPr>
        <w:tc>
          <w:tcPr>
            <w:tcW w:w="5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172"/>
        </w:trPr>
        <w:tc>
          <w:tcPr>
            <w:tcW w:w="5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available-for-sale</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115,757</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4"/>
                <w:szCs w:val="14"/>
                <w:color w:val="auto"/>
              </w:rPr>
            </w:pP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98" w:name="page99"/>
    <w:bookmarkEnd w:id="98"/>
    <w:p>
      <w:pPr>
        <w:spacing w:after="0" w:line="288" w:lineRule="auto"/>
        <w:rPr>
          <w:sz w:val="20"/>
          <w:szCs w:val="20"/>
          <w:color w:val="auto"/>
        </w:rPr>
      </w:pPr>
      <w:r>
        <w:rPr>
          <w:rFonts w:ascii="Times New Roman" w:cs="Times New Roman" w:eastAsia="Times New Roman" w:hAnsi="Times New Roman"/>
          <w:sz w:val="14"/>
          <w:szCs w:val="14"/>
          <w:color w:val="auto"/>
        </w:rPr>
        <w:t>The amortized cost and fair value of investment securities by contractual maturity at December 31, 2025 and 2024 are shown in Table 3.3. Expected maturities may differ from contractual maturities if the issuers of the securities have the right to call or prepay obligations with or without call or prepayment penalties.</w:t>
      </w:r>
    </w:p>
    <w:p>
      <w:pPr>
        <w:sectPr>
          <w:pgSz w:w="11920" w:h="16838" w:orient="portrait"/>
          <w:cols w:equalWidth="0" w:num="1">
            <w:col w:w="11300"/>
          </w:cols>
          <w:pgMar w:left="320" w:top="897" w:right="298" w:bottom="1440" w:gutter="0" w:footer="0" w:header="0"/>
        </w:sectPr>
      </w:pP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3.3: Contractual Maturities - Investment Securities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256222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62225" cy="698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Within one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one but within five years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five years through ten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After ten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securities not due at a single maturity 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2"/>
        </w:trPr>
        <w:tc>
          <w:tcPr>
            <w:tcW w:w="100" w:type="dxa"/>
            <w:vAlign w:val="bottom"/>
          </w:tcPr>
          <w:p>
            <w:pPr>
              <w:spacing w:after="0"/>
              <w:rPr>
                <w:sz w:val="15"/>
                <w:szCs w:val="15"/>
                <w:color w:val="auto"/>
              </w:rPr>
            </w:pPr>
          </w:p>
        </w:tc>
        <w:tc>
          <w:tcPr>
            <w:tcW w:w="164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Held-to-Maturity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6"/>
          </w:tcPr>
          <w:p>
            <w:pPr>
              <w:ind w:left="240"/>
              <w:spacing w:after="0"/>
              <w:rPr>
                <w:sz w:val="20"/>
                <w:szCs w:val="20"/>
                <w:color w:val="auto"/>
              </w:rPr>
            </w:pPr>
            <w:r>
              <w:rPr>
                <w:rFonts w:ascii="Times New Roman" w:cs="Times New Roman" w:eastAsia="Times New Roman" w:hAnsi="Times New Roman"/>
                <w:sz w:val="14"/>
                <w:szCs w:val="14"/>
                <w:color w:val="auto"/>
              </w:rPr>
              <w:t>Available-for-Sale</w:t>
            </w:r>
          </w:p>
        </w:tc>
        <w:tc>
          <w:tcPr>
            <w:tcW w:w="162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color w:val="auto"/>
              </w:rPr>
              <w:t>Held-to-Maturity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color w:val="auto"/>
              </w:rPr>
              <w:t>Available-for-Sale</w:t>
            </w: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7"/>
        </w:trPr>
        <w:tc>
          <w:tcPr>
            <w:tcW w:w="100" w:type="dxa"/>
            <w:vAlign w:val="bottom"/>
          </w:tcPr>
          <w:p>
            <w:pPr>
              <w:spacing w:after="0"/>
              <w:rPr>
                <w:sz w:val="13"/>
                <w:szCs w:val="13"/>
                <w:color w:val="auto"/>
              </w:rPr>
            </w:pPr>
          </w:p>
        </w:tc>
        <w:tc>
          <w:tcPr>
            <w:tcW w:w="740" w:type="dxa"/>
            <w:vAlign w:val="bottom"/>
          </w:tcPr>
          <w:p>
            <w:pPr>
              <w:jc w:val="right"/>
              <w:ind w:right="49"/>
              <w:spacing w:after="0" w:line="157" w:lineRule="exact"/>
              <w:rPr>
                <w:sz w:val="20"/>
                <w:szCs w:val="20"/>
                <w:color w:val="auto"/>
              </w:rPr>
            </w:pPr>
            <w:r>
              <w:rPr>
                <w:rFonts w:ascii="Times New Roman" w:cs="Times New Roman" w:eastAsia="Times New Roman" w:hAnsi="Times New Roman"/>
                <w:sz w:val="14"/>
                <w:szCs w:val="14"/>
                <w:color w:val="auto"/>
              </w:rPr>
              <w:t>Amortized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auto"/>
              </w:rPr>
              <w:t>Amortized</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29"/>
              <w:spacing w:after="0" w:line="157" w:lineRule="exact"/>
              <w:rPr>
                <w:sz w:val="20"/>
                <w:szCs w:val="20"/>
                <w:color w:val="auto"/>
              </w:rPr>
            </w:pPr>
            <w:r>
              <w:rPr>
                <w:rFonts w:ascii="Times New Roman" w:cs="Times New Roman" w:eastAsia="Times New Roman" w:hAnsi="Times New Roman"/>
                <w:sz w:val="14"/>
                <w:szCs w:val="14"/>
                <w:color w:val="auto"/>
              </w:rPr>
              <w:t>Amortized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color w:val="auto"/>
              </w:rPr>
              <w:t>Amortized</w:t>
            </w:r>
          </w:p>
        </w:tc>
        <w:tc>
          <w:tcPr>
            <w:tcW w:w="720" w:type="dxa"/>
            <w:vAlign w:val="bottom"/>
          </w:tcPr>
          <w:p>
            <w:pPr>
              <w:spacing w:after="0"/>
              <w:rPr>
                <w:sz w:val="13"/>
                <w:szCs w:val="13"/>
                <w:color w:val="auto"/>
              </w:rPr>
            </w:pPr>
          </w:p>
        </w:tc>
      </w:tr>
      <w:tr>
        <w:trPr>
          <w:trHeight w:val="190"/>
        </w:trPr>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Cost</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97"/>
              </w:rPr>
              <w:t>Fair Value</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Cost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Fair Value</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Cost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7"/>
              </w:rPr>
              <w:t>Fair Value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Cost</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97"/>
              </w:rPr>
              <w:t>Fair Value</w:t>
            </w:r>
          </w:p>
        </w:tc>
      </w:tr>
      <w:tr>
        <w:trPr>
          <w:trHeight w:val="187"/>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213"/>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8,108</w:t>
            </w:r>
          </w:p>
        </w:tc>
      </w:tr>
      <w:tr>
        <w:trPr>
          <w:trHeight w:val="202"/>
        </w:trPr>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-2609215</wp:posOffset>
            </wp:positionH>
            <wp:positionV relativeFrom="paragraph">
              <wp:posOffset>-513080</wp:posOffset>
            </wp:positionV>
            <wp:extent cx="7160260"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2827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-248920</wp:posOffset>
            </wp:positionV>
            <wp:extent cx="7160260" cy="1282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28270"/>
                    </a:xfrm>
                    <a:prstGeom prst="rect">
                      <a:avLst/>
                    </a:prstGeom>
                    <a:noFill/>
                  </pic:spPr>
                </pic:pic>
              </a:graphicData>
            </a:graphic>
          </wp:anchor>
        </w:drawing>
        <w:drawing>
          <wp:anchor simplePos="0" relativeHeight="251657728" behindDoc="1" locked="0" layoutInCell="0" allowOverlap="1">
            <wp:simplePos x="0" y="0"/>
            <wp:positionH relativeFrom="column">
              <wp:posOffset>-2609215</wp:posOffset>
            </wp:positionH>
            <wp:positionV relativeFrom="paragraph">
              <wp:posOffset>6985</wp:posOffset>
            </wp:positionV>
            <wp:extent cx="7160260" cy="1149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14935"/>
                    </a:xfrm>
                    <a:prstGeom prst="rect">
                      <a:avLst/>
                    </a:prstGeom>
                    <a:noFill/>
                  </pic:spPr>
                </pic:pic>
              </a:graphicData>
            </a:graphic>
          </wp:anchor>
        </w:drawing>
      </w:r>
    </w:p>
    <w:p>
      <w:pPr>
        <w:spacing w:after="0" w:line="198" w:lineRule="exact"/>
        <w:rPr>
          <w:sz w:val="20"/>
          <w:szCs w:val="20"/>
          <w:color w:val="auto"/>
        </w:rPr>
      </w:pPr>
    </w:p>
    <w:p>
      <w:pPr>
        <w:sectPr>
          <w:pgSz w:w="11920" w:h="16838" w:orient="portrait"/>
          <w:cols w:equalWidth="0" w:num="2">
            <w:col w:w="3380" w:space="720"/>
            <w:col w:w="7200"/>
          </w:cols>
          <w:pgMar w:left="320" w:top="897" w:right="298"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8,345</w:t>
            </w:r>
          </w:p>
        </w:tc>
        <w:tc>
          <w:tcPr>
            <w:tcW w:w="40" w:type="dxa"/>
            <w:vAlign w:val="bottom"/>
          </w:tcPr>
          <w:p>
            <w:pPr>
              <w:spacing w:after="0"/>
              <w:rPr>
                <w:sz w:val="16"/>
                <w:szCs w:val="16"/>
                <w:color w:val="auto"/>
              </w:rPr>
            </w:pPr>
          </w:p>
        </w:tc>
      </w:tr>
      <w:tr>
        <w:trPr>
          <w:trHeight w:val="213"/>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40" w:type="dxa"/>
            <w:vAlign w:val="bottom"/>
          </w:tcPr>
          <w:p>
            <w:pPr>
              <w:spacing w:after="0"/>
              <w:rPr>
                <w:sz w:val="18"/>
                <w:szCs w:val="18"/>
                <w:color w:val="auto"/>
              </w:rPr>
            </w:pPr>
          </w:p>
        </w:tc>
      </w:tr>
      <w:tr>
        <w:trPr>
          <w:trHeight w:val="202"/>
        </w:trPr>
        <w:tc>
          <w:tcPr>
            <w:tcW w:w="41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40" w:type="dxa"/>
            <w:vAlign w:val="bottom"/>
          </w:tcPr>
          <w:p>
            <w:pPr>
              <w:spacing w:after="0"/>
              <w:rPr>
                <w:sz w:val="17"/>
                <w:szCs w:val="17"/>
                <w:color w:val="auto"/>
              </w:rPr>
            </w:pPr>
          </w:p>
        </w:tc>
      </w:tr>
      <w:tr>
        <w:trPr>
          <w:trHeight w:val="202"/>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bonds</w:t>
            </w: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40" w:type="dxa"/>
            <w:vAlign w:val="bottom"/>
          </w:tcPr>
          <w:p>
            <w:pPr>
              <w:spacing w:after="0"/>
              <w:rPr>
                <w:sz w:val="17"/>
                <w:szCs w:val="17"/>
                <w:color w:val="auto"/>
              </w:rPr>
            </w:pPr>
          </w:p>
        </w:tc>
      </w:tr>
      <w:tr>
        <w:trPr>
          <w:trHeight w:val="172"/>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107,197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115,757</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40" w:type="dxa"/>
            <w:vAlign w:val="bottom"/>
          </w:tcPr>
          <w:p>
            <w:pPr>
              <w:spacing w:after="0"/>
              <w:rPr>
                <w:sz w:val="14"/>
                <w:szCs w:val="14"/>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06"/>
        </w:trPr>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
        </w:trPr>
        <w:tc>
          <w:tcPr>
            <w:tcW w:w="41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Sales of investment securities and gross gains and losses are shown in Table 3.4.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31"/>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3.4: Income Statement Impacts for Securities Available-for-Sale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39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99"/>
        </w:trPr>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Available-for-sale:</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2"/>
        </w:trPr>
        <w:tc>
          <w:tcPr>
            <w:tcW w:w="6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Sales proceeds</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4"/>
          </w:tcPr>
          <w:p>
            <w:pPr>
              <w:ind w:left="960"/>
              <w:spacing w:after="0"/>
              <w:rPr>
                <w:sz w:val="20"/>
                <w:szCs w:val="20"/>
                <w:color w:val="auto"/>
              </w:rPr>
            </w:pPr>
            <w:r>
              <w:rPr>
                <w:rFonts w:ascii="Times New Roman" w:cs="Times New Roman" w:eastAsia="Times New Roman" w:hAnsi="Times New Roman"/>
                <w:sz w:val="14"/>
                <w:szCs w:val="14"/>
                <w:color w:val="auto"/>
              </w:rPr>
              <w:t>—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r>
      <w:tr>
        <w:trPr>
          <w:trHeight w:val="213"/>
        </w:trPr>
        <w:tc>
          <w:tcPr>
            <w:tcW w:w="6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Gross realized (losses) gains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383"/>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Pledged investment securities are shown in Table 3.5.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0"/>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3.5: Pledged Investment Securities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2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60" w:type="dxa"/>
            <w:vAlign w:val="bottom"/>
            <w:tcBorders>
              <w:bottom w:val="single" w:sz="8" w:color="auto"/>
            </w:tcBorders>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189"/>
        </w:trPr>
        <w:tc>
          <w:tcPr>
            <w:tcW w:w="6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Pledged to:</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197"/>
        </w:trPr>
        <w:tc>
          <w:tcPr>
            <w:tcW w:w="6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The State of California, securing deposits of public funds and borrowings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47,091</w:t>
            </w:r>
          </w:p>
        </w:tc>
        <w:tc>
          <w:tcPr>
            <w:tcW w:w="2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49,477</w:t>
            </w:r>
          </w:p>
        </w:tc>
      </w:tr>
      <w:tr>
        <w:trPr>
          <w:trHeight w:val="208"/>
        </w:trPr>
        <w:tc>
          <w:tcPr>
            <w:tcW w:w="65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The Federal Reserve Discount Window, increasing borrowing capacity</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45,576</w:t>
            </w:r>
          </w:p>
        </w:tc>
      </w:tr>
      <w:tr>
        <w:trPr>
          <w:trHeight w:val="172"/>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pledged investment securities</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89,669</w:t>
            </w:r>
          </w:p>
        </w:tc>
        <w:tc>
          <w:tcPr>
            <w:tcW w:w="20" w:type="dxa"/>
            <w:vAlign w:val="bottom"/>
          </w:tcPr>
          <w:p>
            <w:pPr>
              <w:spacing w:after="0"/>
              <w:rPr>
                <w:sz w:val="14"/>
                <w:szCs w:val="14"/>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95,053</w:t>
            </w:r>
          </w:p>
        </w:tc>
      </w:tr>
      <w:tr>
        <w:trPr>
          <w:trHeight w:val="20"/>
        </w:trPr>
        <w:tc>
          <w:tcPr>
            <w:tcW w:w="2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Table 3.6 details the gross unrealized losses and fair values aggregated by investment category and length of time that individual available-for-sale securities have been in a continuous unrealized loss position at December 31,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Table 3.6: Securities Available-for-Sale in Continuous Unrealized Loss Positions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gridSpan w:val="4"/>
            <w:vMerge w:val="restart"/>
          </w:tcPr>
          <w:p>
            <w:pPr>
              <w:jc w:val="right"/>
              <w:ind w:right="889"/>
              <w:spacing w:after="0"/>
              <w:rPr>
                <w:sz w:val="20"/>
                <w:szCs w:val="20"/>
                <w:color w:val="auto"/>
              </w:rPr>
            </w:pPr>
            <w:r>
              <w:rPr>
                <w:rFonts w:ascii="Times New Roman" w:cs="Times New Roman" w:eastAsia="Times New Roman" w:hAnsi="Times New Roman"/>
                <w:sz w:val="14"/>
                <w:szCs w:val="14"/>
                <w:color w:val="auto"/>
              </w:rPr>
              <w:t>Total securities</w:t>
            </w:r>
          </w:p>
        </w:tc>
        <w:tc>
          <w:tcPr>
            <w:tcW w:w="0" w:type="dxa"/>
            <w:vAlign w:val="bottom"/>
          </w:tcPr>
          <w:p>
            <w:pPr>
              <w:spacing w:after="0" w:line="20" w:lineRule="exact"/>
              <w:rPr>
                <w:sz w:val="1"/>
                <w:szCs w:val="1"/>
                <w:color w:val="auto"/>
              </w:rPr>
            </w:pPr>
          </w:p>
        </w:tc>
      </w:tr>
      <w:tr>
        <w:trPr>
          <w:trHeight w:val="172"/>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vMerge w:val="restart"/>
          </w:tcPr>
          <w:p>
            <w:pPr>
              <w:jc w:val="right"/>
              <w:ind w:right="729"/>
              <w:spacing w:after="0"/>
              <w:rPr>
                <w:sz w:val="20"/>
                <w:szCs w:val="20"/>
                <w:color w:val="auto"/>
              </w:rPr>
            </w:pPr>
            <w:r>
              <w:rPr>
                <w:rFonts w:ascii="Times New Roman" w:cs="Times New Roman" w:eastAsia="Times New Roman" w:hAnsi="Times New Roman"/>
                <w:sz w:val="14"/>
                <w:szCs w:val="14"/>
                <w:color w:val="auto"/>
              </w:rPr>
              <w:t>Less than 12 months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4"/>
            <w:vMerge w:val="restart"/>
          </w:tcPr>
          <w:p>
            <w:pPr>
              <w:jc w:val="right"/>
              <w:ind w:right="789"/>
              <w:spacing w:after="0"/>
              <w:rPr>
                <w:sz w:val="20"/>
                <w:szCs w:val="20"/>
                <w:color w:val="auto"/>
              </w:rPr>
            </w:pPr>
            <w:r>
              <w:rPr>
                <w:rFonts w:ascii="Times New Roman" w:cs="Times New Roman" w:eastAsia="Times New Roman" w:hAnsi="Times New Roman"/>
                <w:sz w:val="14"/>
                <w:szCs w:val="14"/>
                <w:color w:val="auto"/>
              </w:rPr>
              <w:t>12 months or more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color w:val="auto"/>
              </w:rPr>
              <w:t>in a loss position</w:t>
            </w:r>
          </w:p>
        </w:tc>
        <w:tc>
          <w:tcPr>
            <w:tcW w:w="0" w:type="dxa"/>
            <w:vAlign w:val="bottom"/>
          </w:tcPr>
          <w:p>
            <w:pPr>
              <w:spacing w:after="0"/>
              <w:rPr>
                <w:sz w:val="1"/>
                <w:szCs w:val="1"/>
                <w:color w:val="auto"/>
              </w:rPr>
            </w:pPr>
          </w:p>
        </w:tc>
      </w:tr>
      <w:tr>
        <w:trPr>
          <w:trHeight w:val="320"/>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110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Unrealized (Loss)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Fair Value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Unrealized (Loss)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Unrealized (Loss)</w:t>
            </w:r>
          </w:p>
        </w:tc>
        <w:tc>
          <w:tcPr>
            <w:tcW w:w="0" w:type="dxa"/>
            <w:vAlign w:val="bottom"/>
          </w:tcPr>
          <w:p>
            <w:pPr>
              <w:spacing w:after="0"/>
              <w:rPr>
                <w:sz w:val="1"/>
                <w:szCs w:val="1"/>
                <w:color w:val="auto"/>
              </w:rPr>
            </w:pPr>
          </w:p>
        </w:tc>
      </w:tr>
      <w:tr>
        <w:trPr>
          <w:trHeight w:val="204"/>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8"/>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w:t>
            </w:r>
          </w:p>
        </w:tc>
        <w:tc>
          <w:tcPr>
            <w:tcW w:w="0" w:type="dxa"/>
            <w:vAlign w:val="bottom"/>
          </w:tcPr>
          <w:p>
            <w:pPr>
              <w:spacing w:after="0"/>
              <w:rPr>
                <w:sz w:val="1"/>
                <w:szCs w:val="1"/>
                <w:color w:val="auto"/>
              </w:rPr>
            </w:pPr>
          </w:p>
        </w:tc>
      </w:tr>
      <w:tr>
        <w:trPr>
          <w:trHeight w:val="138"/>
        </w:trPr>
        <w:tc>
          <w:tcPr>
            <w:tcW w:w="2740" w:type="dxa"/>
            <w:vAlign w:val="bottom"/>
            <w:gridSpan w:val="2"/>
          </w:tcPr>
          <w:p>
            <w:pPr>
              <w:spacing w:after="0" w:line="139"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2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36,963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188"/>
        </w:trPr>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subdivisions</w:t>
            </w:r>
          </w:p>
        </w:tc>
        <w:tc>
          <w:tcPr>
            <w:tcW w:w="2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2"/>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88,274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(12,641)</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90,317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government agency securities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02"/>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Mortgage-backed securities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0" w:type="dxa"/>
            <w:vAlign w:val="bottom"/>
          </w:tcPr>
          <w:p>
            <w:pPr>
              <w:spacing w:after="0"/>
              <w:rPr>
                <w:sz w:val="1"/>
                <w:szCs w:val="1"/>
                <w:color w:val="auto"/>
              </w:rPr>
            </w:pPr>
          </w:p>
        </w:tc>
      </w:tr>
      <w:tr>
        <w:trPr>
          <w:trHeight w:val="139"/>
        </w:trPr>
        <w:tc>
          <w:tcPr>
            <w:tcW w:w="274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Obligations of states and political</w:t>
            </w:r>
          </w:p>
        </w:tc>
        <w:tc>
          <w:tcPr>
            <w:tcW w:w="2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(5,626)</w:t>
            </w:r>
          </w:p>
        </w:tc>
        <w:tc>
          <w:tcPr>
            <w:tcW w:w="0" w:type="dxa"/>
            <w:vAlign w:val="bottom"/>
          </w:tcPr>
          <w:p>
            <w:pPr>
              <w:spacing w:after="0"/>
              <w:rPr>
                <w:sz w:val="1"/>
                <w:szCs w:val="1"/>
                <w:color w:val="auto"/>
              </w:rPr>
            </w:pPr>
          </w:p>
        </w:tc>
      </w:tr>
      <w:tr>
        <w:trPr>
          <w:trHeight w:val="192"/>
        </w:trPr>
        <w:tc>
          <w:tcPr>
            <w:tcW w:w="2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subdivisions</w:t>
            </w:r>
          </w:p>
        </w:tc>
        <w:tc>
          <w:tcPr>
            <w:tcW w:w="22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Collateralized mortgage obligations</w:t>
            </w: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8"/>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72"/>
        </w:trPr>
        <w:tc>
          <w:tcPr>
            <w:tcW w:w="2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temporarily impaired securities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91,330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93,646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There were 147 available-for-sale securities in unrealized loss positions at December 31, 2025 and 2024. As of December 31, 2025, the investment portfolio included 142 investment securities that had been in a continuous loss position for twelve months or more and five investment securities that had been in a loss position for less than twelve months.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color w:val="auto"/>
        </w:rPr>
        <w:t>There was one held-to-maturity security in a continuous unrealized loss position at December 31, 2025 and 2024, which had been in a continuous loss position for more than twelve months.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Company’s investment in obligations of states and political subdivisions is deemed credit worthy after management’s comprehensive analysis of the issuers’ latest financial information, credit ratings by major credit agencies, and/or credit enhancements.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Non-Marketable Securities Included in Other Assets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FHLB capital stock</w:t>
      </w:r>
      <w:r>
        <w:rPr>
          <w:rFonts w:ascii="Times New Roman" w:cs="Times New Roman" w:eastAsia="Times New Roman" w:hAnsi="Times New Roman"/>
          <w:sz w:val="14"/>
          <w:szCs w:val="14"/>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$15,000,000 of FHLB stock at December 31, 2025 and 2024.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December 31, 2025 and 2024. For the years ended December 31, 2025, 2024, and 2023, cash dividends received on FHLB capital stock in the amount of $1,317,000, $1,320,000, and $970,000, respectively, were recorded as non-interest income in the consolidated statements of income.</w:t>
      </w:r>
    </w:p>
    <w:p>
      <w:pPr>
        <w:spacing w:after="0" w:line="1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Equity investments</w:t>
      </w:r>
      <w:r>
        <w:rPr>
          <w:rFonts w:ascii="Times New Roman" w:cs="Times New Roman" w:eastAsia="Times New Roman" w:hAnsi="Times New Roman"/>
          <w:sz w:val="14"/>
          <w:szCs w:val="14"/>
          <w:color w:val="auto"/>
        </w:rPr>
        <w:t>: The Company is a limited partner in certain venture-backed capital funds and accounts for these investments under the equity method of accounting, as its ownership is greater than 3% of each fund. The Company held $12,111,000 and $9,328,000 of equity investments at December 31, 2025 and 2024, respectively, included in “Interest receivable and other assets” in the consolidated balance sheets. The Company’s share of earnings from these investments was $821,000, $545,000, and $1,683,000 for the years ended December 31, 2025, 2024, and 2023, respectively, and is included in “Other non-interest income” in the consolidated statements of income. No individual investee is material to the Company’s consolidated financial statements. Based on management’s analysis of each fund’s financial condition and certain qualitative factors, management determined that the equity investments were not impaired at December 31, 2025 and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Loans and Allowance for Credit Losses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Company’s loan portfolio is its largest class of earning assets and typically provides higher yields than other types of earning assets. Associated with the higher yields is an inherent amount of credit risk which the Company attempts to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color w:val="auto"/>
        </w:rPr>
        <w:t>mitigate through strong underwriting practices. Table 4.1 presents the balance of each major product type within the Company’s portfolio as of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4.1: Loans Outstanding</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19"/>
        </w:trPr>
        <w:tc>
          <w:tcPr>
            <w:tcW w:w="1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3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2025</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177"/>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91"/>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3,305,713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2,857,173</w:t>
            </w:r>
          </w:p>
        </w:tc>
      </w:tr>
      <w:tr>
        <w:trPr>
          <w:trHeight w:val="22"/>
        </w:trPr>
        <w:tc>
          <w:tcPr>
            <w:tcW w:w="1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02"/>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3,849</w:t>
            </w:r>
          </w:p>
        </w:tc>
      </w:tr>
      <w:tr>
        <w:trPr>
          <w:trHeight w:val="197"/>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96,760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111,318</w:t>
            </w:r>
          </w:p>
        </w:tc>
      </w:tr>
      <w:tr>
        <w:trPr>
          <w:trHeight w:val="208"/>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r>
      <w:tr>
        <w:trPr>
          <w:trHeight w:val="197"/>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37,566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32,774</w:t>
            </w:r>
          </w:p>
        </w:tc>
      </w:tr>
      <w:tr>
        <w:trPr>
          <w:trHeight w:val="199"/>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47,241</w:t>
            </w:r>
          </w:p>
        </w:tc>
      </w:tr>
      <w:tr>
        <w:trPr>
          <w:trHeight w:val="197"/>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8"/>
        </w:trPr>
        <w:tc>
          <w:tcPr>
            <w:tcW w:w="7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251,736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170,548</w:t>
            </w:r>
          </w:p>
        </w:tc>
      </w:tr>
      <w:tr>
        <w:trPr>
          <w:trHeight w:val="197"/>
        </w:trPr>
        <w:tc>
          <w:tcPr>
            <w:tcW w:w="70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w:t>
            </w:r>
          </w:p>
        </w:tc>
      </w:tr>
      <w:tr>
        <w:trPr>
          <w:trHeight w:val="208"/>
        </w:trPr>
        <w:tc>
          <w:tcPr>
            <w:tcW w:w="7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275,475</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279,584</w:t>
            </w:r>
          </w:p>
        </w:tc>
      </w:tr>
      <w:tr>
        <w:trPr>
          <w:trHeight w:val="193"/>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Subtotal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3,534,606</w:t>
            </w:r>
          </w:p>
        </w:tc>
      </w:tr>
      <w:tr>
        <w:trPr>
          <w:trHeight w:val="202"/>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deferred loan fees</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r>
      <w:tr>
        <w:trPr>
          <w:trHeight w:val="193"/>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3,532,686</w:t>
            </w:r>
          </w:p>
        </w:tc>
      </w:tr>
      <w:tr>
        <w:trPr>
          <w:trHeight w:val="202"/>
        </w:trPr>
        <w:tc>
          <w:tcPr>
            <w:tcW w:w="70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r>
      <w:tr>
        <w:trPr>
          <w:trHeight w:val="182"/>
        </w:trPr>
        <w:tc>
          <w:tcPr>
            <w:tcW w:w="7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4,030,520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3,494,895</w:t>
            </w:r>
          </w:p>
        </w:tc>
      </w:tr>
      <w:tr>
        <w:trPr>
          <w:trHeight w:val="20"/>
        </w:trPr>
        <w:tc>
          <w:tcPr>
            <w:tcW w:w="16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Underwriting</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Real estate loans</w:t>
      </w:r>
      <w:r>
        <w:rPr>
          <w:rFonts w:ascii="Times New Roman" w:cs="Times New Roman" w:eastAsia="Times New Roman" w:hAnsi="Times New Roman"/>
          <w:sz w:val="14"/>
          <w:szCs w:val="14"/>
          <w:color w:val="auto"/>
        </w:rPr>
        <w:t>: Real estate loans are subject to underwriting standards and processes similar to those for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Construction loans</w:t>
      </w:r>
      <w:r>
        <w:rPr>
          <w:rFonts w:ascii="Times New Roman" w:cs="Times New Roman" w:eastAsia="Times New Roman" w:hAnsi="Times New Roman"/>
          <w:sz w:val="14"/>
          <w:szCs w:val="14"/>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 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Residential real estate loans</w:t>
      </w:r>
      <w:r>
        <w:rPr>
          <w:rFonts w:ascii="Times New Roman" w:cs="Times New Roman" w:eastAsia="Times New Roman" w:hAnsi="Times New Roman"/>
          <w:sz w:val="14"/>
          <w:szCs w:val="14"/>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2" w:name="page103"/>
    <w:bookmarkEnd w:id="102"/>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Farmland loans</w:t>
      </w:r>
      <w:r>
        <w:rPr>
          <w:rFonts w:ascii="Times New Roman" w:cs="Times New Roman" w:eastAsia="Times New Roman" w:hAnsi="Times New Roman"/>
          <w:sz w:val="14"/>
          <w:szCs w:val="14"/>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changes in business cycles, and adverse weather conditions.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u w:val="single" w:color="auto"/>
          <w:color w:val="auto"/>
        </w:rPr>
        <w:t>Commercial loans</w:t>
      </w:r>
      <w:r>
        <w:rPr>
          <w:rFonts w:ascii="Times New Roman" w:cs="Times New Roman" w:eastAsia="Times New Roman" w:hAnsi="Times New Roman"/>
          <w:sz w:val="14"/>
          <w:szCs w:val="14"/>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Consumer loans</w:t>
      </w:r>
      <w:r>
        <w:rPr>
          <w:rFonts w:ascii="Times New Roman" w:cs="Times New Roman" w:eastAsia="Times New Roman" w:hAnsi="Times New Roman"/>
          <w:sz w:val="14"/>
          <w:szCs w:val="14"/>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Concentrations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Company’s customers are primarily located in the Greater Sacramento, North Valley, and San Francisco Bay Area regions of California. As of December 31, 2025, approximately 86% of the Company’s loans were real estate related, 7% were commercial, and 7% were consumer.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Quality Indicators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Loans rated pass</w:t>
      </w:r>
      <w:r>
        <w:rPr>
          <w:rFonts w:ascii="Times New Roman" w:cs="Times New Roman" w:eastAsia="Times New Roman" w:hAnsi="Times New Roman"/>
          <w:sz w:val="14"/>
          <w:szCs w:val="14"/>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u w:val="single" w:color="auto"/>
          <w:color w:val="auto"/>
        </w:rPr>
        <w:t>Loans rated watch</w:t>
      </w:r>
      <w:r>
        <w:rPr>
          <w:rFonts w:ascii="Times New Roman" w:cs="Times New Roman" w:eastAsia="Times New Roman" w:hAnsi="Times New Roman"/>
          <w:sz w:val="14"/>
          <w:szCs w:val="14"/>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Loans rated substandard</w:t>
      </w:r>
      <w:r>
        <w:rPr>
          <w:rFonts w:ascii="Times New Roman" w:cs="Times New Roman" w:eastAsia="Times New Roman" w:hAnsi="Times New Roman"/>
          <w:sz w:val="14"/>
          <w:szCs w:val="14"/>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u w:val="single" w:color="auto"/>
          <w:color w:val="auto"/>
        </w:rPr>
        <w:t>Loans rated doubtful</w:t>
      </w:r>
      <w:r>
        <w:rPr>
          <w:rFonts w:ascii="Times New Roman" w:cs="Times New Roman" w:eastAsia="Times New Roman" w:hAnsi="Times New Roman"/>
          <w:sz w:val="14"/>
          <w:szCs w:val="14"/>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3" w:name="page104"/>
    <w:bookmarkEnd w:id="103"/>
    <w:p>
      <w:pPr>
        <w:spacing w:after="0" w:line="288" w:lineRule="auto"/>
        <w:rPr>
          <w:sz w:val="20"/>
          <w:szCs w:val="20"/>
          <w:color w:val="auto"/>
        </w:rPr>
      </w:pPr>
      <w:r>
        <w:rPr>
          <w:rFonts w:ascii="Times New Roman" w:cs="Times New Roman" w:eastAsia="Times New Roman" w:hAnsi="Times New Roman"/>
          <w:sz w:val="14"/>
          <w:szCs w:val="14"/>
          <w:color w:val="auto"/>
        </w:rPr>
        <w:t>Table 4.2 presents the amortized cost basis of the Company’s loans by origination year, where origination is defined as the later of origination or renewal date, and credit quality indicator as of the periods indicated.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4.2: Loans by Risk Category and Vintage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10"/>
          </w:tcPr>
          <w:p>
            <w:pPr>
              <w:jc w:val="right"/>
              <w:ind w:right="303"/>
              <w:spacing w:after="0"/>
              <w:rPr>
                <w:sz w:val="20"/>
                <w:szCs w:val="20"/>
                <w:color w:val="auto"/>
              </w:rPr>
            </w:pPr>
            <w:r>
              <w:rPr>
                <w:rFonts w:ascii="Times New Roman" w:cs="Times New Roman" w:eastAsia="Times New Roman" w:hAnsi="Times New Roman"/>
                <w:sz w:val="11"/>
                <w:szCs w:val="11"/>
                <w:color w:val="auto"/>
              </w:rPr>
              <w:t>Amortized Cost Basis by Origination Year as of December 31, 2025</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8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Revolving Loans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ind w:left="60"/>
              <w:spacing w:after="0" w:line="110" w:lineRule="exact"/>
              <w:rPr>
                <w:sz w:val="20"/>
                <w:szCs w:val="20"/>
                <w:color w:val="auto"/>
              </w:rPr>
            </w:pPr>
            <w:r>
              <w:rPr>
                <w:rFonts w:ascii="Times New Roman" w:cs="Times New Roman" w:eastAsia="Times New Roman" w:hAnsi="Times New Roman"/>
                <w:sz w:val="11"/>
                <w:szCs w:val="11"/>
                <w:color w:val="auto"/>
              </w:rPr>
              <w:t>Revolving</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1"/>
        </w:trPr>
        <w:tc>
          <w:tcPr>
            <w:tcW w:w="24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Real estate:</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670,067</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414,556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282,656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838,288</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579,921</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406,273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13,549</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3,205,310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31,209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76,130</w:t>
            </w:r>
          </w:p>
        </w:tc>
        <w:tc>
          <w:tcPr>
            <w:tcW w:w="0" w:type="dxa"/>
            <w:vAlign w:val="bottom"/>
          </w:tcPr>
          <w:p>
            <w:pPr>
              <w:spacing w:after="0"/>
              <w:rPr>
                <w:sz w:val="1"/>
                <w:szCs w:val="1"/>
                <w:color w:val="auto"/>
              </w:rPr>
            </w:pPr>
          </w:p>
        </w:tc>
      </w:tr>
      <w:tr>
        <w:trPr>
          <w:trHeight w:val="154"/>
        </w:trPr>
        <w:tc>
          <w:tcPr>
            <w:tcW w:w="2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1,044</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3,700</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14,040</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21,321</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671,311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414,556</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287,752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869,497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600,570</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443,720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15,355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3,302,761</w:t>
            </w:r>
          </w:p>
        </w:tc>
        <w:tc>
          <w:tcPr>
            <w:tcW w:w="0" w:type="dxa"/>
            <w:vAlign w:val="bottom"/>
          </w:tcPr>
          <w:p>
            <w:pPr>
              <w:spacing w:after="0"/>
              <w:rPr>
                <w:sz w:val="1"/>
                <w:szCs w:val="1"/>
                <w:color w:val="auto"/>
              </w:rPr>
            </w:pPr>
          </w:p>
        </w:tc>
      </w:tr>
      <w:tr>
        <w:trPr>
          <w:trHeight w:val="144"/>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496</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1,354</w:t>
            </w:r>
          </w:p>
        </w:tc>
        <w:tc>
          <w:tcPr>
            <w:tcW w:w="0" w:type="dxa"/>
            <w:vAlign w:val="bottom"/>
          </w:tcPr>
          <w:p>
            <w:pPr>
              <w:spacing w:after="0"/>
              <w:rPr>
                <w:sz w:val="1"/>
                <w:szCs w:val="1"/>
                <w:color w:val="auto"/>
              </w:rPr>
            </w:pPr>
          </w:p>
        </w:tc>
      </w:tr>
      <w:tr>
        <w:trPr>
          <w:trHeight w:val="145"/>
        </w:trPr>
        <w:tc>
          <w:tcPr>
            <w:tcW w:w="25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496</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1,354</w:t>
            </w:r>
          </w:p>
        </w:tc>
        <w:tc>
          <w:tcPr>
            <w:tcW w:w="0" w:type="dxa"/>
            <w:vAlign w:val="bottom"/>
          </w:tcPr>
          <w:p>
            <w:pPr>
              <w:spacing w:after="0"/>
              <w:rPr>
                <w:sz w:val="1"/>
                <w:szCs w:val="1"/>
                <w:color w:val="auto"/>
              </w:rPr>
            </w:pPr>
          </w:p>
        </w:tc>
      </w:tr>
      <w:tr>
        <w:trPr>
          <w:trHeight w:val="140"/>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19,160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50,158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81,532</w:t>
            </w:r>
          </w:p>
        </w:tc>
        <w:tc>
          <w:tcPr>
            <w:tcW w:w="0" w:type="dxa"/>
            <w:vAlign w:val="bottom"/>
          </w:tcPr>
          <w:p>
            <w:pPr>
              <w:spacing w:after="0"/>
              <w:rPr>
                <w:sz w:val="1"/>
                <w:szCs w:val="1"/>
                <w:color w:val="auto"/>
              </w:rPr>
            </w:pPr>
          </w:p>
        </w:tc>
      </w:tr>
      <w:tr>
        <w:trPr>
          <w:trHeight w:val="148"/>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14,891</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14,891</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19,160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26,583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50,158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96,423</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8,341</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8,341</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8,341</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8,341</w:t>
            </w:r>
          </w:p>
        </w:tc>
        <w:tc>
          <w:tcPr>
            <w:tcW w:w="0" w:type="dxa"/>
            <w:vAlign w:val="bottom"/>
          </w:tcPr>
          <w:p>
            <w:pPr>
              <w:spacing w:after="0"/>
              <w:rPr>
                <w:sz w:val="1"/>
                <w:szCs w:val="1"/>
                <w:color w:val="auto"/>
              </w:rPr>
            </w:pPr>
          </w:p>
        </w:tc>
      </w:tr>
      <w:tr>
        <w:trPr>
          <w:trHeight w:val="144"/>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8,883</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7,548</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1,459</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37,600</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5,923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2,784</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8,883</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7,548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1,459</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37,600</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58,999</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19,761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6,126</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8,215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59,584</w:t>
            </w:r>
          </w:p>
        </w:tc>
        <w:tc>
          <w:tcPr>
            <w:tcW w:w="0" w:type="dxa"/>
            <w:vAlign w:val="bottom"/>
          </w:tcPr>
          <w:p>
            <w:pPr>
              <w:spacing w:after="0"/>
              <w:rPr>
                <w:sz w:val="1"/>
                <w:szCs w:val="1"/>
                <w:color w:val="auto"/>
              </w:rPr>
            </w:pPr>
          </w:p>
        </w:tc>
      </w:tr>
      <w:tr>
        <w:trPr>
          <w:trHeight w:val="133"/>
        </w:trPr>
        <w:tc>
          <w:tcPr>
            <w:tcW w:w="2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53,290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25,960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107,900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241,571</w:t>
            </w:r>
          </w:p>
        </w:tc>
        <w:tc>
          <w:tcPr>
            <w:tcW w:w="0" w:type="dxa"/>
            <w:vAlign w:val="bottom"/>
          </w:tcPr>
          <w:p>
            <w:pPr>
              <w:spacing w:after="0"/>
              <w:rPr>
                <w:sz w:val="1"/>
                <w:szCs w:val="1"/>
                <w:color w:val="auto"/>
              </w:rPr>
            </w:pPr>
          </w:p>
        </w:tc>
      </w:tr>
      <w:tr>
        <w:trPr>
          <w:trHeight w:val="166"/>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10,277</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957</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53,457</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26,055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16,202</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23,171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8,620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16,901</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108,399</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252,805</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12,597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8,163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1,282</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1,828</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2,874</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11,195</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40,453</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12,597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8,163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2,514</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1,828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2,874</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11,195</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40,453</w:t>
            </w:r>
          </w:p>
        </w:tc>
        <w:tc>
          <w:tcPr>
            <w:tcW w:w="0" w:type="dxa"/>
            <w:vAlign w:val="bottom"/>
          </w:tcPr>
          <w:p>
            <w:pPr>
              <w:spacing w:after="0"/>
              <w:rPr>
                <w:sz w:val="1"/>
                <w:szCs w:val="1"/>
                <w:color w:val="auto"/>
              </w:rPr>
            </w:pPr>
          </w:p>
        </w:tc>
      </w:tr>
      <w:tr>
        <w:trPr>
          <w:trHeight w:val="144"/>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72,893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172,130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4,172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275,602</w:t>
            </w: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39"/>
        </w:trPr>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72,893</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172,130</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21,159</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4,982</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4,172</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152</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275,608</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862,808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640,079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378,707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870,248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609,900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454,269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134,751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3,950,762</w:t>
            </w:r>
          </w:p>
        </w:tc>
        <w:tc>
          <w:tcPr>
            <w:tcW w:w="0" w:type="dxa"/>
            <w:vAlign w:val="bottom"/>
          </w:tcPr>
          <w:p>
            <w:pPr>
              <w:spacing w:after="0"/>
              <w:rPr>
                <w:sz w:val="1"/>
                <w:szCs w:val="1"/>
                <w:color w:val="auto"/>
              </w:rPr>
            </w:pPr>
          </w:p>
        </w:tc>
      </w:tr>
      <w:tr>
        <w:trPr>
          <w:trHeight w:val="161"/>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14,986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38,076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18,614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25,114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101,883</w:t>
            </w:r>
          </w:p>
        </w:tc>
        <w:tc>
          <w:tcPr>
            <w:tcW w:w="0" w:type="dxa"/>
            <w:vAlign w:val="bottom"/>
          </w:tcPr>
          <w:p>
            <w:pPr>
              <w:spacing w:after="0"/>
              <w:rPr>
                <w:sz w:val="1"/>
                <w:szCs w:val="1"/>
                <w:color w:val="auto"/>
              </w:rPr>
            </w:pPr>
          </w:p>
        </w:tc>
      </w:tr>
      <w:tr>
        <w:trPr>
          <w:trHeight w:val="148"/>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2,288</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3,774</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14,057</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914</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22,284</w:t>
            </w:r>
          </w:p>
        </w:tc>
        <w:tc>
          <w:tcPr>
            <w:tcW w:w="0" w:type="dxa"/>
            <w:vAlign w:val="bottom"/>
          </w:tcPr>
          <w:p>
            <w:pPr>
              <w:spacing w:after="0"/>
              <w:rPr>
                <w:sz w:val="1"/>
                <w:szCs w:val="1"/>
                <w:color w:val="auto"/>
              </w:rPr>
            </w:pPr>
          </w:p>
        </w:tc>
      </w:tr>
      <w:tr>
        <w:trPr>
          <w:trHeight w:val="171"/>
        </w:trPr>
        <w:tc>
          <w:tcPr>
            <w:tcW w:w="2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864,219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655,065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384,497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908,364</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632,288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493,440</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137,056</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4,074,929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auto"/>
        </w:rPr>
        <w:t>Table 4.2: Loans by Risk Category and Vintage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10"/>
          </w:tcPr>
          <w:p>
            <w:pPr>
              <w:jc w:val="right"/>
              <w:ind w:right="303"/>
              <w:spacing w:after="0"/>
              <w:rPr>
                <w:sz w:val="20"/>
                <w:szCs w:val="20"/>
                <w:color w:val="auto"/>
              </w:rPr>
            </w:pPr>
            <w:r>
              <w:rPr>
                <w:rFonts w:ascii="Times New Roman" w:cs="Times New Roman" w:eastAsia="Times New Roman" w:hAnsi="Times New Roman"/>
                <w:sz w:val="11"/>
                <w:szCs w:val="11"/>
                <w:color w:val="auto"/>
              </w:rPr>
              <w:t>Amortized Cost Basis by Origination Year as of December 31, 2024</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Revolving Loans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ind w:left="60"/>
              <w:spacing w:after="0" w:line="107" w:lineRule="exact"/>
              <w:rPr>
                <w:sz w:val="20"/>
                <w:szCs w:val="20"/>
                <w:color w:val="auto"/>
              </w:rPr>
            </w:pPr>
            <w:r>
              <w:rPr>
                <w:rFonts w:ascii="Times New Roman" w:cs="Times New Roman" w:eastAsia="Times New Roman" w:hAnsi="Times New Roman"/>
                <w:sz w:val="11"/>
                <w:szCs w:val="11"/>
                <w:color w:val="auto"/>
              </w:rPr>
              <w:t>Revolving</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Real estate:</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427,209</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298,408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881,675</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618,052</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202,356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312,622</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3,688</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2,744,010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8,193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31,895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107,936</w:t>
            </w: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2,585</w:t>
            </w:r>
          </w:p>
        </w:tc>
        <w:tc>
          <w:tcPr>
            <w:tcW w:w="0" w:type="dxa"/>
            <w:vAlign w:val="bottom"/>
          </w:tcPr>
          <w:p>
            <w:pPr>
              <w:spacing w:after="0"/>
              <w:rPr>
                <w:sz w:val="1"/>
                <w:szCs w:val="1"/>
                <w:color w:val="auto"/>
              </w:rPr>
            </w:pPr>
          </w:p>
        </w:tc>
      </w:tr>
      <w:tr>
        <w:trPr>
          <w:trHeight w:val="139"/>
        </w:trPr>
        <w:tc>
          <w:tcPr>
            <w:tcW w:w="25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427,850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306,601</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924,206</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649,947</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219,325</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321,523</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5,079</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2,854,531</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Commercial land and development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1,237</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1,237</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3,854</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 construction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72,933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13,112</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11,231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111,033</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13,757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72,933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13,112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11,231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111,033</w:t>
            </w:r>
          </w:p>
        </w:tc>
        <w:tc>
          <w:tcPr>
            <w:tcW w:w="0" w:type="dxa"/>
            <w:vAlign w:val="bottom"/>
          </w:tcPr>
          <w:p>
            <w:pPr>
              <w:spacing w:after="0"/>
              <w:rPr>
                <w:sz w:val="1"/>
                <w:szCs w:val="1"/>
                <w:color w:val="auto"/>
              </w:rPr>
            </w:pPr>
          </w:p>
        </w:tc>
      </w:tr>
      <w:tr>
        <w:trPr>
          <w:trHeight w:val="144"/>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Residential construction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c>
          <w:tcPr>
            <w:tcW w:w="0" w:type="dxa"/>
            <w:vAlign w:val="bottom"/>
          </w:tcPr>
          <w:p>
            <w:pPr>
              <w:spacing w:after="0"/>
              <w:rPr>
                <w:sz w:val="1"/>
                <w:szCs w:val="1"/>
                <w:color w:val="auto"/>
              </w:rPr>
            </w:pPr>
          </w:p>
        </w:tc>
      </w:tr>
      <w:tr>
        <w:trPr>
          <w:trHeight w:val="13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Residential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4,783</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6,246</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1,134</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32,796</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6,080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4,783</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9,483</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2,201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6,246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1,134</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32,796</w:t>
            </w:r>
          </w:p>
        </w:tc>
        <w:tc>
          <w:tcPr>
            <w:tcW w:w="0" w:type="dxa"/>
            <w:vAlign w:val="bottom"/>
          </w:tcPr>
          <w:p>
            <w:pPr>
              <w:spacing w:after="0"/>
              <w:rPr>
                <w:sz w:val="1"/>
                <w:szCs w:val="1"/>
                <w:color w:val="auto"/>
              </w:rPr>
            </w:pPr>
          </w:p>
        </w:tc>
      </w:tr>
      <w:tr>
        <w:trPr>
          <w:trHeight w:val="144"/>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Farmland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11,467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45,928</w:t>
            </w: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1,292</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1,555</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2,042</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7,823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11,467</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6,960</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17,373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47,220</w:t>
            </w:r>
          </w:p>
        </w:tc>
        <w:tc>
          <w:tcPr>
            <w:tcW w:w="0" w:type="dxa"/>
            <w:vAlign w:val="bottom"/>
          </w:tcPr>
          <w:p>
            <w:pPr>
              <w:spacing w:after="0"/>
              <w:rPr>
                <w:sz w:val="1"/>
                <w:szCs w:val="1"/>
                <w:color w:val="auto"/>
              </w:rPr>
            </w:pPr>
          </w:p>
        </w:tc>
      </w:tr>
      <w:tr>
        <w:trPr>
          <w:trHeight w:val="146"/>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26,536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20,427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9,144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55,914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157,170</w:t>
            </w:r>
          </w:p>
        </w:tc>
        <w:tc>
          <w:tcPr>
            <w:tcW w:w="0" w:type="dxa"/>
            <w:vAlign w:val="bottom"/>
          </w:tcPr>
          <w:p>
            <w:pPr>
              <w:spacing w:after="0"/>
              <w:rPr>
                <w:sz w:val="1"/>
                <w:szCs w:val="1"/>
                <w:color w:val="auto"/>
              </w:rPr>
            </w:pPr>
          </w:p>
        </w:tc>
      </w:tr>
      <w:tr>
        <w:trPr>
          <w:trHeight w:val="153"/>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14,118</w:t>
            </w: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144"/>
        </w:trPr>
        <w:tc>
          <w:tcPr>
            <w:tcW w:w="252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26,536</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20,728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30,982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12,188</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9,251</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15,737</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55,914</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171,336</w:t>
            </w:r>
          </w:p>
        </w:tc>
        <w:tc>
          <w:tcPr>
            <w:tcW w:w="0" w:type="dxa"/>
            <w:vAlign w:val="bottom"/>
          </w:tcPr>
          <w:p>
            <w:pPr>
              <w:spacing w:after="0"/>
              <w:rPr>
                <w:sz w:val="1"/>
                <w:szCs w:val="1"/>
                <w:color w:val="auto"/>
              </w:rPr>
            </w:pPr>
          </w:p>
        </w:tc>
      </w:tr>
      <w:tr>
        <w:trPr>
          <w:trHeight w:val="146"/>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4,499</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3,494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4,817</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2,515</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27,575</w:t>
            </w:r>
          </w:p>
        </w:tc>
        <w:tc>
          <w:tcPr>
            <w:tcW w:w="0" w:type="dxa"/>
            <w:vAlign w:val="bottom"/>
          </w:tcPr>
          <w:p>
            <w:pPr>
              <w:spacing w:after="0"/>
              <w:rPr>
                <w:sz w:val="1"/>
                <w:szCs w:val="1"/>
                <w:color w:val="auto"/>
              </w:rPr>
            </w:pPr>
          </w:p>
        </w:tc>
      </w:tr>
      <w:tr>
        <w:trPr>
          <w:trHeight w:val="151"/>
        </w:trPr>
        <w:tc>
          <w:tcPr>
            <w:tcW w:w="2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8,071</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4,499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3,494</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2,515</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27,575</w:t>
            </w:r>
          </w:p>
        </w:tc>
        <w:tc>
          <w:tcPr>
            <w:tcW w:w="0" w:type="dxa"/>
            <w:vAlign w:val="bottom"/>
          </w:tcPr>
          <w:p>
            <w:pPr>
              <w:spacing w:after="0"/>
              <w:rPr>
                <w:sz w:val="1"/>
                <w:szCs w:val="1"/>
                <w:color w:val="auto"/>
              </w:rPr>
            </w:pPr>
          </w:p>
        </w:tc>
      </w:tr>
      <w:tr>
        <w:trPr>
          <w:trHeight w:val="133"/>
        </w:trPr>
        <w:tc>
          <w:tcPr>
            <w:tcW w:w="2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33,453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279,772</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40"/>
        </w:trPr>
        <w:tc>
          <w:tcPr>
            <w:tcW w:w="2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232,420</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33,453</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7,883</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5,812</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279,781</w:t>
            </w:r>
          </w:p>
        </w:tc>
        <w:tc>
          <w:tcPr>
            <w:tcW w:w="0" w:type="dxa"/>
            <w:vAlign w:val="bottom"/>
          </w:tcPr>
          <w:p>
            <w:pPr>
              <w:spacing w:after="0"/>
              <w:rPr>
                <w:sz w:val="1"/>
                <w:szCs w:val="1"/>
                <w:color w:val="auto"/>
              </w:rPr>
            </w:pPr>
          </w:p>
        </w:tc>
      </w:tr>
      <w:tr>
        <w:trPr>
          <w:trHeight w:val="145"/>
        </w:trPr>
        <w:tc>
          <w:tcPr>
            <w:tcW w:w="2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Pass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721,468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436,545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937,756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657,915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236,895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352,868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63,251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3,406,698</w:t>
            </w:r>
          </w:p>
        </w:tc>
        <w:tc>
          <w:tcPr>
            <w:tcW w:w="0" w:type="dxa"/>
            <w:vAlign w:val="bottom"/>
          </w:tcPr>
          <w:p>
            <w:pPr>
              <w:spacing w:after="0"/>
              <w:rPr>
                <w:sz w:val="1"/>
                <w:szCs w:val="1"/>
                <w:color w:val="auto"/>
              </w:rPr>
            </w:pPr>
          </w:p>
        </w:tc>
      </w:tr>
      <w:tr>
        <w:trPr>
          <w:trHeight w:val="15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Watch</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8,494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53,162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17,076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7,605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123,346</w:t>
            </w:r>
          </w:p>
        </w:tc>
        <w:tc>
          <w:tcPr>
            <w:tcW w:w="0" w:type="dxa"/>
            <w:vAlign w:val="bottom"/>
          </w:tcPr>
          <w:p>
            <w:pPr>
              <w:spacing w:after="0"/>
              <w:rPr>
                <w:sz w:val="1"/>
                <w:szCs w:val="1"/>
                <w:color w:val="auto"/>
              </w:rPr>
            </w:pPr>
          </w:p>
        </w:tc>
      </w:tr>
      <w:tr>
        <w:trPr>
          <w:trHeight w:val="154"/>
        </w:trPr>
        <w:tc>
          <w:tcPr>
            <w:tcW w:w="2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Substandard</w:t>
            </w: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2,633</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2,642</w:t>
            </w:r>
          </w:p>
        </w:tc>
        <w:tc>
          <w:tcPr>
            <w:tcW w:w="0" w:type="dxa"/>
            <w:vAlign w:val="bottom"/>
          </w:tcPr>
          <w:p>
            <w:pPr>
              <w:spacing w:after="0"/>
              <w:rPr>
                <w:sz w:val="1"/>
                <w:szCs w:val="1"/>
                <w:color w:val="auto"/>
              </w:rPr>
            </w:pPr>
          </w:p>
        </w:tc>
      </w:tr>
      <w:tr>
        <w:trPr>
          <w:trHeight w:val="151"/>
        </w:trPr>
        <w:tc>
          <w:tcPr>
            <w:tcW w:w="25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722,610</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445,039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990,927</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692,391</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253,971</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363,106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64,642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3,532,686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All commercial borrowers with loans exceeding a certain dollar threshold are usually required to submit financials annually for review; this includes business financial statements, rent rolls, property income statements, and tax returns.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61" w:right="298"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color w:val="auto"/>
        </w:rPr>
        <w:t>Table 4.3 presents the Company’s gross charge-offs by origination year and class, where origination is defined as the later of origination or renewal date, as of the periods indicated.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4.3: Gross Charge-Offs by Vintage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11"/>
          </w:tcPr>
          <w:p>
            <w:pPr>
              <w:jc w:val="right"/>
              <w:ind w:right="283"/>
              <w:spacing w:after="0"/>
              <w:rPr>
                <w:sz w:val="20"/>
                <w:szCs w:val="20"/>
                <w:color w:val="auto"/>
              </w:rPr>
            </w:pPr>
            <w:r>
              <w:rPr>
                <w:rFonts w:ascii="Times New Roman" w:cs="Times New Roman" w:eastAsia="Times New Roman" w:hAnsi="Times New Roman"/>
                <w:sz w:val="11"/>
                <w:szCs w:val="11"/>
                <w:color w:val="auto"/>
              </w:rPr>
              <w:t>Amortized Cost Basis by Origination Year as of December 31, 2025</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40" w:type="dxa"/>
            <w:vAlign w:val="bottom"/>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10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ind w:left="80"/>
              <w:spacing w:after="0" w:line="110" w:lineRule="exact"/>
              <w:rPr>
                <w:sz w:val="20"/>
                <w:szCs w:val="20"/>
                <w:color w:val="auto"/>
              </w:rPr>
            </w:pPr>
            <w:r>
              <w:rPr>
                <w:rFonts w:ascii="Times New Roman" w:cs="Times New Roman" w:eastAsia="Times New Roman" w:hAnsi="Times New Roman"/>
                <w:sz w:val="11"/>
                <w:szCs w:val="11"/>
                <w:color w:val="auto"/>
              </w:rPr>
              <w:t>Revolving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1"/>
        </w:trPr>
        <w:tc>
          <w:tcPr>
            <w:tcW w:w="2440" w:type="dxa"/>
            <w:vAlign w:val="bottom"/>
            <w:tcBorders>
              <w:bottom w:val="single" w:sz="8" w:color="auto"/>
            </w:tcBorders>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Real estate:</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3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168</w:t>
            </w:r>
          </w:p>
        </w:tc>
        <w:tc>
          <w:tcPr>
            <w:tcW w:w="28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0" w:type="dxa"/>
            <w:vAlign w:val="bottom"/>
          </w:tcPr>
          <w:p>
            <w:pPr>
              <w:spacing w:after="0"/>
              <w:rPr>
                <w:sz w:val="1"/>
                <w:szCs w:val="1"/>
                <w:color w:val="auto"/>
              </w:rPr>
            </w:pPr>
          </w:p>
        </w:tc>
      </w:tr>
      <w:tr>
        <w:trPr>
          <w:trHeight w:val="15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3,213</w:t>
            </w:r>
          </w:p>
        </w:tc>
        <w:tc>
          <w:tcPr>
            <w:tcW w:w="0" w:type="dxa"/>
            <w:vAlign w:val="bottom"/>
          </w:tcPr>
          <w:p>
            <w:pPr>
              <w:spacing w:after="0"/>
              <w:rPr>
                <w:sz w:val="1"/>
                <w:szCs w:val="1"/>
                <w:color w:val="auto"/>
              </w:rPr>
            </w:pPr>
          </w:p>
        </w:tc>
      </w:tr>
      <w:tr>
        <w:trPr>
          <w:trHeight w:val="166"/>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744</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648</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1,502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3,844</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303"/>
              <w:spacing w:after="0"/>
              <w:rPr>
                <w:sz w:val="20"/>
                <w:szCs w:val="20"/>
                <w:color w:val="auto"/>
              </w:rPr>
            </w:pPr>
            <w:r>
              <w:rPr>
                <w:rFonts w:ascii="Times New Roman" w:cs="Times New Roman" w:eastAsia="Times New Roman" w:hAnsi="Times New Roman"/>
                <w:sz w:val="11"/>
                <w:szCs w:val="11"/>
                <w:color w:val="auto"/>
              </w:rPr>
              <w:t>Amortized Cost Basis by Origination Year as of December 31, 2024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200" w:type="dxa"/>
            <w:vAlign w:val="bottom"/>
          </w:tcPr>
          <w:p>
            <w:pPr>
              <w:spacing w:after="0"/>
              <w:rPr>
                <w:sz w:val="9"/>
                <w:szCs w:val="9"/>
                <w:color w:val="auto"/>
              </w:rPr>
            </w:pPr>
          </w:p>
        </w:tc>
        <w:tc>
          <w:tcPr>
            <w:tcW w:w="66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2021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2020</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auto"/>
              </w:rPr>
              <w:t>Prior</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Revolving Loans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ind w:left="80"/>
              <w:spacing w:after="0" w:line="106" w:lineRule="exact"/>
              <w:rPr>
                <w:sz w:val="20"/>
                <w:szCs w:val="20"/>
                <w:color w:val="auto"/>
              </w:rPr>
            </w:pPr>
            <w:r>
              <w:rPr>
                <w:rFonts w:ascii="Times New Roman" w:cs="Times New Roman" w:eastAsia="Times New Roman" w:hAnsi="Times New Roman"/>
                <w:sz w:val="11"/>
                <w:szCs w:val="11"/>
                <w:color w:val="auto"/>
              </w:rPr>
              <w:t>Revolving</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color w:val="auto"/>
              </w:rPr>
              <w:t>Total</w:t>
            </w:r>
          </w:p>
        </w:tc>
        <w:tc>
          <w:tcPr>
            <w:tcW w:w="0" w:type="dxa"/>
            <w:vAlign w:val="bottom"/>
          </w:tcPr>
          <w:p>
            <w:pPr>
              <w:spacing w:after="0"/>
              <w:rPr>
                <w:sz w:val="1"/>
                <w:szCs w:val="1"/>
                <w:color w:val="auto"/>
              </w:rPr>
            </w:pPr>
          </w:p>
        </w:tc>
      </w:tr>
      <w:tr>
        <w:trPr>
          <w:trHeight w:val="153"/>
        </w:trPr>
        <w:tc>
          <w:tcPr>
            <w:tcW w:w="2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Converted to Term</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Secured</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4,737</w:t>
            </w:r>
          </w:p>
        </w:tc>
        <w:tc>
          <w:tcPr>
            <w:tcW w:w="0" w:type="dxa"/>
            <w:vAlign w:val="bottom"/>
          </w:tcPr>
          <w:p>
            <w:pPr>
              <w:spacing w:after="0"/>
              <w:rPr>
                <w:sz w:val="1"/>
                <w:szCs w:val="1"/>
                <w:color w:val="auto"/>
              </w:rPr>
            </w:pPr>
          </w:p>
        </w:tc>
      </w:tr>
      <w:tr>
        <w:trPr>
          <w:trHeight w:val="166"/>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Unsecured</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Consumer and other</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w:t>
            </w:r>
          </w:p>
        </w:tc>
        <w:tc>
          <w:tcPr>
            <w:tcW w:w="0" w:type="dxa"/>
            <w:vAlign w:val="bottom"/>
          </w:tcPr>
          <w:p>
            <w:pPr>
              <w:spacing w:after="0"/>
              <w:rPr>
                <w:sz w:val="1"/>
                <w:szCs w:val="1"/>
                <w:color w:val="auto"/>
              </w:rPr>
            </w:pPr>
          </w:p>
        </w:tc>
      </w:tr>
      <w:tr>
        <w:trPr>
          <w:trHeight w:val="171"/>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1,515</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1,429</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3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712</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5,151</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280"/>
          </w:cols>
          <w:pgMar w:left="320" w:top="897" w:right="318"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color w:val="auto"/>
        </w:rPr>
        <w:t>Table 4.4 presents the age analysis of the Company’s past due loans by class as of the periods indicated.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4.4: Age Analysis of Past Due Loans by Class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Past Due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Greater Than 90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Total Loans</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30-59 Days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60-89 Days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Days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Total Past Due</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Current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Receivable</w:t>
            </w:r>
          </w:p>
        </w:tc>
        <w:tc>
          <w:tcPr>
            <w:tcW w:w="0" w:type="dxa"/>
            <w:vAlign w:val="bottom"/>
          </w:tcPr>
          <w:p>
            <w:pPr>
              <w:spacing w:after="0"/>
              <w:rPr>
                <w:sz w:val="1"/>
                <w:szCs w:val="1"/>
                <w:color w:val="auto"/>
              </w:rPr>
            </w:pPr>
          </w:p>
        </w:tc>
      </w:tr>
      <w:tr>
        <w:trPr>
          <w:trHeight w:val="322"/>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2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3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3,301,902</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3,302,761</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96,423</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8,341</w:t>
            </w:r>
          </w:p>
        </w:tc>
        <w:tc>
          <w:tcPr>
            <w:tcW w:w="0" w:type="dxa"/>
            <w:vAlign w:val="bottom"/>
          </w:tcPr>
          <w:p>
            <w:pPr>
              <w:spacing w:after="0"/>
              <w:rPr>
                <w:sz w:val="1"/>
                <w:szCs w:val="1"/>
                <w:color w:val="auto"/>
              </w:rPr>
            </w:pPr>
          </w:p>
        </w:tc>
      </w:tr>
      <w:tr>
        <w:trPr>
          <w:trHeight w:val="199"/>
        </w:trPr>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37,600</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59,584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59,584</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252,805</w:t>
            </w:r>
          </w:p>
        </w:tc>
        <w:tc>
          <w:tcPr>
            <w:tcW w:w="0" w:type="dxa"/>
            <w:vAlign w:val="bottom"/>
          </w:tcPr>
          <w:p>
            <w:pPr>
              <w:spacing w:after="0"/>
              <w:rPr>
                <w:sz w:val="1"/>
                <w:szCs w:val="1"/>
                <w:color w:val="auto"/>
              </w:rPr>
            </w:pPr>
          </w:p>
        </w:tc>
      </w:tr>
      <w:tr>
        <w:trPr>
          <w:trHeight w:val="199"/>
        </w:trPr>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40,453</w:t>
            </w:r>
          </w:p>
        </w:tc>
        <w:tc>
          <w:tcPr>
            <w:tcW w:w="0" w:type="dxa"/>
            <w:vAlign w:val="bottom"/>
          </w:tcPr>
          <w:p>
            <w:pPr>
              <w:spacing w:after="0"/>
              <w:rPr>
                <w:sz w:val="1"/>
                <w:szCs w:val="1"/>
                <w:color w:val="auto"/>
              </w:rPr>
            </w:pPr>
          </w:p>
        </w:tc>
      </w:tr>
      <w:tr>
        <w:trPr>
          <w:trHeight w:val="197"/>
        </w:trPr>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275,562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275,608</w:t>
            </w:r>
          </w:p>
        </w:tc>
        <w:tc>
          <w:tcPr>
            <w:tcW w:w="0" w:type="dxa"/>
            <w:vAlign w:val="bottom"/>
          </w:tcPr>
          <w:p>
            <w:pPr>
              <w:spacing w:after="0"/>
              <w:rPr>
                <w:sz w:val="1"/>
                <w:szCs w:val="1"/>
                <w:color w:val="auto"/>
              </w:rPr>
            </w:pPr>
          </w:p>
        </w:tc>
      </w:tr>
      <w:tr>
        <w:trPr>
          <w:trHeight w:val="202"/>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4,073,142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4,074,929</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2,854,531</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111,033</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w:t>
            </w:r>
          </w:p>
        </w:tc>
        <w:tc>
          <w:tcPr>
            <w:tcW w:w="0" w:type="dxa"/>
            <w:vAlign w:val="bottom"/>
          </w:tcPr>
          <w:p>
            <w:pPr>
              <w:spacing w:after="0"/>
              <w:rPr>
                <w:sz w:val="1"/>
                <w:szCs w:val="1"/>
                <w:color w:val="auto"/>
              </w:rPr>
            </w:pPr>
          </w:p>
        </w:tc>
      </w:tr>
      <w:tr>
        <w:trPr>
          <w:trHeight w:val="199"/>
        </w:trPr>
        <w:tc>
          <w:tcPr>
            <w:tcW w:w="3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32,796</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47,220</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171,336</w:t>
            </w:r>
          </w:p>
        </w:tc>
        <w:tc>
          <w:tcPr>
            <w:tcW w:w="0" w:type="dxa"/>
            <w:vAlign w:val="bottom"/>
          </w:tcPr>
          <w:p>
            <w:pPr>
              <w:spacing w:after="0"/>
              <w:rPr>
                <w:sz w:val="1"/>
                <w:szCs w:val="1"/>
                <w:color w:val="auto"/>
              </w:rPr>
            </w:pPr>
          </w:p>
        </w:tc>
      </w:tr>
      <w:tr>
        <w:trPr>
          <w:trHeight w:val="208"/>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27,575</w:t>
            </w:r>
          </w:p>
        </w:tc>
        <w:tc>
          <w:tcPr>
            <w:tcW w:w="0" w:type="dxa"/>
            <w:vAlign w:val="bottom"/>
          </w:tcPr>
          <w:p>
            <w:pPr>
              <w:spacing w:after="0"/>
              <w:rPr>
                <w:sz w:val="1"/>
                <w:szCs w:val="1"/>
                <w:color w:val="auto"/>
              </w:rPr>
            </w:pPr>
          </w:p>
        </w:tc>
      </w:tr>
      <w:tr>
        <w:trPr>
          <w:trHeight w:val="207"/>
        </w:trPr>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279,714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279,781</w:t>
            </w:r>
          </w:p>
        </w:tc>
        <w:tc>
          <w:tcPr>
            <w:tcW w:w="0" w:type="dxa"/>
            <w:vAlign w:val="bottom"/>
          </w:tcPr>
          <w:p>
            <w:pPr>
              <w:spacing w:after="0"/>
              <w:rPr>
                <w:sz w:val="1"/>
                <w:szCs w:val="1"/>
                <w:color w:val="auto"/>
              </w:rPr>
            </w:pPr>
          </w:p>
        </w:tc>
      </w:tr>
      <w:tr>
        <w:trPr>
          <w:trHeight w:val="202"/>
        </w:trPr>
        <w:tc>
          <w:tcPr>
            <w:tcW w:w="3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3,531,512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3,532,686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loans greater than 90 days past due and still accruing interest income as of December 31, 2025 or 2024.</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Table 4.5 presents the amortized cost basis of the Company’s collateral dependent loans by class as of the periods indicated. These loans were individually evaluated for credit loss in accordance with the Company’s allowance for credit losses methodology.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4.5: Collateral Dependent Loans by Class</w:t>
            </w:r>
          </w:p>
        </w:tc>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9"/>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5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5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2,667</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93"/>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5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5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bottom w:val="single" w:sz="8" w:color="CCEEFF"/>
            </w:tcBorders>
            <w:vMerge w:val="restart"/>
          </w:tcPr>
          <w:p>
            <w:pPr>
              <w:jc w:val="right"/>
              <w:ind w:right="2309"/>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7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720" w:type="dxa"/>
            <w:vAlign w:val="bottom"/>
            <w:tcBorders>
              <w:bottom w:val="single" w:sz="8" w:color="9A9A9A"/>
            </w:tcBorders>
          </w:tcPr>
          <w:p>
            <w:pPr>
              <w:spacing w:after="0"/>
              <w:rPr>
                <w:sz w:val="6"/>
                <w:szCs w:val="6"/>
                <w:color w:val="auto"/>
              </w:rPr>
            </w:pPr>
          </w:p>
        </w:tc>
        <w:tc>
          <w:tcPr>
            <w:tcW w:w="54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There were no residential real estate loans in the process of foreclosure as of December 31, 2025 and 2024.</w:t>
      </w:r>
    </w:p>
    <w:p>
      <w:pPr>
        <w:spacing w:after="0" w:line="15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Modifications to loans for borrowers experiencing financial difficulty may include interest rate reductions, principal or interest forgiveness, forbearances, term extensions, and other actions intended to minimize economic loss and to avoid foreclosure or repossession of collateral.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4.6 presents the amortized cost basis of loans by class that were modified due to financial distress during the periods indicated.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4.6: Amortized Cost Basis of Loans Modified due to Financial Distress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tcPr>
          <w:p>
            <w:pPr>
              <w:jc w:val="right"/>
              <w:ind w:right="589"/>
              <w:spacing w:after="0"/>
              <w:rPr>
                <w:sz w:val="20"/>
                <w:szCs w:val="20"/>
                <w:color w:val="auto"/>
              </w:rPr>
            </w:pPr>
            <w:r>
              <w:rPr>
                <w:rFonts w:ascii="Times New Roman" w:cs="Times New Roman" w:eastAsia="Times New Roman" w:hAnsi="Times New Roman"/>
                <w:sz w:val="14"/>
                <w:szCs w:val="14"/>
                <w:color w:val="auto"/>
              </w:rPr>
              <w:t>For the twelve months ended December 31, 2025</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jc w:val="right"/>
              <w:ind w:right="589"/>
              <w:spacing w:after="0"/>
              <w:rPr>
                <w:sz w:val="20"/>
                <w:szCs w:val="20"/>
                <w:color w:val="auto"/>
              </w:rPr>
            </w:pPr>
            <w:r>
              <w:rPr>
                <w:rFonts w:ascii="Times New Roman" w:cs="Times New Roman" w:eastAsia="Times New Roman" w:hAnsi="Times New Roman"/>
                <w:sz w:val="14"/>
                <w:szCs w:val="14"/>
                <w:color w:val="auto"/>
              </w:rPr>
              <w:t>For the twelve months ended December 31, 2024</w:t>
            </w:r>
          </w:p>
        </w:tc>
      </w:tr>
      <w:tr>
        <w:trPr>
          <w:trHeight w:val="353"/>
        </w:trPr>
        <w:tc>
          <w:tcPr>
            <w:tcW w:w="2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Payment Change/Deferment</w:t>
            </w:r>
          </w:p>
        </w:tc>
        <w:tc>
          <w:tcPr>
            <w:tcW w:w="8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Total % of Loans Outstanding</w:t>
            </w: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Payment Change</w:t>
            </w:r>
          </w:p>
        </w:tc>
        <w:tc>
          <w:tcPr>
            <w:tcW w:w="10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Total % of Loans Outstanding</w:t>
            </w:r>
          </w:p>
        </w:tc>
      </w:tr>
      <w:tr>
        <w:trPr>
          <w:trHeight w:val="173"/>
        </w:trPr>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r>
      <w:tr>
        <w:trPr>
          <w:trHeight w:val="191"/>
        </w:trPr>
        <w:tc>
          <w:tcPr>
            <w:tcW w:w="2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203"/>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1,583</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0.05 %</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4.7 presents the financial effect of loans by class that were modified due to financial distress during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Table 4.7: Financial Effect of Loans Modified due to Financial Distress</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8"/>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For the twelve months ended</w:t>
            </w:r>
          </w:p>
        </w:tc>
        <w:tc>
          <w:tcPr>
            <w:tcW w:w="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80" w:type="dxa"/>
            <w:vAlign w:val="bottom"/>
          </w:tcPr>
          <w:p>
            <w:pPr>
              <w:spacing w:after="0"/>
              <w:rPr>
                <w:sz w:val="16"/>
                <w:szCs w:val="16"/>
                <w:color w:val="auto"/>
              </w:rPr>
            </w:pPr>
          </w:p>
        </w:tc>
        <w:tc>
          <w:tcPr>
            <w:tcW w:w="21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Modification Type</w:t>
            </w:r>
          </w:p>
        </w:tc>
        <w:tc>
          <w:tcPr>
            <w:tcW w:w="14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Loan Type</w:t>
            </w:r>
          </w:p>
        </w:tc>
        <w:tc>
          <w:tcPr>
            <w:tcW w:w="80" w:type="dxa"/>
            <w:vAlign w:val="bottom"/>
          </w:tcPr>
          <w:p>
            <w:pPr>
              <w:spacing w:after="0"/>
              <w:rPr>
                <w:sz w:val="16"/>
                <w:szCs w:val="16"/>
                <w:color w:val="auto"/>
              </w:rPr>
            </w:pPr>
          </w:p>
        </w:tc>
        <w:tc>
          <w:tcPr>
            <w:tcW w:w="3700" w:type="dxa"/>
            <w:vAlign w:val="bottom"/>
            <w:gridSpan w:val="2"/>
          </w:tcPr>
          <w:p>
            <w:pPr>
              <w:ind w:left="2420"/>
              <w:spacing w:after="0"/>
              <w:rPr>
                <w:sz w:val="20"/>
                <w:szCs w:val="20"/>
                <w:color w:val="auto"/>
              </w:rPr>
            </w:pPr>
            <w:r>
              <w:rPr>
                <w:rFonts w:ascii="Times New Roman" w:cs="Times New Roman" w:eastAsia="Times New Roman" w:hAnsi="Times New Roman"/>
                <w:sz w:val="14"/>
                <w:szCs w:val="14"/>
                <w:color w:val="auto"/>
              </w:rPr>
              <w:t>Financial Effect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
        </w:trPr>
        <w:tc>
          <w:tcPr>
            <w:tcW w:w="1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7"/>
        </w:trPr>
        <w:tc>
          <w:tcPr>
            <w:tcW w:w="1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shd w:val="clear" w:color="auto" w:fill="CCEEFF"/>
          </w:tcPr>
          <w:p>
            <w:pPr>
              <w:spacing w:after="0"/>
              <w:rPr>
                <w:sz w:val="13"/>
                <w:szCs w:val="13"/>
                <w:color w:val="auto"/>
              </w:rPr>
            </w:pPr>
          </w:p>
        </w:tc>
        <w:tc>
          <w:tcPr>
            <w:tcW w:w="5740" w:type="dxa"/>
            <w:vAlign w:val="bottom"/>
            <w:gridSpan w:val="6"/>
            <w:shd w:val="clear" w:color="auto" w:fill="CCEEFF"/>
          </w:tcPr>
          <w:p>
            <w:pPr>
              <w:ind w:left="20"/>
              <w:spacing w:after="0" w:line="157" w:lineRule="exact"/>
              <w:rPr>
                <w:sz w:val="20"/>
                <w:szCs w:val="20"/>
                <w:color w:val="auto"/>
              </w:rPr>
            </w:pPr>
            <w:r>
              <w:rPr>
                <w:rFonts w:ascii="Times New Roman" w:cs="Times New Roman" w:eastAsia="Times New Roman" w:hAnsi="Times New Roman"/>
                <w:sz w:val="14"/>
                <w:szCs w:val="14"/>
                <w:color w:val="auto"/>
              </w:rPr>
              <w:t>Reduced the loan payment owed by the borrower for five months and deferred the full loan payment</w:t>
            </w:r>
          </w:p>
        </w:tc>
        <w:tc>
          <w:tcPr>
            <w:tcW w:w="20" w:type="dxa"/>
            <w:vAlign w:val="bottom"/>
          </w:tcPr>
          <w:p>
            <w:pPr>
              <w:spacing w:after="0"/>
              <w:rPr>
                <w:sz w:val="13"/>
                <w:szCs w:val="13"/>
                <w:color w:val="auto"/>
              </w:rPr>
            </w:pPr>
          </w:p>
        </w:tc>
      </w:tr>
      <w:tr>
        <w:trPr>
          <w:trHeight w:val="196"/>
        </w:trPr>
        <w:tc>
          <w:tcPr>
            <w:tcW w:w="1680" w:type="dxa"/>
            <w:vAlign w:val="bottom"/>
            <w:shd w:val="clear" w:color="auto" w:fill="CCEEFF"/>
          </w:tcPr>
          <w:p>
            <w:pPr>
              <w:jc w:val="center"/>
              <w:ind w:left="89"/>
              <w:spacing w:after="0"/>
              <w:rPr>
                <w:sz w:val="20"/>
                <w:szCs w:val="20"/>
                <w:color w:val="auto"/>
              </w:rPr>
            </w:pPr>
            <w:r>
              <w:rPr>
                <w:rFonts w:ascii="Times New Roman" w:cs="Times New Roman" w:eastAsia="Times New Roman" w:hAnsi="Times New Roman"/>
                <w:sz w:val="14"/>
                <w:szCs w:val="14"/>
                <w:color w:val="auto"/>
                <w:w w:val="99"/>
              </w:rPr>
              <w:t>2025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Change/Deferment</w:t>
            </w:r>
          </w:p>
        </w:tc>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shd w:val="clear" w:color="auto" w:fill="CCEEFF"/>
          </w:tcPr>
          <w:p>
            <w:pPr>
              <w:spacing w:after="0"/>
              <w:rPr>
                <w:sz w:val="17"/>
                <w:szCs w:val="17"/>
                <w:color w:val="auto"/>
              </w:rPr>
            </w:pPr>
          </w:p>
        </w:tc>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 one month</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66"/>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1680" w:type="dxa"/>
            <w:vAlign w:val="bottom"/>
          </w:tcPr>
          <w:p>
            <w:pPr>
              <w:jc w:val="center"/>
              <w:ind w:left="89"/>
              <w:spacing w:after="0"/>
              <w:rPr>
                <w:sz w:val="20"/>
                <w:szCs w:val="20"/>
                <w:color w:val="auto"/>
              </w:rPr>
            </w:pPr>
            <w:r>
              <w:rPr>
                <w:rFonts w:ascii="Times New Roman" w:cs="Times New Roman" w:eastAsia="Times New Roman" w:hAnsi="Times New Roman"/>
                <w:sz w:val="14"/>
                <w:szCs w:val="14"/>
                <w:color w:val="auto"/>
                <w:w w:val="99"/>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Payment Change</w:t>
            </w:r>
          </w:p>
        </w:tc>
        <w:tc>
          <w:tcPr>
            <w:tcW w:w="1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spacing w:after="0"/>
              <w:rPr>
                <w:sz w:val="16"/>
                <w:szCs w:val="16"/>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Reduced the loan payment owed by the borrower for twelve months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94"/>
        </w:trPr>
        <w:tc>
          <w:tcPr>
            <w:tcW w:w="54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Table 4.8 presents the Company’s non-accrual loans by class as of the periods indicated.</w:t>
            </w: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4.8: Non-accrual Loans</w:t>
            </w: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7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9"/>
                <w:szCs w:val="19"/>
                <w:color w:val="auto"/>
              </w:rPr>
            </w:pPr>
          </w:p>
        </w:tc>
      </w:tr>
      <w:tr>
        <w:trPr>
          <w:trHeight w:val="199"/>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 estate:</w:t>
            </w:r>
          </w:p>
        </w:tc>
        <w:tc>
          <w:tcPr>
            <w:tcW w:w="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7"/>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8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1,750</w:t>
            </w:r>
          </w:p>
        </w:tc>
        <w:tc>
          <w:tcPr>
            <w:tcW w:w="20" w:type="dxa"/>
            <w:vAlign w:val="bottom"/>
          </w:tcPr>
          <w:p>
            <w:pPr>
              <w:spacing w:after="0"/>
              <w:rPr>
                <w:sz w:val="18"/>
                <w:szCs w:val="18"/>
                <w:color w:val="auto"/>
              </w:rPr>
            </w:pPr>
          </w:p>
        </w:tc>
      </w:tr>
      <w:tr>
        <w:trPr>
          <w:trHeight w:val="208"/>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92"/>
        </w:trPr>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Borders>
              <w:bottom w:val="single" w:sz="8" w:color="auto"/>
            </w:tcBorders>
          </w:tcPr>
          <w:p>
            <w:pPr>
              <w:spacing w:after="0"/>
              <w:rPr>
                <w:sz w:val="16"/>
                <w:szCs w:val="16"/>
                <w:color w:val="auto"/>
              </w:rPr>
            </w:pPr>
          </w:p>
        </w:tc>
      </w:tr>
      <w:tr>
        <w:trPr>
          <w:trHeight w:val="202"/>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non-accrual loans</w:t>
            </w:r>
          </w:p>
        </w:tc>
        <w:tc>
          <w:tcPr>
            <w:tcW w:w="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78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20" w:type="dxa"/>
            <w:vAlign w:val="bottom"/>
            <w:shd w:val="clear" w:color="auto" w:fill="CCEEFF"/>
          </w:tcPr>
          <w:p>
            <w:pPr>
              <w:spacing w:after="0"/>
              <w:rPr>
                <w:sz w:val="17"/>
                <w:szCs w:val="17"/>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No interest income was recognized on non-accrual loans in the years ended December 31, 2025, 2024, and 2023. Non-accrual real estate loans did not have an allowance for credit losses as of December 31, 2025 and 2024. Non-accrual commercial loans carried an immaterial allowance for credit losses as of December 31, 2025 and 2024. Interest income can be recognized on non-accrual loans in cases where resolution occurs through a sale or full payment is received on the non-accrual loan.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amount of foregone interest income related to non-accrual loans was $194,000, $167,000, and $95,000 for the years ended December 31, 2025,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Allowance for Credit Losses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4.9 discloses activity in the allowance for credit losses for the periods indicated.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4.9: Allowance for Credit Losses</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2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Beginning Balance</w:t>
            </w:r>
          </w:p>
        </w:tc>
        <w:tc>
          <w:tcPr>
            <w:tcW w:w="80" w:type="dxa"/>
            <w:vAlign w:val="bottom"/>
          </w:tcPr>
          <w:p>
            <w:pPr>
              <w:spacing w:after="0"/>
              <w:rPr>
                <w:sz w:val="14"/>
                <w:szCs w:val="14"/>
                <w:color w:val="auto"/>
              </w:rPr>
            </w:pPr>
          </w:p>
        </w:tc>
        <w:tc>
          <w:tcPr>
            <w:tcW w:w="122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Effect of Adoption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Charge-offs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rPr>
              <w:t>Recoveries</w:t>
            </w:r>
          </w:p>
        </w:tc>
        <w:tc>
          <w:tcPr>
            <w:tcW w:w="80" w:type="dxa"/>
            <w:vAlign w:val="bottom"/>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Provision (Benefit)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Ending Balance</w:t>
            </w:r>
          </w:p>
        </w:tc>
        <w:tc>
          <w:tcPr>
            <w:tcW w:w="0" w:type="dxa"/>
            <w:vAlign w:val="bottom"/>
          </w:tcPr>
          <w:p>
            <w:pPr>
              <w:spacing w:after="0"/>
              <w:rPr>
                <w:sz w:val="1"/>
                <w:szCs w:val="1"/>
                <w:color w:val="auto"/>
              </w:rPr>
            </w:pPr>
          </w:p>
        </w:tc>
      </w:tr>
      <w:tr>
        <w:trPr>
          <w:trHeight w:val="181"/>
        </w:trPr>
        <w:tc>
          <w:tcPr>
            <w:tcW w:w="222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of ASC 326</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52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25,219</w:t>
            </w:r>
          </w:p>
        </w:tc>
        <w:tc>
          <w:tcPr>
            <w:tcW w:w="0" w:type="dxa"/>
            <w:vAlign w:val="bottom"/>
          </w:tcPr>
          <w:p>
            <w:pPr>
              <w:spacing w:after="0"/>
              <w:rPr>
                <w:sz w:val="1"/>
                <w:szCs w:val="1"/>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4,050</w:t>
            </w: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11,204</w:t>
            </w: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0" w:type="dxa"/>
            <w:vAlign w:val="bottom"/>
          </w:tcPr>
          <w:p>
            <w:pPr>
              <w:spacing w:after="0"/>
              <w:rPr>
                <w:sz w:val="1"/>
                <w:szCs w:val="1"/>
                <w:color w:val="auto"/>
              </w:rPr>
            </w:pPr>
          </w:p>
        </w:tc>
      </w:tr>
      <w:tr>
        <w:trPr>
          <w:trHeight w:val="181"/>
        </w:trPr>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44,409</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52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25,864</w:t>
            </w: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w:t>
            </w: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5,866</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81"/>
        </w:trPr>
        <w:tc>
          <w:tcPr>
            <w:tcW w:w="3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0" w:type="dxa"/>
            <w:vAlign w:val="bottom"/>
          </w:tcPr>
          <w:p>
            <w:pPr>
              <w:spacing w:after="0"/>
              <w:rPr>
                <w:sz w:val="1"/>
                <w:szCs w:val="1"/>
                <w:color w:val="auto"/>
              </w:rPr>
            </w:pPr>
          </w:p>
        </w:tc>
      </w:tr>
      <w:tr>
        <w:trPr>
          <w:trHeight w:val="197"/>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(5,151)</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37,791</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w:t>
            </w:r>
          </w:p>
        </w:tc>
        <w:tc>
          <w:tcPr>
            <w:tcW w:w="52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19,216</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7,606</w:t>
            </w:r>
          </w:p>
        </w:tc>
        <w:tc>
          <w:tcPr>
            <w:tcW w:w="26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Commercial construction</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0" w:type="dxa"/>
            <w:vAlign w:val="bottom"/>
          </w:tcPr>
          <w:p>
            <w:pPr>
              <w:spacing w:after="0"/>
              <w:rPr>
                <w:sz w:val="1"/>
                <w:szCs w:val="1"/>
                <w:color w:val="auto"/>
              </w:rPr>
            </w:pPr>
          </w:p>
        </w:tc>
      </w:tr>
      <w:tr>
        <w:trPr>
          <w:trHeight w:val="188"/>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5"/>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Residential</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Farmland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92"/>
        </w:trPr>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Secured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81"/>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Unsecured</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8"/>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 and other</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0" w:type="dxa"/>
            <w:vAlign w:val="bottom"/>
          </w:tcPr>
          <w:p>
            <w:pPr>
              <w:spacing w:after="0"/>
              <w:rPr>
                <w:sz w:val="1"/>
                <w:szCs w:val="1"/>
                <w:color w:val="auto"/>
              </w:rPr>
            </w:pPr>
          </w:p>
        </w:tc>
      </w:tr>
      <w:tr>
        <w:trPr>
          <w:trHeight w:val="185"/>
        </w:trPr>
        <w:tc>
          <w:tcPr>
            <w:tcW w:w="3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Unallocated</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w:t>
            </w:r>
          </w:p>
        </w:tc>
        <w:tc>
          <w:tcPr>
            <w:tcW w:w="52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28,389</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w:t>
            </w:r>
          </w:p>
        </w:tc>
        <w:tc>
          <w:tcPr>
            <w:tcW w:w="26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(4,608)</w:t>
            </w:r>
          </w:p>
        </w:tc>
        <w:tc>
          <w:tcPr>
            <w:tcW w:w="2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520" w:type="dxa"/>
            <w:vAlign w:val="bottom"/>
            <w:gridSpan w:val="2"/>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34,431</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22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21" w:right="298"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color w:val="auto"/>
        </w:rPr>
        <w:t>Unfunded Loan Commitment Reserves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Unfunded loan commitment reserves are included in “Interest payable and other liabilities” in the consolidated balance sheets. Provisions for unfunded loan commitments are included in “Provision for credit losses” in the consolidated statements of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4.10: Unfunded Loan Commitment Reserves</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9"/>
        </w:trPr>
        <w:tc>
          <w:tcPr>
            <w:tcW w:w="2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99"/>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w:t>
            </w:r>
          </w:p>
        </w:tc>
        <w:tc>
          <w:tcPr>
            <w:tcW w:w="114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10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02"/>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of adoption of ASC 326</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r>
      <w:tr>
        <w:trPr>
          <w:trHeight w:val="197"/>
        </w:trPr>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(Benefit) provision</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8"/>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Balance at December 31</w:t>
            </w:r>
          </w:p>
        </w:tc>
        <w:tc>
          <w:tcPr>
            <w:tcW w:w="1140" w:type="dxa"/>
            <w:vAlign w:val="bottom"/>
            <w:gridSpan w:val="2"/>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10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r>
      <w:tr>
        <w:trPr>
          <w:trHeight w:val="20"/>
        </w:trPr>
        <w:tc>
          <w:tcPr>
            <w:tcW w:w="29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Pledged Loans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FHLB line of credit is secured under terms of a collateral agreement by a pledge of certain qualifying loans with unpaid principal balances of $2,209,121,000 and $1,850,910,000 at December 31, 2025 and 2024, respectively. In addition, the Company pledges eligible tenants in common loans, which totaled $1,324,605,000 and $1,201,864,000 at December 31, 2025 and 2024, respectively, to secure its borrowing capacity with the Federal Reserve Discount Window. See Note 9, Long Term Debt and Other Borrowings, for further discussion of these borrowings.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5: Premises and Equipment, Net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19"/>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5.1 shows the composition of premises and equipment, net, as of December 31, 2025 and 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0"/>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5.1: Premises and Equipment, Net</w:t>
            </w:r>
          </w:p>
        </w:tc>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4"/>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22"/>
        </w:trPr>
        <w:tc>
          <w:tcPr>
            <w:tcW w:w="2300" w:type="dxa"/>
            <w:vAlign w:val="bottom"/>
            <w:tcBorders>
              <w:bottom w:val="single" w:sz="8" w:color="auto"/>
            </w:tcBorders>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3"/>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Furniture, fixtures, and equipment</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4,587</w:t>
            </w:r>
          </w:p>
        </w:tc>
      </w:tr>
      <w:tr>
        <w:trPr>
          <w:trHeight w:val="202"/>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Tenant improvements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2,210</w:t>
            </w:r>
          </w:p>
        </w:tc>
      </w:tr>
      <w:tr>
        <w:trPr>
          <w:trHeight w:val="181"/>
        </w:trPr>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automobiles</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187"/>
        </w:trPr>
        <w:tc>
          <w:tcPr>
            <w:tcW w:w="230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6,922</w:t>
            </w:r>
          </w:p>
        </w:tc>
      </w:tr>
      <w:tr>
        <w:trPr>
          <w:trHeight w:val="219"/>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(5,338)</w:t>
            </w:r>
          </w:p>
        </w:tc>
      </w:tr>
      <w:tr>
        <w:trPr>
          <w:trHeight w:val="172"/>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w:t>
            </w:r>
          </w:p>
        </w:tc>
      </w:tr>
      <w:tr>
        <w:trPr>
          <w:trHeight w:val="20"/>
        </w:trPr>
        <w:tc>
          <w:tcPr>
            <w:tcW w:w="23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expense for occupancy, furniture, fixtures, and equipment was $671,000, $667,000, and $673,000 for the years ended December 31, 2025,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Bank-owned Life Insurance</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Company owns life insurance policies on the lives of certain current and former officers designated by the board of directors to fund its employee benefit programs. Death benefits provided under the specific terms of these insurance policies are estimated to be $49,586,000 at December 31, 2025. The benefits to employees’ beneficiaries are limited to each employee’s active service period. The investment in BOLI policies is reported at their cash surrender value, net of surrender charges, of $23,910,000 and $19,375,000 at December 31, 2025 and 2024, respectively. The cash surrender value includes both the original premiums paid for the life insurance policies and the accumulated accretion of policy income since inception of the policies, net of mortality costs and other fees. Income of $824,000, $644,000, and $510,000 was recognized on these life insurance policies for the years ended December 31, 2025, 2024, and 2023, respectively.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86"/>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Note 7: Interest Receivable and Other Assets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composition of interest receivable and other assets as of December 31, 2025 and 2024 is shown in Table 7.1.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Table 7.1: Interest Receivable and Other Assets</w:t>
            </w: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9"/>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11,904</w:t>
            </w:r>
          </w:p>
        </w:tc>
        <w:tc>
          <w:tcPr>
            <w:tcW w:w="44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10,293</w:t>
            </w:r>
          </w:p>
        </w:tc>
        <w:tc>
          <w:tcPr>
            <w:tcW w:w="0" w:type="dxa"/>
            <w:vAlign w:val="bottom"/>
          </w:tcPr>
          <w:p>
            <w:pPr>
              <w:spacing w:after="0"/>
              <w:rPr>
                <w:sz w:val="1"/>
                <w:szCs w:val="1"/>
                <w:color w:val="auto"/>
              </w:rPr>
            </w:pPr>
          </w:p>
        </w:tc>
      </w:tr>
      <w:tr>
        <w:trPr>
          <w:trHeight w:val="197"/>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9,328</w:t>
            </w:r>
          </w:p>
        </w:tc>
        <w:tc>
          <w:tcPr>
            <w:tcW w:w="0" w:type="dxa"/>
            <w:vAlign w:val="bottom"/>
          </w:tcPr>
          <w:p>
            <w:pPr>
              <w:spacing w:after="0"/>
              <w:rPr>
                <w:sz w:val="1"/>
                <w:szCs w:val="1"/>
                <w:color w:val="auto"/>
              </w:rPr>
            </w:pPr>
          </w:p>
        </w:tc>
      </w:tr>
      <w:tr>
        <w:trPr>
          <w:trHeight w:val="199"/>
        </w:trPr>
        <w:tc>
          <w:tcPr>
            <w:tcW w:w="8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Low income housing tax credits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22,476</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14,081</w:t>
            </w:r>
          </w:p>
        </w:tc>
        <w:tc>
          <w:tcPr>
            <w:tcW w:w="0" w:type="dxa"/>
            <w:vAlign w:val="bottom"/>
          </w:tcPr>
          <w:p>
            <w:pPr>
              <w:spacing w:after="0"/>
              <w:rPr>
                <w:sz w:val="1"/>
                <w:szCs w:val="1"/>
                <w:color w:val="auto"/>
              </w:rPr>
            </w:pPr>
          </w:p>
        </w:tc>
      </w:tr>
      <w:tr>
        <w:trPr>
          <w:trHeight w:val="197"/>
        </w:trPr>
        <w:tc>
          <w:tcPr>
            <w:tcW w:w="8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22,189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21,852</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receivable and other assets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68,680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Interest-Bearing Deposits</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1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8.1 shows the composition of interest-bearing deposits as of December 31, 2025 and 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8.1: Interest-Bearing Deposits</w:t>
            </w:r>
          </w:p>
        </w:tc>
        <w:tc>
          <w:tcPr>
            <w:tcW w:w="60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9"/>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344,200</w:t>
            </w:r>
          </w:p>
        </w:tc>
        <w:tc>
          <w:tcPr>
            <w:tcW w:w="44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315,217</w:t>
            </w:r>
          </w:p>
        </w:tc>
        <w:tc>
          <w:tcPr>
            <w:tcW w:w="0" w:type="dxa"/>
            <w:vAlign w:val="bottom"/>
          </w:tcPr>
          <w:p>
            <w:pPr>
              <w:spacing w:after="0"/>
              <w:rPr>
                <w:sz w:val="1"/>
                <w:szCs w:val="1"/>
                <w:color w:val="auto"/>
              </w:rPr>
            </w:pPr>
          </w:p>
        </w:tc>
      </w:tr>
      <w:tr>
        <w:trPr>
          <w:trHeight w:val="197"/>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139,169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124,702</w:t>
            </w:r>
          </w:p>
        </w:tc>
        <w:tc>
          <w:tcPr>
            <w:tcW w:w="0" w:type="dxa"/>
            <w:vAlign w:val="bottom"/>
          </w:tcPr>
          <w:p>
            <w:pPr>
              <w:spacing w:after="0"/>
              <w:rPr>
                <w:sz w:val="1"/>
                <w:szCs w:val="1"/>
                <w:color w:val="auto"/>
              </w:rPr>
            </w:pPr>
          </w:p>
        </w:tc>
      </w:tr>
      <w:tr>
        <w:trPr>
          <w:trHeight w:val="199"/>
        </w:trPr>
        <w:tc>
          <w:tcPr>
            <w:tcW w:w="8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2,078,567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1,525,292</w:t>
            </w:r>
          </w:p>
        </w:tc>
        <w:tc>
          <w:tcPr>
            <w:tcW w:w="0" w:type="dxa"/>
            <w:vAlign w:val="bottom"/>
          </w:tcPr>
          <w:p>
            <w:pPr>
              <w:spacing w:after="0"/>
              <w:rPr>
                <w:sz w:val="1"/>
                <w:szCs w:val="1"/>
                <w:color w:val="auto"/>
              </w:rPr>
            </w:pPr>
          </w:p>
        </w:tc>
      </w:tr>
      <w:tr>
        <w:trPr>
          <w:trHeight w:val="197"/>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 $250 or more</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344,129</w:t>
            </w:r>
          </w:p>
        </w:tc>
        <w:tc>
          <w:tcPr>
            <w:tcW w:w="0" w:type="dxa"/>
            <w:vAlign w:val="bottom"/>
          </w:tcPr>
          <w:p>
            <w:pPr>
              <w:spacing w:after="0"/>
              <w:rPr>
                <w:sz w:val="1"/>
                <w:szCs w:val="1"/>
                <w:color w:val="auto"/>
              </w:rPr>
            </w:pPr>
          </w:p>
        </w:tc>
      </w:tr>
      <w:tr>
        <w:trPr>
          <w:trHeight w:val="197"/>
        </w:trPr>
        <w:tc>
          <w:tcPr>
            <w:tcW w:w="81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time accounts</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204,579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326,025</w:t>
            </w:r>
          </w:p>
        </w:tc>
        <w:tc>
          <w:tcPr>
            <w:tcW w:w="0" w:type="dxa"/>
            <w:vAlign w:val="bottom"/>
          </w:tcPr>
          <w:p>
            <w:pPr>
              <w:spacing w:after="0"/>
              <w:rPr>
                <w:sz w:val="1"/>
                <w:szCs w:val="1"/>
                <w:color w:val="auto"/>
              </w:rPr>
            </w:pPr>
          </w:p>
        </w:tc>
      </w:tr>
      <w:tr>
        <w:trPr>
          <w:trHeight w:val="183"/>
        </w:trPr>
        <w:tc>
          <w:tcPr>
            <w:tcW w:w="81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3,116,547</w:t>
            </w:r>
          </w:p>
        </w:tc>
        <w:tc>
          <w:tcPr>
            <w:tcW w:w="44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2,635,365</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Time deposits totaled $554,611,000 and $670,154,000 as of December 31, 2025 and 2024, respectively. There were $174,981,000 of brokered time deposits as of December 31, 2025 and $299,961,000 of brokered time deposits as of December 31, 2024. Scheduled maturities of time deposits as of December 31, 2025 for the next five years are shown in Table 8.2.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8.2: Scheduled Maturities of Time Deposits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0" w:type="dxa"/>
            <w:vAlign w:val="bottom"/>
            <w:tcBorders>
              <w:top w:val="single" w:sz="8" w:color="auto"/>
              <w:bottom w:val="single" w:sz="8" w:color="CCEEFF"/>
            </w:tcBorders>
            <w:shd w:val="clear" w:color="auto" w:fill="CCEEFF"/>
          </w:tcPr>
          <w:p>
            <w:pPr>
              <w:jc w:val="right"/>
              <w:ind w:right="9449"/>
              <w:spacing w:after="0"/>
              <w:rPr>
                <w:sz w:val="20"/>
                <w:szCs w:val="20"/>
                <w:color w:val="auto"/>
              </w:rPr>
            </w:pPr>
            <w:r>
              <w:rPr>
                <w:rFonts w:ascii="Times New Roman" w:cs="Times New Roman" w:eastAsia="Times New Roman" w:hAnsi="Times New Roman"/>
                <w:sz w:val="14"/>
                <w:szCs w:val="14"/>
                <w:color w:val="auto"/>
                <w:w w:val="92"/>
              </w:rPr>
              <w:t>2026</w:t>
            </w:r>
          </w:p>
        </w:tc>
        <w:tc>
          <w:tcPr>
            <w:tcW w:w="540" w:type="dxa"/>
            <w:vAlign w:val="bottom"/>
            <w:tcBorders>
              <w:top w:val="single" w:sz="8" w:color="auto"/>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552,870</w:t>
            </w:r>
          </w:p>
        </w:tc>
      </w:tr>
      <w:tr>
        <w:trPr>
          <w:trHeight w:val="197"/>
        </w:trPr>
        <w:tc>
          <w:tcPr>
            <w:tcW w:w="9800" w:type="dxa"/>
            <w:vAlign w:val="bottom"/>
          </w:tcPr>
          <w:p>
            <w:pPr>
              <w:jc w:val="right"/>
              <w:ind w:right="9449"/>
              <w:spacing w:after="0"/>
              <w:rPr>
                <w:sz w:val="20"/>
                <w:szCs w:val="20"/>
                <w:color w:val="auto"/>
              </w:rPr>
            </w:pPr>
            <w:r>
              <w:rPr>
                <w:rFonts w:ascii="Times New Roman" w:cs="Times New Roman" w:eastAsia="Times New Roman" w:hAnsi="Times New Roman"/>
                <w:sz w:val="14"/>
                <w:szCs w:val="14"/>
                <w:color w:val="auto"/>
                <w:w w:val="92"/>
              </w:rPr>
              <w:t>2027</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w:t>
            </w:r>
          </w:p>
        </w:tc>
      </w:tr>
      <w:tr>
        <w:trPr>
          <w:trHeight w:val="208"/>
        </w:trPr>
        <w:tc>
          <w:tcPr>
            <w:tcW w:w="9800" w:type="dxa"/>
            <w:vAlign w:val="bottom"/>
            <w:shd w:val="clear" w:color="auto" w:fill="CCEEFF"/>
          </w:tcPr>
          <w:p>
            <w:pPr>
              <w:jc w:val="right"/>
              <w:ind w:right="9449"/>
              <w:spacing w:after="0"/>
              <w:rPr>
                <w:sz w:val="20"/>
                <w:szCs w:val="20"/>
                <w:color w:val="auto"/>
              </w:rPr>
            </w:pPr>
            <w:r>
              <w:rPr>
                <w:rFonts w:ascii="Times New Roman" w:cs="Times New Roman" w:eastAsia="Times New Roman" w:hAnsi="Times New Roman"/>
                <w:sz w:val="14"/>
                <w:szCs w:val="14"/>
                <w:color w:val="auto"/>
                <w:w w:val="92"/>
              </w:rPr>
              <w:t>2028</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97"/>
        </w:trPr>
        <w:tc>
          <w:tcPr>
            <w:tcW w:w="9800" w:type="dxa"/>
            <w:vAlign w:val="bottom"/>
          </w:tcPr>
          <w:p>
            <w:pPr>
              <w:jc w:val="right"/>
              <w:ind w:right="9449"/>
              <w:spacing w:after="0"/>
              <w:rPr>
                <w:sz w:val="20"/>
                <w:szCs w:val="20"/>
                <w:color w:val="auto"/>
              </w:rPr>
            </w:pPr>
            <w:r>
              <w:rPr>
                <w:rFonts w:ascii="Times New Roman" w:cs="Times New Roman" w:eastAsia="Times New Roman" w:hAnsi="Times New Roman"/>
                <w:sz w:val="14"/>
                <w:szCs w:val="14"/>
                <w:color w:val="auto"/>
                <w:w w:val="92"/>
              </w:rPr>
              <w:t>2029</w:t>
            </w:r>
          </w:p>
        </w:tc>
        <w:tc>
          <w:tcPr>
            <w:tcW w:w="5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3"/>
        </w:trPr>
        <w:tc>
          <w:tcPr>
            <w:tcW w:w="9800" w:type="dxa"/>
            <w:vAlign w:val="bottom"/>
            <w:shd w:val="clear" w:color="auto" w:fill="CCEEFF"/>
          </w:tcPr>
          <w:p>
            <w:pPr>
              <w:jc w:val="right"/>
              <w:ind w:right="9449"/>
              <w:spacing w:after="0"/>
              <w:rPr>
                <w:sz w:val="20"/>
                <w:szCs w:val="20"/>
                <w:color w:val="auto"/>
              </w:rPr>
            </w:pPr>
            <w:r>
              <w:rPr>
                <w:rFonts w:ascii="Times New Roman" w:cs="Times New Roman" w:eastAsia="Times New Roman" w:hAnsi="Times New Roman"/>
                <w:sz w:val="14"/>
                <w:szCs w:val="14"/>
                <w:color w:val="auto"/>
                <w:w w:val="92"/>
              </w:rPr>
              <w:t>2030</w:t>
            </w:r>
          </w:p>
        </w:tc>
        <w:tc>
          <w:tcPr>
            <w:tcW w:w="5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9800" w:type="dxa"/>
            <w:vAlign w:val="bottom"/>
          </w:tcPr>
          <w:p>
            <w:pPr>
              <w:jc w:val="right"/>
              <w:ind w:right="8509"/>
              <w:spacing w:after="0"/>
              <w:rPr>
                <w:sz w:val="20"/>
                <w:szCs w:val="20"/>
                <w:color w:val="auto"/>
              </w:rPr>
            </w:pPr>
            <w:r>
              <w:rPr>
                <w:rFonts w:ascii="Times New Roman" w:cs="Times New Roman" w:eastAsia="Times New Roman" w:hAnsi="Times New Roman"/>
                <w:sz w:val="14"/>
                <w:szCs w:val="14"/>
                <w:color w:val="auto"/>
              </w:rPr>
              <w:t>Total time deposits</w:t>
            </w:r>
          </w:p>
        </w:tc>
        <w:tc>
          <w:tcPr>
            <w:tcW w:w="5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554,611</w:t>
            </w:r>
          </w:p>
        </w:tc>
      </w:tr>
      <w:tr>
        <w:trPr>
          <w:trHeight w:val="20"/>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Total deposits include deposits offered through the IntraFi Network that are comprised of Certificate of Deposit Account Registry Service® (“CDARS”) balances included in time deposits and Insured Cash Sweep® (“ICS”) balances included in money market and interest-bearing transaction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auto"/>
        </w:rPr>
        <w:t>market brokered deposits. There were no one-way deposits at December 31, 2025 and 2024. The composition of network deposits as of December 31, 2025 and 2024 is shown in Table 8.3.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8.3: Network Deposits</w:t>
            </w:r>
          </w:p>
        </w:tc>
        <w:tc>
          <w:tcPr>
            <w:tcW w:w="49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9"/>
        </w:trPr>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CDARS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21,488</w:t>
            </w:r>
          </w:p>
        </w:tc>
        <w:tc>
          <w:tcPr>
            <w:tcW w:w="44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19,292</w:t>
            </w:r>
          </w:p>
        </w:tc>
        <w:tc>
          <w:tcPr>
            <w:tcW w:w="0" w:type="dxa"/>
            <w:vAlign w:val="bottom"/>
          </w:tcPr>
          <w:p>
            <w:pPr>
              <w:spacing w:after="0"/>
              <w:rPr>
                <w:sz w:val="1"/>
                <w:szCs w:val="1"/>
                <w:color w:val="auto"/>
              </w:rPr>
            </w:pPr>
          </w:p>
        </w:tc>
      </w:tr>
      <w:tr>
        <w:trPr>
          <w:trHeight w:val="202"/>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ICS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957,156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674,453</w:t>
            </w:r>
          </w:p>
        </w:tc>
        <w:tc>
          <w:tcPr>
            <w:tcW w:w="0" w:type="dxa"/>
            <w:vAlign w:val="bottom"/>
          </w:tcPr>
          <w:p>
            <w:pPr>
              <w:spacing w:after="0"/>
              <w:rPr>
                <w:sz w:val="1"/>
                <w:szCs w:val="1"/>
                <w:color w:val="auto"/>
              </w:rPr>
            </w:pPr>
          </w:p>
        </w:tc>
      </w:tr>
      <w:tr>
        <w:trPr>
          <w:trHeight w:val="203"/>
        </w:trPr>
        <w:tc>
          <w:tcPr>
            <w:tcW w:w="6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network deposits</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978,644</w:t>
            </w:r>
          </w:p>
        </w:tc>
        <w:tc>
          <w:tcPr>
            <w:tcW w:w="44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693,745</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4"/>
                <w:szCs w:val="14"/>
                <w:color w:val="auto"/>
              </w:rPr>
              <w:t>Table 8.4 presents interest expense recognized on interest-bearing deposits for the years ended December 31, 2025, 2024, and 2023.</w:t>
            </w: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62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Table 8.4: Interest Expense Recognized on Interest-Bearing Deposits</w:t>
            </w: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
        </w:trPr>
        <w:tc>
          <w:tcPr>
            <w:tcW w:w="3920" w:type="dxa"/>
            <w:vAlign w:val="bottom"/>
            <w:tcBorders>
              <w:bottom w:val="single" w:sz="8" w:color="auto"/>
            </w:tcBorders>
            <w:gridSpan w:val="2"/>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transaction accounts</w:t>
            </w:r>
          </w:p>
        </w:tc>
        <w:tc>
          <w:tcPr>
            <w:tcW w:w="1040" w:type="dxa"/>
            <w:vAlign w:val="bottom"/>
            <w:gridSpan w:val="2"/>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4,529</w:t>
            </w:r>
          </w:p>
        </w:tc>
        <w:tc>
          <w:tcPr>
            <w:tcW w:w="440" w:type="dxa"/>
            <w:vAlign w:val="bottom"/>
            <w:gridSpan w:val="3"/>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440" w:type="dxa"/>
            <w:vAlign w:val="bottom"/>
            <w:gridSpan w:val="3"/>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97"/>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Savings accounts</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w:t>
            </w:r>
          </w:p>
        </w:tc>
        <w:tc>
          <w:tcPr>
            <w:tcW w:w="0" w:type="dxa"/>
            <w:vAlign w:val="bottom"/>
          </w:tcPr>
          <w:p>
            <w:pPr>
              <w:spacing w:after="0"/>
              <w:rPr>
                <w:sz w:val="1"/>
                <w:szCs w:val="1"/>
                <w:color w:val="auto"/>
              </w:rPr>
            </w:pPr>
          </w:p>
        </w:tc>
      </w:tr>
      <w:tr>
        <w:trPr>
          <w:trHeight w:val="208"/>
        </w:trPr>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accounts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33,932</w:t>
            </w:r>
          </w:p>
        </w:tc>
        <w:tc>
          <w:tcPr>
            <w:tcW w:w="0" w:type="dxa"/>
            <w:vAlign w:val="bottom"/>
          </w:tcPr>
          <w:p>
            <w:pPr>
              <w:spacing w:after="0"/>
              <w:rPr>
                <w:sz w:val="1"/>
                <w:szCs w:val="1"/>
                <w:color w:val="auto"/>
              </w:rPr>
            </w:pPr>
          </w:p>
        </w:tc>
      </w:tr>
      <w:tr>
        <w:trPr>
          <w:trHeight w:val="197"/>
        </w:trPr>
        <w:tc>
          <w:tcPr>
            <w:tcW w:w="65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Time accounts, $250 or more</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12,686</w:t>
            </w:r>
          </w:p>
        </w:tc>
        <w:tc>
          <w:tcPr>
            <w:tcW w:w="0" w:type="dxa"/>
            <w:vAlign w:val="bottom"/>
          </w:tcPr>
          <w:p>
            <w:pPr>
              <w:spacing w:after="0"/>
              <w:rPr>
                <w:sz w:val="1"/>
                <w:szCs w:val="1"/>
                <w:color w:val="auto"/>
              </w:rPr>
            </w:pPr>
          </w:p>
        </w:tc>
      </w:tr>
      <w:tr>
        <w:trPr>
          <w:trHeight w:val="219"/>
        </w:trPr>
        <w:tc>
          <w:tcPr>
            <w:tcW w:w="6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time accounts</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4,849</w:t>
            </w:r>
          </w:p>
        </w:tc>
        <w:tc>
          <w:tcPr>
            <w:tcW w:w="0" w:type="dxa"/>
            <w:vAlign w:val="bottom"/>
          </w:tcPr>
          <w:p>
            <w:pPr>
              <w:spacing w:after="0"/>
              <w:rPr>
                <w:sz w:val="1"/>
                <w:szCs w:val="1"/>
                <w:color w:val="auto"/>
              </w:rPr>
            </w:pPr>
          </w:p>
        </w:tc>
      </w:tr>
      <w:tr>
        <w:trPr>
          <w:trHeight w:val="172"/>
        </w:trPr>
        <w:tc>
          <w:tcPr>
            <w:tcW w:w="6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Total interest expense on interest-bearing deposits</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92,382</w:t>
            </w:r>
          </w:p>
        </w:tc>
        <w:tc>
          <w:tcPr>
            <w:tcW w:w="120" w:type="dxa"/>
            <w:vAlign w:val="bottom"/>
            <w:gridSpan w:val="2"/>
          </w:tcPr>
          <w:p>
            <w:pPr>
              <w:spacing w:after="0"/>
              <w:rPr>
                <w:sz w:val="14"/>
                <w:szCs w:val="14"/>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82,398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57,861</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Long Term Debt and Other Borrowings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On August 17, 2022, the Company completed a private placement of $75,000,000 of fixed-to-floating rate subordinated notes to certain qualified investors, of which $19,250,000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(6.94% as of December 31, 2025)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1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$1,454,000, of which $496,000 has been amortized through December 31, 2025. The Company reflects debt issuance costs as a direct deduction from the face of the note. The debt issuance costs are amortized into interest expense through the maturity period. At December 31, 2025 and 2024, the carrying value of the Company’s subordinated notes was $74,041,000 and $73,895,000, respectively.</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Other borrowings</w:t>
      </w:r>
      <w:r>
        <w:rPr>
          <w:rFonts w:ascii="Times New Roman" w:cs="Times New Roman" w:eastAsia="Times New Roman" w:hAnsi="Times New Roman"/>
          <w:sz w:val="14"/>
          <w:szCs w:val="14"/>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shown in Table 9.1.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9.1: Financing Availability with the FHLB</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8"/>
        </w:trPr>
        <w:tc>
          <w:tcPr>
            <w:tcW w:w="2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rPr>
              <w:t>2024</w:t>
            </w:r>
          </w:p>
        </w:tc>
      </w:tr>
      <w:tr>
        <w:trPr>
          <w:trHeight w:val="177"/>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financing ability from the FHLB</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1,518,680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1,212,209</w:t>
            </w:r>
          </w:p>
        </w:tc>
      </w:tr>
      <w:tr>
        <w:trPr>
          <w:trHeight w:val="181"/>
        </w:trPr>
        <w:tc>
          <w:tcPr>
            <w:tcW w:w="7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outstanding borrowings</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LCs pledged to secure State of California deposits</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281,500</w:t>
            </w:r>
          </w:p>
        </w:tc>
      </w:tr>
      <w:tr>
        <w:trPr>
          <w:trHeight w:val="181"/>
        </w:trPr>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Less: LCs pledged to secure local agency deposits</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420,000</w:t>
            </w:r>
          </w:p>
        </w:tc>
      </w:tr>
      <w:tr>
        <w:trPr>
          <w:trHeight w:val="172"/>
        </w:trPr>
        <w:tc>
          <w:tcPr>
            <w:tcW w:w="7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LCs issued</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887,500</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701,500</w:t>
            </w:r>
          </w:p>
        </w:tc>
      </w:tr>
      <w:tr>
        <w:trPr>
          <w:trHeight w:val="182"/>
        </w:trPr>
        <w:tc>
          <w:tcPr>
            <w:tcW w:w="76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Available borrowing capacity with the FHLB</w:t>
            </w:r>
          </w:p>
        </w:tc>
        <w:tc>
          <w:tcPr>
            <w:tcW w:w="5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631,180</w:t>
            </w:r>
          </w:p>
        </w:tc>
        <w:tc>
          <w:tcPr>
            <w:tcW w:w="50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510,709</w:t>
            </w:r>
          </w:p>
        </w:tc>
      </w:tr>
      <w:tr>
        <w:trPr>
          <w:trHeight w:val="20"/>
        </w:trPr>
        <w:tc>
          <w:tcPr>
            <w:tcW w:w="27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 December 31, 2025 and 2024, the Company had the ability to borrow from the Federal Reserve Discount Window. The borrowings were available at an interest rate of 3.75% as of December 31, 2025. At December 31, 2025 and 2024, the borrowing capacity under this arrangement was $957,362,000 and $862,136,000, respectively. There were no amounts outstanding at December 31, 2025 and 2024. The borrowing line is secured by certain liens on the Company’s loans and certain available-for-sale securities.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 December 31, 2025, the Company had five unsecured federal funds lines of credit totaling $185,000,000 with five of its correspondent banks. At December 31, 2024, the Company had five unsecured federal funds lines of credit totaling $175,000,000 with five of its correspondent banks. The borrowings were available at interest rates ranging from 3.75% to 4.95% as of December 31, 2025 and interest rates ranging from 4.55% to 5.70% as of December 31, 2024. There were no amounts outstanding at December 31, 2025 and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401(k) Benefit Plan</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 401(k) benefit plan covers substantially all employees and allows voluntary employee contributions up to the lesser of 100% of eligible compensation or the annually adjusted IRS dollar limit. These voluntary contributions are matched equal to 100% of the first 3% of the employee’s compensation contributed and 50% of contributions exceeding 3% of eligible compensation, not to exceed 5% of the total eligible compensation. The employees’ voluntary contributions and the Company’s matching contributions are 100% vested immediately. The expense related to matching employees’ contributions for 2025, 2024, and 2023 was $1,039,000, $835,000, and $787,000,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Income Taxes</w:t>
      </w:r>
    </w:p>
    <w:p>
      <w:pPr>
        <w:spacing w:after="0" w:line="1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The Company accounts for income taxes in accordance with ASC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The provision for income taxes consists of federal and state income taxes. The Company does not have any foreign operations or foreign income tax exposure.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53" w:right="298"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186"/>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Income Tax Rate Reconciliation</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19"/>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11.1 presents a calculation of the Company’s income tax expense for the year ended December 31, 2025.</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0"/>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11.1: Calculation of Income Tax Expense</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2700" w:type="dxa"/>
            <w:vAlign w:val="bottom"/>
            <w:tcBorders>
              <w:top w:val="single" w:sz="8" w:color="auto"/>
            </w:tcBorders>
          </w:tcPr>
          <w:p>
            <w:pPr>
              <w:spacing w:after="0"/>
              <w:rPr>
                <w:sz w:val="18"/>
                <w:szCs w:val="18"/>
                <w:color w:val="auto"/>
              </w:rPr>
            </w:pP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2025</w:t>
            </w:r>
          </w:p>
        </w:tc>
        <w:tc>
          <w:tcPr>
            <w:tcW w:w="1220" w:type="dxa"/>
            <w:vAlign w:val="bottom"/>
            <w:tcBorders>
              <w:bottom w:val="single" w:sz="8" w:color="auto"/>
            </w:tcBorders>
          </w:tcPr>
          <w:p>
            <w:pPr>
              <w:spacing w:after="0"/>
              <w:rPr>
                <w:sz w:val="18"/>
                <w:szCs w:val="18"/>
                <w:color w:val="auto"/>
              </w:rPr>
            </w:pPr>
          </w:p>
        </w:tc>
      </w:tr>
      <w:tr>
        <w:trPr>
          <w:trHeight w:val="191"/>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6"/>
                <w:szCs w:val="16"/>
                <w:color w:val="auto"/>
              </w:rPr>
            </w:pPr>
          </w:p>
        </w:tc>
        <w:tc>
          <w:tcPr>
            <w:tcW w:w="164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color w:val="auto"/>
              </w:rPr>
              <w:t>Amount</w:t>
            </w:r>
          </w:p>
        </w:tc>
        <w:tc>
          <w:tcPr>
            <w:tcW w:w="122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Percent</w:t>
            </w:r>
          </w:p>
        </w:tc>
      </w:tr>
      <w:tr>
        <w:trPr>
          <w:trHeight w:val="22"/>
        </w:trPr>
        <w:tc>
          <w:tcPr>
            <w:tcW w:w="270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2"/>
        </w:trPr>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3"/>
        </w:trPr>
        <w:tc>
          <w:tcPr>
            <w:tcW w:w="270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81"/>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 at U.S. federal statutory rate</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21.00 %</w:t>
            </w:r>
          </w:p>
        </w:tc>
      </w:tr>
      <w:tr>
        <w:trPr>
          <w:trHeight w:val="192"/>
        </w:trPr>
        <w:tc>
          <w:tcPr>
            <w:tcW w:w="8140" w:type="dxa"/>
            <w:vAlign w:val="bottom"/>
            <w:gridSpan w:val="3"/>
          </w:tcPr>
          <w:p>
            <w:pPr>
              <w:spacing w:after="0" w:line="192" w:lineRule="exact"/>
              <w:rPr>
                <w:sz w:val="20"/>
                <w:szCs w:val="20"/>
                <w:color w:val="auto"/>
              </w:rPr>
            </w:pPr>
            <w:r>
              <w:rPr>
                <w:rFonts w:ascii="Times New Roman" w:cs="Times New Roman" w:eastAsia="Times New Roman" w:hAnsi="Times New Roman"/>
                <w:sz w:val="14"/>
                <w:szCs w:val="14"/>
                <w:color w:val="auto"/>
              </w:rPr>
              <w:t>State and local income tax, net of federal income tax effect</w:t>
            </w:r>
            <w:r>
              <w:rPr>
                <w:rFonts w:ascii="Times New Roman" w:cs="Times New Roman" w:eastAsia="Times New Roman" w:hAnsi="Times New Roman"/>
                <w:sz w:val="18"/>
                <w:szCs w:val="18"/>
                <w:color w:val="auto"/>
                <w:vertAlign w:val="superscript"/>
              </w:rPr>
              <w:t>1</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6.97 %</w:t>
            </w:r>
          </w:p>
        </w:tc>
      </w:tr>
      <w:tr>
        <w:trPr>
          <w:trHeight w:val="181"/>
        </w:trPr>
        <w:tc>
          <w:tcPr>
            <w:tcW w:w="8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Tax Credits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1"/>
        </w:trPr>
        <w:tc>
          <w:tcPr>
            <w:tcW w:w="81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IRC 45X Tax Credits</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2"/>
        </w:trPr>
        <w:tc>
          <w:tcPr>
            <w:tcW w:w="8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tax credits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181"/>
        </w:trPr>
        <w:tc>
          <w:tcPr>
            <w:tcW w:w="8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Nontaxable and nondeductible items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1"/>
        </w:trPr>
        <w:tc>
          <w:tcPr>
            <w:tcW w:w="81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nontaxable and nondeductible items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(0.06)%</w:t>
            </w:r>
          </w:p>
        </w:tc>
      </w:tr>
      <w:tr>
        <w:trPr>
          <w:trHeight w:val="191"/>
        </w:trPr>
        <w:tc>
          <w:tcPr>
            <w:tcW w:w="8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adjustments</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(0.25)%</w:t>
            </w:r>
          </w:p>
        </w:tc>
      </w:tr>
      <w:tr>
        <w:trPr>
          <w:trHeight w:val="197"/>
        </w:trPr>
        <w:tc>
          <w:tcPr>
            <w:tcW w:w="814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26.42 %</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90" w:hanging="90"/>
        <w:spacing w:after="0"/>
        <w:tabs>
          <w:tab w:leader="none" w:pos="9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State taxes in California made up the majority of the effect of the state and local tax category.</w:t>
      </w:r>
    </w:p>
    <w:p>
      <w:pPr>
        <w:spacing w:after="0" w:line="1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Table 11.2 presents a reconciliation of the U.S. federal statutory income tax rate to the Company’s effective income tax rate for the years ended December 31, 2024 and 2023.</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11.2: Difference Between Effective Income Tax Rate and Statutory Federal Rate</w:t>
            </w: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7"/>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Statutory U.S. federal income tax</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13,591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13,989</w:t>
            </w:r>
          </w:p>
        </w:tc>
        <w:tc>
          <w:tcPr>
            <w:tcW w:w="0" w:type="dxa"/>
            <w:vAlign w:val="bottom"/>
          </w:tcPr>
          <w:p>
            <w:pPr>
              <w:spacing w:after="0"/>
              <w:rPr>
                <w:sz w:val="1"/>
                <w:szCs w:val="1"/>
                <w:color w:val="auto"/>
              </w:rPr>
            </w:pPr>
          </w:p>
        </w:tc>
      </w:tr>
      <w:tr>
        <w:trPr>
          <w:trHeight w:val="188"/>
        </w:trPr>
        <w:tc>
          <w:tcPr>
            <w:tcW w:w="7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(decrease) resulting from:</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 taxes, net of federal impact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5,219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5,048</w:t>
            </w:r>
          </w:p>
        </w:tc>
        <w:tc>
          <w:tcPr>
            <w:tcW w:w="0" w:type="dxa"/>
            <w:vAlign w:val="bottom"/>
          </w:tcPr>
          <w:p>
            <w:pPr>
              <w:spacing w:after="0"/>
              <w:rPr>
                <w:sz w:val="1"/>
                <w:szCs w:val="1"/>
                <w:color w:val="auto"/>
              </w:rPr>
            </w:pPr>
          </w:p>
        </w:tc>
      </w:tr>
      <w:tr>
        <w:trPr>
          <w:trHeight w:val="181"/>
        </w:trPr>
        <w:tc>
          <w:tcPr>
            <w:tcW w:w="79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02"/>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4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19,050</w:t>
            </w:r>
          </w:p>
        </w:tc>
        <w:tc>
          <w:tcPr>
            <w:tcW w:w="4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18,882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Effective tax rate</w:t>
            </w: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29.43 %</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28.34 %</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left="10"/>
        <w:spacing w:after="0" w:line="288" w:lineRule="auto"/>
        <w:rPr>
          <w:sz w:val="20"/>
          <w:szCs w:val="20"/>
          <w:color w:val="auto"/>
        </w:rPr>
      </w:pPr>
      <w:r>
        <w:rPr>
          <w:rFonts w:ascii="Times New Roman" w:cs="Times New Roman" w:eastAsia="Times New Roman" w:hAnsi="Times New Roman"/>
          <w:sz w:val="14"/>
          <w:szCs w:val="14"/>
          <w:color w:val="auto"/>
        </w:rPr>
        <w:t>The impact of transferable tax credits purchased and utilized during the year is included in the “IRC 45X Tax Credits” line item in the Company’s reconciliation of the U.S. federal statutory income tax rate to the effective income tax rate, as required by ASU 2023-09. For the year ended December 31, 2025, the transferable tax credits reduced the Company’s effective tax rate by 1.07%.</w:t>
      </w:r>
    </w:p>
    <w:p>
      <w:pPr>
        <w:spacing w:after="0" w:line="200" w:lineRule="exact"/>
        <w:rPr>
          <w:sz w:val="20"/>
          <w:szCs w:val="20"/>
          <w:color w:val="auto"/>
        </w:rPr>
      </w:pPr>
    </w:p>
    <w:p>
      <w:pPr>
        <w:spacing w:after="0" w:line="23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123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895" w:right="298"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4"/>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11.3 shows the components of the consolidated provision for income taxes for the years indicated.</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31"/>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11.3: Components of Consolidated Provision for Income Taxes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2025</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77"/>
        </w:trPr>
        <w:tc>
          <w:tcPr>
            <w:tcW w:w="6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tax expense:</w:t>
            </w:r>
          </w:p>
        </w:tc>
        <w:tc>
          <w:tcPr>
            <w:tcW w:w="8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8"/>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0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15,819</w:t>
            </w:r>
          </w:p>
        </w:tc>
        <w:tc>
          <w:tcPr>
            <w:tcW w:w="10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13,234</w:t>
            </w:r>
          </w:p>
        </w:tc>
      </w:tr>
      <w:tr>
        <w:trPr>
          <w:trHeight w:val="185"/>
        </w:trPr>
        <w:tc>
          <w:tcPr>
            <w:tcW w:w="6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6,439</w:t>
            </w:r>
          </w:p>
        </w:tc>
      </w:tr>
      <w:tr>
        <w:trPr>
          <w:trHeight w:val="172"/>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current tax expense</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22,704</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19,293</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19,673</w:t>
            </w:r>
          </w:p>
        </w:tc>
      </w:tr>
      <w:tr>
        <w:trPr>
          <w:trHeight w:val="172"/>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expense (benefit):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8"/>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w:t>
            </w:r>
          </w:p>
        </w:tc>
      </w:tr>
      <w:tr>
        <w:trPr>
          <w:trHeight w:val="185"/>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72"/>
        </w:trPr>
        <w:tc>
          <w:tcPr>
            <w:tcW w:w="65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deferred tax benefit</w:t>
            </w:r>
          </w:p>
        </w:tc>
        <w:tc>
          <w:tcPr>
            <w:tcW w:w="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(791)</w:t>
            </w:r>
          </w:p>
        </w:tc>
      </w:tr>
      <w:tr>
        <w:trPr>
          <w:trHeight w:val="202"/>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22,126</w:t>
            </w:r>
          </w:p>
        </w:tc>
        <w:tc>
          <w:tcPr>
            <w:tcW w:w="10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Deferred Tax Assets and Liabilities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Deferred tax assets and liabilities are recognized for the expected future tax consequences of temporary differences between the carrying amounts and tax bases of assets and liabilities. Table 11.4 shows significant components of deferred tax assets and liabilities as of December 31, 2025, 2024, and 2023.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11.4: Components of Deferred Tax Assets and Liabilities</w:t>
            </w: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4"/>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22"/>
        </w:trPr>
        <w:tc>
          <w:tcPr>
            <w:tcW w:w="35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2"/>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81"/>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12,143</w:t>
            </w:r>
          </w:p>
        </w:tc>
        <w:tc>
          <w:tcPr>
            <w:tcW w:w="44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11,241</w:t>
            </w:r>
          </w:p>
        </w:tc>
        <w:tc>
          <w:tcPr>
            <w:tcW w:w="42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10,820</w:t>
            </w:r>
          </w:p>
        </w:tc>
      </w:tr>
      <w:tr>
        <w:trPr>
          <w:trHeight w:val="192"/>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Supplemental employee retirement plan</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r>
      <w:tr>
        <w:trPr>
          <w:trHeight w:val="181"/>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Gain on available-for-sale assets</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81"/>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loss on securities available-for-sale</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4,938</w:t>
            </w:r>
          </w:p>
        </w:tc>
      </w:tr>
      <w:tr>
        <w:trPr>
          <w:trHeight w:val="188"/>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State tax</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r>
      <w:tr>
        <w:trPr>
          <w:trHeight w:val="185"/>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1,759</w:t>
            </w:r>
          </w:p>
        </w:tc>
      </w:tr>
      <w:tr>
        <w:trPr>
          <w:trHeight w:val="181"/>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w:t>
            </w:r>
          </w:p>
        </w:tc>
      </w:tr>
      <w:tr>
        <w:trPr>
          <w:trHeight w:val="182"/>
        </w:trPr>
        <w:tc>
          <w:tcPr>
            <w:tcW w:w="6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21,227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21,320</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20,871</w:t>
            </w:r>
          </w:p>
        </w:tc>
      </w:tr>
      <w:tr>
        <w:trPr>
          <w:trHeight w:val="161"/>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loan fees</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w:t>
            </w:r>
          </w:p>
        </w:tc>
      </w:tr>
      <w:tr>
        <w:trPr>
          <w:trHeight w:val="181"/>
        </w:trPr>
        <w:tc>
          <w:tcPr>
            <w:tcW w:w="65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181"/>
        </w:trPr>
        <w:tc>
          <w:tcPr>
            <w:tcW w:w="6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ROUA</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(1,648)</w:t>
            </w:r>
          </w:p>
        </w:tc>
      </w:tr>
      <w:tr>
        <w:trPr>
          <w:trHeight w:val="191"/>
        </w:trPr>
        <w:tc>
          <w:tcPr>
            <w:tcW w:w="6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w:t>
            </w:r>
          </w:p>
        </w:tc>
      </w:tr>
      <w:tr>
        <w:trPr>
          <w:trHeight w:val="172"/>
        </w:trPr>
        <w:tc>
          <w:tcPr>
            <w:tcW w:w="65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(7,658)</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(6,538)</w:t>
            </w:r>
          </w:p>
        </w:tc>
      </w:tr>
      <w:tr>
        <w:trPr>
          <w:trHeight w:val="172"/>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deferred tax asset</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14,830</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14,333</w:t>
            </w:r>
          </w:p>
        </w:tc>
      </w:tr>
      <w:tr>
        <w:trPr>
          <w:trHeight w:val="20"/>
        </w:trPr>
        <w:tc>
          <w:tcPr>
            <w:tcW w:w="3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evaluates the need for a valuation allowance against deferred tax assets based on the likelihood of realization. No deferred tax asset valuation allowance was established during 2025, 2024, or 2023, as management believes it is more likely than not the Company will realize the benefits of these deductible differences as of December 31, 2025, 2024, and 2023.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color w:val="auto"/>
        </w:rPr>
        <w:t>Tax Impacts of Investments in Qualified Affordable Housing Projects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Table 11.5 details items the Company recognized as components of tax expense, taxable losses and amortization expense relating to investments in Qualified Affordable Housing Projects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11.5: Tax Impacts of Investments in Qualified Affordable Housing Projects</w:t>
            </w: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9"/>
        </w:trPr>
        <w:tc>
          <w:tcPr>
            <w:tcW w:w="6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88"/>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Taxable loss - decrease in tax expense</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7"/>
              </w:rPr>
              <w:t>(2,689)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(1,626)</w:t>
            </w:r>
          </w:p>
        </w:tc>
      </w:tr>
      <w:tr>
        <w:trPr>
          <w:trHeight w:val="181"/>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Amortization - increase in tax expense</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181"/>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Qualified Affordable Housing Tax Credits - decrease in tax expense</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7"/>
              </w:rPr>
              <w:t>(1,553)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total capital contributed, net of amortization, for the Low Income Housing Tax Credit Funds was $14,312,000 as of December 31, 2025. As of December 31, 2025, the Company has committed to make additional capital contributions to the Low Income Housing Tax Credit Funds in the amount of $8,119,000, of which $3,853,000 is expected to be made in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Transferable Tax Credits</w:t>
      </w:r>
    </w:p>
    <w:p>
      <w:pPr>
        <w:spacing w:after="0" w:line="1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year ended December 31, 2025, the Company purchased IRC 45X transferable federal tax credits from a third party under the provisions of the Inflation Reduction Act of 2022, as modified by H.R. 1, the “One Big Beautiful Bill Act” in 2025, resulting in a $0.9 million benefit to the provision for income taxes. These credits were acquired to offset the Company’s current year income tax liability and were fully utilized during the year. The credits were applied in accordance with relevant tax regulations, resulting in a reduction of the Company’s income tax payable for the year ended December 31, 2025. The benefit from the utilization of the purchased tax credits is reflected in the Company’s income tax expense for the period. No gain or loss was recognized, as the credits were used at their carrying value. As of December 31, 2025, there were no remaining purchased tax credits recorded on the balance sheet, as all credits acquired during the year were utilized. The Company’s ability to utilize purchased tax credits is subject to compliance with applicable tax laws and regulations. Management has reviewed the eligibility and documentation requirements and determined that all credits purchased and utilized during the year met the necessary criteria.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Unrecognized Tax Benefits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No unrecognized tax benefits were outstanding as of December 31, 2025, 2024, or 2023. The Company does not anticipate significant changes in unrecognized tax benefits within the next twelve months.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Disclosures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files tax returns in the U.S. federal and state jurisdictions where the Company has material nexus. The Company is no longer subject to examinations for federal and state tax purposes for the years before 2021 and 2020, respectively.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interest or penalties in 2025, 2024, and 2023. It is the Company’s policy to record such accruals in its income tax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Related Party Transactions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normal course of business, the Company may enter into transactions with related parties, including directors, executive officers, principal shareholders, and their businesses or affiliates. In accordance with applicable regulations and Bank policies, these loans are granted on substantially the same terms, including interest rates and collateral on loans, as those prevailing at the same time for comparable transactions with persons not related to the Company. Likewise, these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5" w:right="298"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color w:val="auto"/>
        </w:rPr>
        <w:t>transactions do not involve more than the normal risk of collectability or present other unfavorable features. Table 12.1 is a summary of loans to related parties in 2025, 2024, and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12.1: Related Party Loans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19"/>
        </w:trPr>
        <w:tc>
          <w:tcPr>
            <w:tcW w:w="1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77"/>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14,497</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center"/>
              <w:ind w:left="669"/>
              <w:spacing w:after="0"/>
              <w:rPr>
                <w:sz w:val="20"/>
                <w:szCs w:val="20"/>
                <w:color w:val="auto"/>
              </w:rPr>
            </w:pPr>
            <w:r>
              <w:rPr>
                <w:rFonts w:ascii="Times New Roman" w:cs="Times New Roman" w:eastAsia="Times New Roman" w:hAnsi="Times New Roman"/>
                <w:sz w:val="14"/>
                <w:szCs w:val="14"/>
                <w:color w:val="auto"/>
              </w:rPr>
              <w:t>6,250</w:t>
            </w:r>
          </w:p>
        </w:tc>
      </w:tr>
      <w:tr>
        <w:trPr>
          <w:trHeight w:val="188"/>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loans or advances</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center"/>
              <w:ind w:left="669"/>
              <w:spacing w:after="0"/>
              <w:rPr>
                <w:sz w:val="20"/>
                <w:szCs w:val="20"/>
                <w:color w:val="auto"/>
              </w:rPr>
            </w:pPr>
            <w:r>
              <w:rPr>
                <w:rFonts w:ascii="Times New Roman" w:cs="Times New Roman" w:eastAsia="Times New Roman" w:hAnsi="Times New Roman"/>
                <w:sz w:val="14"/>
                <w:szCs w:val="14"/>
                <w:color w:val="auto"/>
              </w:rPr>
              <w:t>1,275</w:t>
            </w:r>
          </w:p>
        </w:tc>
      </w:tr>
      <w:tr>
        <w:trPr>
          <w:trHeight w:val="185"/>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Repayments</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w w:val="97"/>
              </w:rPr>
              <w:t>(2,070)</w:t>
            </w:r>
          </w:p>
        </w:tc>
      </w:tr>
      <w:tr>
        <w:trPr>
          <w:trHeight w:val="172"/>
        </w:trPr>
        <w:tc>
          <w:tcPr>
            <w:tcW w:w="65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Ending balance</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13,863</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14,497</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center"/>
              <w:ind w:left="669"/>
              <w:spacing w:after="0"/>
              <w:rPr>
                <w:sz w:val="20"/>
                <w:szCs w:val="20"/>
                <w:color w:val="auto"/>
              </w:rPr>
            </w:pPr>
            <w:r>
              <w:rPr>
                <w:rFonts w:ascii="Times New Roman" w:cs="Times New Roman" w:eastAsia="Times New Roman" w:hAnsi="Times New Roman"/>
                <w:sz w:val="14"/>
                <w:szCs w:val="14"/>
                <w:color w:val="auto"/>
              </w:rPr>
              <w:t>5,455</w:t>
            </w:r>
          </w:p>
        </w:tc>
      </w:tr>
      <w:tr>
        <w:trPr>
          <w:trHeight w:val="20"/>
        </w:trPr>
        <w:tc>
          <w:tcPr>
            <w:tcW w:w="18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2025, 2024, and 2023, deposits from related parties (directors, executive officers, and principal shareholders) totaled $39,242,000, $53,607,000, and $37,201,000, respectively.</w:t>
      </w:r>
    </w:p>
    <w:p>
      <w:pPr>
        <w:spacing w:after="0" w:line="1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leases an administrative office from a partnership comprised of certain shareholders and members of the board of directors, which is further described in Note 15, Commitments and Contingencies. Property management fees totaling $1,000 in 2025, 2024, and 2023 were paid to the entity that owns this property.</w:t>
      </w:r>
    </w:p>
    <w:p>
      <w:pPr>
        <w:spacing w:after="0" w:line="10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leased a temporary administrative office from an entity affiliated with a member of our board of directors, which is further described in Note 15, Commitments and Contingencies. No property management fees were paid to the entity that owns this property.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Equity Incentive Plan</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April 2021, the Company’s board of directors and shareholders approved the Five Star Bancorp 2021 Equity Incentive Plan (the “Equity Incentive Plan”). The Equity Incentive Plan provides for the grant of stock options, stock appreciation rights, performance awards, restricted stock, restricted stock units, and other stock-based awards that the Compensation Committee determines are consistent with the purpose of the Equity Incentive Plan and the interests of the Company. Awards may be granted to the Company’s executives and other key employees, directors, and other service providers and are designed to align the interests of the Equity Incentive Plan’s participants with the interests of the Company’s shareholders. The stock options granted under the Equity Incentive Plan may be either non-statutory stock options or incentive stock options. There were no stock options outstanding at December 31, 2025 or 2024.</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total number of shares of the Company’s common stock reserved and available for grant and issuance pursuant to the Equity Incentive Plan will not exceed 1,700,000 shares, less RSAs granted, plus any RSAs that become available upon forfeiture. Each of these shares may be issued as an incentive stock option. At December 31, 2025, 1,361,860 shares remained available for issuance pursuant to grant awards under the Plan. The Equity Incentive Plan does not contain an “evergreen” provision pursuant to which shares authorized for issuance may be automatically replenished.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Company’s stock-based compensation consists of RSAs granted under its historical stock-based incentive arrangement (the “Historical Incentive Plan”) and RSAs and performance stock awards (“PSUs”) issued under the Equity Incentive Plan.</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 Incentive Plan is recognized over the service period, which is equal to the vesting period of the shares based on the fair value of the shares at issue date.</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which vest ratably over three or five years (as defined in the respective agreements), and to directors, which vest over one year. All RSAs were granted at the fair value of common stock at the time of the award.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color w:val="auto"/>
        </w:rPr>
        <w:t>RSAs are considered fixed awards, as the number of shares and fair value are known at the date of grant and the fair value at the grant date is amortized over the service period.</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Beginning in 2025, the Company granted PSUs under the Equity Incentive Plan to certain executives. Performance is measured over a three-year period and such PSUs cliff vest. Based on the achievement of certain pre-established goals, actual payouts can range from 0% to 150% of the target award. All PSUs were granted at the fair value of common stock at the time of the award. As such, the PSUs are considered variable awards, as the number of shares and fair value are not known at the date of grant. An estimate is made of the number of shares expected to vest based on the probability that the performance criteria will be achieved to determine the amount of compensation expense to be recognized. This estimate is re-evaluated quarterly, and total compensation expense is adjusted for any change in the current period. The estimate of the number of shares expected to vest is also used to accrue for dividends to be paid at the end of the vesting period.</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Non-cash stock compensation expense recognized for the years ended December 31, 2025, 2024, and 2023 was $1,459,000, $1,156,000, and $962,000, respectively. The total fair value of restricted shares vested during the years ended December 31, 2025, 2024, and 2023 was $1,370,000, $1,101,000, and $953,000, respectively. Tax benefits for vested restricted shares are recorded as tax benefits in the consolidated statements of income with a corresponding decrease to current taxes payable and were immaterial for the years ended December 31, 2025, 2024, and 2023.</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2025, the Company granted as compensation to members of the board of directors a total of 11,097 shares that were scheduled to cliff vest as of December 31, 2025 contingent on continued service. In 2024, the Company granted as compensation to members of the board of directors a total of 16,380 shares that were scheduled to cliff vest as of December 31, 2024 contingent on continued service. In 2023, the Company granted as compensation to members of the board of directors a total of 13,882 shares that were scheduled to cliff vest as of December 31, 2023 contingent on continued service.</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of December 31, 2025, there was approximately $2,216,000 of unrecognized compensation expense related to the 124,747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2.83 years as of December 31, 2025. The impact of tax benefits for dividends paid on unvested restricted stock on the Company’s consolidated statements of income for the years ended December 31, 2025, 2024, and 2023 was immaterial.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13.1 summarizes information about unvested restricted shares.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13.1: Unvested Restricted Share Activity</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6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14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8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0" w:type="dxa"/>
            <w:vAlign w:val="bottom"/>
          </w:tcPr>
          <w:p>
            <w:pPr>
              <w:spacing w:after="0"/>
              <w:rPr>
                <w:sz w:val="1"/>
                <w:szCs w:val="1"/>
                <w:color w:val="auto"/>
              </w:rPr>
            </w:pPr>
          </w:p>
        </w:tc>
      </w:tr>
      <w:tr>
        <w:trPr>
          <w:trHeight w:val="145"/>
        </w:trPr>
        <w:tc>
          <w:tcPr>
            <w:tcW w:w="2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9"/>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9"/>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9"/>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5"/>
              </w:rPr>
              <w:t>Value</w:t>
            </w:r>
          </w:p>
        </w:tc>
        <w:tc>
          <w:tcPr>
            <w:tcW w:w="80" w:type="dxa"/>
            <w:vAlign w:val="bottom"/>
          </w:tcPr>
          <w:p>
            <w:pPr>
              <w:spacing w:after="0"/>
              <w:rPr>
                <w:sz w:val="16"/>
                <w:szCs w:val="16"/>
                <w:color w:val="auto"/>
              </w:rPr>
            </w:pPr>
          </w:p>
        </w:tc>
        <w:tc>
          <w:tcPr>
            <w:tcW w:w="124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5"/>
              </w:rPr>
              <w:t>Value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172"/>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the period balance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120,577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320" w:type="dxa"/>
            <w:vAlign w:val="bottom"/>
            <w:gridSpan w:val="2"/>
            <w:shd w:val="clear" w:color="auto" w:fill="CCEEFF"/>
          </w:tcPr>
          <w:p>
            <w:pPr>
              <w:jc w:val="center"/>
              <w:ind w:left="769"/>
              <w:spacing w:after="0"/>
              <w:rPr>
                <w:sz w:val="20"/>
                <w:szCs w:val="20"/>
                <w:color w:val="auto"/>
              </w:rPr>
            </w:pPr>
            <w:r>
              <w:rPr>
                <w:rFonts w:ascii="Times New Roman" w:cs="Times New Roman" w:eastAsia="Times New Roman" w:hAnsi="Times New Roman"/>
                <w:sz w:val="14"/>
                <w:szCs w:val="14"/>
                <w:color w:val="auto"/>
              </w:rPr>
              <w:t>69,338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96,826</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0" w:type="dxa"/>
            <w:vAlign w:val="bottom"/>
          </w:tcPr>
          <w:p>
            <w:pPr>
              <w:spacing w:after="0"/>
              <w:rPr>
                <w:sz w:val="1"/>
                <w:szCs w:val="1"/>
                <w:color w:val="auto"/>
              </w:rPr>
            </w:pPr>
          </w:p>
        </w:tc>
      </w:tr>
      <w:tr>
        <w:trPr>
          <w:trHeight w:val="188"/>
        </w:trPr>
        <w:tc>
          <w:tcPr>
            <w:tcW w:w="3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Shares 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w:t>
            </w:r>
          </w:p>
        </w:tc>
        <w:tc>
          <w:tcPr>
            <w:tcW w:w="1320" w:type="dxa"/>
            <w:vAlign w:val="bottom"/>
            <w:gridSpan w:val="2"/>
          </w:tcPr>
          <w:p>
            <w:pPr>
              <w:jc w:val="center"/>
              <w:ind w:left="769"/>
              <w:spacing w:after="0"/>
              <w:rPr>
                <w:sz w:val="20"/>
                <w:szCs w:val="20"/>
                <w:color w:val="auto"/>
              </w:rPr>
            </w:pPr>
            <w:r>
              <w:rPr>
                <w:rFonts w:ascii="Times New Roman" w:cs="Times New Roman" w:eastAsia="Times New Roman" w:hAnsi="Times New Roman"/>
                <w:sz w:val="14"/>
                <w:szCs w:val="14"/>
                <w:color w:val="auto"/>
              </w:rPr>
              <w:t>96,380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16,978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w:t>
            </w:r>
          </w:p>
        </w:tc>
        <w:tc>
          <w:tcPr>
            <w:tcW w:w="0" w:type="dxa"/>
            <w:vAlign w:val="bottom"/>
          </w:tcPr>
          <w:p>
            <w:pPr>
              <w:spacing w:after="0"/>
              <w:rPr>
                <w:sz w:val="1"/>
                <w:szCs w:val="1"/>
                <w:color w:val="auto"/>
              </w:rPr>
            </w:pPr>
          </w:p>
        </w:tc>
      </w:tr>
      <w:tr>
        <w:trPr>
          <w:trHeight w:val="185"/>
        </w:trPr>
        <w:tc>
          <w:tcPr>
            <w:tcW w:w="3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Shares vested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(44,134)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23.07</w:t>
            </w:r>
          </w:p>
        </w:tc>
        <w:tc>
          <w:tcPr>
            <w:tcW w:w="0" w:type="dxa"/>
            <w:vAlign w:val="bottom"/>
          </w:tcPr>
          <w:p>
            <w:pPr>
              <w:spacing w:after="0"/>
              <w:rPr>
                <w:sz w:val="1"/>
                <w:szCs w:val="1"/>
                <w:color w:val="auto"/>
              </w:rPr>
            </w:pPr>
          </w:p>
        </w:tc>
      </w:tr>
      <w:tr>
        <w:trPr>
          <w:trHeight w:val="181"/>
        </w:trPr>
        <w:tc>
          <w:tcPr>
            <w:tcW w:w="34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Shares forfeited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21.97</w:t>
            </w:r>
          </w:p>
        </w:tc>
        <w:tc>
          <w:tcPr>
            <w:tcW w:w="8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21.66</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25.62</w:t>
            </w:r>
          </w:p>
        </w:tc>
        <w:tc>
          <w:tcPr>
            <w:tcW w:w="0" w:type="dxa"/>
            <w:vAlign w:val="bottom"/>
          </w:tcPr>
          <w:p>
            <w:pPr>
              <w:spacing w:after="0"/>
              <w:rPr>
                <w:sz w:val="1"/>
                <w:szCs w:val="1"/>
                <w:color w:val="auto"/>
              </w:rPr>
            </w:pPr>
          </w:p>
        </w:tc>
      </w:tr>
      <w:tr>
        <w:trPr>
          <w:trHeight w:val="202"/>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the period balance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124,747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1320" w:type="dxa"/>
            <w:vAlign w:val="bottom"/>
            <w:gridSpan w:val="2"/>
            <w:shd w:val="clear" w:color="auto" w:fill="CCEEFF"/>
          </w:tcPr>
          <w:p>
            <w:pPr>
              <w:jc w:val="center"/>
              <w:ind w:left="789"/>
              <w:spacing w:after="0"/>
              <w:rPr>
                <w:sz w:val="20"/>
                <w:szCs w:val="20"/>
                <w:color w:val="auto"/>
              </w:rPr>
            </w:pPr>
            <w:r>
              <w:rPr>
                <w:rFonts w:ascii="Times New Roman" w:cs="Times New Roman" w:eastAsia="Times New Roman" w:hAnsi="Times New Roman"/>
                <w:sz w:val="14"/>
                <w:szCs w:val="14"/>
                <w:color w:val="auto"/>
              </w:rPr>
              <w:t>120,577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21.36</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69,338</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5"/>
        </w:trPr>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68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18" w:name="page119"/>
    <w:bookmarkEnd w:id="118"/>
    <w:p>
      <w:pPr>
        <w:jc w:val="both"/>
        <w:spacing w:after="0" w:line="288" w:lineRule="auto"/>
        <w:rPr>
          <w:sz w:val="20"/>
          <w:szCs w:val="20"/>
          <w:color w:val="auto"/>
        </w:rPr>
      </w:pPr>
      <w:r>
        <w:rPr>
          <w:rFonts w:ascii="Times New Roman" w:cs="Times New Roman" w:eastAsia="Times New Roman" w:hAnsi="Times New Roman"/>
          <w:sz w:val="14"/>
          <w:szCs w:val="14"/>
          <w:color w:val="auto"/>
        </w:rPr>
        <w:t>Table 13.2 summarizes information about unvested PSUs. The weighted average grant date fair value is based on the fair value at the time of grant. The vesting of PSUs is subject to achievement of specified performance targets and continued employment.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Table 13.2: Unvested Performance Share Activity</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0" w:type="dxa"/>
            <w:vAlign w:val="bottom"/>
          </w:tcPr>
          <w:p>
            <w:pPr>
              <w:spacing w:after="0"/>
              <w:rPr>
                <w:sz w:val="1"/>
                <w:szCs w:val="1"/>
                <w:color w:val="auto"/>
              </w:rPr>
            </w:pPr>
          </w:p>
        </w:tc>
      </w:tr>
      <w:tr>
        <w:trPr>
          <w:trHeight w:val="138"/>
        </w:trPr>
        <w:tc>
          <w:tcPr>
            <w:tcW w:w="8700" w:type="dxa"/>
            <w:vAlign w:val="bottom"/>
          </w:tcPr>
          <w:p>
            <w:pPr>
              <w:spacing w:after="0"/>
              <w:rPr>
                <w:sz w:val="12"/>
                <w:szCs w:val="12"/>
                <w:color w:val="auto"/>
              </w:rPr>
            </w:pPr>
          </w:p>
        </w:tc>
        <w:tc>
          <w:tcPr>
            <w:tcW w:w="12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9"/>
              <w:spacing w:after="0" w:line="139"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81"/>
        </w:trPr>
        <w:tc>
          <w:tcPr>
            <w:tcW w:w="87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18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Beginning of the period balance</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8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 granted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197"/>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End of the period balance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Table 13.2 shows the target number of PSUs awarded. Vesting of the PSUs is based on achievement of the Company’s three-year average return on average assets for the performance period ended December 31, 2027 relative to a peer group of publicly traded banks and bank holding companies utilizing the S&amp;P Global Broad Market Index - Western Region. If the Company’s performance is at the 60th percentile, 70th percentile, and 80th percentile or higher, the recipients are entitled to receive 50%, 100%, and 150% of their target award grant, respectively. Based on current performance estimates, the Company estimates that the number of shares vested could be 150% of the target award, or 34,665 shares, with approximately $814,000 of related unrecognized compensation expense. The weighted average term remaining on unvested PSUs is 2.00 years.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Shareholders’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During the year ended December 31, 2025, the Company declared cash dividends on its common shares totaling $17,085,000. During the year ended December 31, 2024, the Company declared cash dividends on its common shares totaling $16,243,000. During the year ended December 31, 2023, the Company declared cash dividends on its common shares totaling $12,943,000.</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Commitments and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with Off-Balance Sheet Risk</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Off-balance sheet risk to credit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4"/>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amounts of unfunded loan commitments and standby letters of credit not reflected in the consolidated balance sheets are shown in Table 15.1.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31"/>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15.1: Unfunded Loan Commitments and Standby Letters of Credit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4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r>
      <w:tr>
        <w:trPr>
          <w:trHeight w:val="177"/>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lines of credit</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287,988</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230,063</w:t>
            </w:r>
          </w:p>
        </w:tc>
      </w:tr>
      <w:tr>
        <w:trPr>
          <w:trHeight w:val="188"/>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Undisbursed commercial real estate loans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98,508</w:t>
            </w:r>
          </w:p>
        </w:tc>
      </w:tr>
      <w:tr>
        <w:trPr>
          <w:trHeight w:val="185"/>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Undisbursed construction loans</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74,671</w:t>
            </w:r>
          </w:p>
        </w:tc>
      </w:tr>
      <w:tr>
        <w:trPr>
          <w:trHeight w:val="181"/>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Agricultural lines of credit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21,155</w:t>
            </w:r>
          </w:p>
        </w:tc>
      </w:tr>
      <w:tr>
        <w:trPr>
          <w:trHeight w:val="192"/>
        </w:trPr>
        <w:tc>
          <w:tcPr>
            <w:tcW w:w="8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Undisbursed residential real estate loans</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7,225</w:t>
            </w:r>
          </w:p>
        </w:tc>
      </w:tr>
      <w:tr>
        <w:trPr>
          <w:trHeight w:val="181"/>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Undisbursed agricultural real estate loans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8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w:t>
            </w:r>
          </w:p>
        </w:tc>
      </w:tr>
      <w:tr>
        <w:trPr>
          <w:trHeight w:val="182"/>
        </w:trPr>
        <w:tc>
          <w:tcPr>
            <w:tcW w:w="8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Total commitments and standby letters of credit</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503,265</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433,595</w:t>
            </w:r>
          </w:p>
        </w:tc>
      </w:tr>
      <w:tr>
        <w:trPr>
          <w:trHeight w:val="20"/>
        </w:trPr>
        <w:tc>
          <w:tcPr>
            <w:tcW w:w="4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$697,000 and $747,000 as of December 31, 2025 and 2024, respectively, which is recorded in “Interest payable and other liabilities” in the consolidated balance sheets.</w:t>
      </w:r>
    </w:p>
    <w:p>
      <w:pPr>
        <w:spacing w:after="0" w:line="1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u w:val="single" w:color="auto"/>
          <w:color w:val="auto"/>
        </w:rPr>
        <w:t>Concentrations of credit risk</w:t>
      </w:r>
      <w:r>
        <w:rPr>
          <w:rFonts w:ascii="Times New Roman" w:cs="Times New Roman" w:eastAsia="Times New Roman" w:hAnsi="Times New Roman"/>
          <w:sz w:val="14"/>
          <w:szCs w:val="14"/>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management’s judgment, a concentration of loans exists in real estate related loans, which represented approximately 86.07% of the Company’s loan portfolio at December 31, 2025 and 86.41% of the Company’s loan portfolio at December 31, 2024.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u w:val="single" w:color="auto"/>
          <w:color w:val="auto"/>
        </w:rPr>
        <w:t>Deposit concentrations</w:t>
      </w:r>
      <w:r>
        <w:rPr>
          <w:rFonts w:ascii="Times New Roman" w:cs="Times New Roman" w:eastAsia="Times New Roman" w:hAnsi="Times New Roman"/>
          <w:sz w:val="14"/>
          <w:szCs w:val="14"/>
          <w:color w:val="auto"/>
        </w:rPr>
        <w:t>: At December 31, 2025, the Company had 129 deposit relationships that exceeded $5,000,000 each, totaling $2,558,312,000, or approximately 60.90% of total deposits. The Company’s largest single deposit relationship at December 31, 2025 totaled $290,000,000, or approximately 6.90% of total deposits. At December 31, 2024, the Company had 104 deposit relationships that exceeded $5,000,000 each, totaling $2,166,080,000, or approximately 60.88% of total deposits. The Company’s largest single deposit relationship at December 31, 2024 totaled $300,000,000, or approximately 8.43% of total deposits. Management maintains the Company’s liquidity position and lines of credit with correspondent banks to mitigate the risk of large withdrawals by this group of large depositors.</w:t>
      </w:r>
    </w:p>
    <w:p>
      <w:pPr>
        <w:spacing w:after="0" w:line="11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u w:val="single" w:color="auto"/>
          <w:color w:val="auto"/>
        </w:rPr>
        <w:t>Correspondent banking agreements</w:t>
      </w:r>
      <w:r>
        <w:rPr>
          <w:rFonts w:ascii="Times New Roman" w:cs="Times New Roman" w:eastAsia="Times New Roman" w:hAnsi="Times New Roman"/>
          <w:sz w:val="14"/>
          <w:szCs w:val="14"/>
          <w:color w:val="auto"/>
        </w:rPr>
        <w:t>: The Company maintains funds on deposit with other FDIC-insured financial institutions under correspondent banking agreements. Uninsured deposits through these agreements totaled $27,356,000 and $29,154,000 at December 31, 2025 and 2024, respectively.</w:t>
      </w:r>
    </w:p>
    <w:p>
      <w:pPr>
        <w:spacing w:after="0" w:line="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u w:val="single" w:color="auto"/>
          <w:color w:val="auto"/>
        </w:rPr>
        <w:t>Equity investments</w:t>
      </w:r>
      <w:r>
        <w:rPr>
          <w:rFonts w:ascii="Times New Roman" w:cs="Times New Roman" w:eastAsia="Times New Roman" w:hAnsi="Times New Roman"/>
          <w:sz w:val="14"/>
          <w:szCs w:val="14"/>
          <w:color w:val="auto"/>
        </w:rPr>
        <w:t>: The Company has committed to and is invested in a limited number of venture funds. As of December 31, 2025 and 2024, the balance of these investments totaled approximately $12,111,000 and $9,328,000, respectively. As of December 31, 2025 and 2024, the estimated remaining commitment for these funds totaled $13,695,000 and $10,833,000,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leases office space for its banking operations under non-cancelable operating leases of various terms. The leases expire at dates through 2036 and provide for renewal options from one to five years. In the normal course of business, it is expected that these leases will be renewed or replaced by leases on other properties. All leases include predefined rental increases over the term of the lease.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sublease agreement for space adjacent to the Redding location. The sublease has renewal terms extended to December 31, 2026.</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20" w:name="page121"/>
    <w:bookmarkEnd w:id="120"/>
    <w:p>
      <w:pPr>
        <w:jc w:val="both"/>
        <w:spacing w:after="0" w:line="281" w:lineRule="auto"/>
        <w:rPr>
          <w:sz w:val="20"/>
          <w:szCs w:val="20"/>
          <w:color w:val="auto"/>
        </w:rPr>
      </w:pPr>
      <w:r>
        <w:rPr>
          <w:rFonts w:ascii="Times New Roman" w:cs="Times New Roman" w:eastAsia="Times New Roman" w:hAnsi="Times New Roman"/>
          <w:sz w:val="14"/>
          <w:szCs w:val="14"/>
          <w:color w:val="auto"/>
        </w:rPr>
        <w:t>The Company leases its Sacramento administrative office from a partnership comprised of certain shareholders and members of the Company’s board of directors. The Sacramento administrative office lease extends through May 2026. Rent expense paid to the partnership was $33,000, $32,000, and $28,000 for the years ended December 31, 2025, 2024, and 2023, respectively, under this lease.</w:t>
      </w:r>
    </w:p>
    <w:p>
      <w:pPr>
        <w:spacing w:after="0" w:line="2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Until the opening of a full service branch in San Francisco in September 2024, the Company leased a temporary administrative office in San Francisco from an entity affiliated with a member of our board of directors. No rent expense was paid to this entity for the year ended December 31, 2025. Rent expense paid to this entity was $40,000 and $19,000 for the years ended December 31,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 Company’s ROUA and lease liability were $10,802,000 and $11,872,000,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15.2 presents the components of lease expense for the years shown.</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20"/>
        </w:trPr>
        <w:tc>
          <w:tcPr>
            <w:tcW w:w="6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15.2: Components of Lease Expense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2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2023</w:t>
            </w:r>
          </w:p>
        </w:tc>
      </w:tr>
      <w:tr>
        <w:trPr>
          <w:trHeight w:val="183"/>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expense</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44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420" w:type="dxa"/>
            <w:vAlign w:val="bottom"/>
            <w:gridSpan w:val="2"/>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r>
      <w:tr>
        <w:trPr>
          <w:trHeight w:val="181"/>
        </w:trPr>
        <w:tc>
          <w:tcPr>
            <w:tcW w:w="6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97"/>
        </w:trPr>
        <w:tc>
          <w:tcPr>
            <w:tcW w:w="65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lease expense</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w:t>
            </w: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Table 15.3 presents the weighted average operating lease term, discount rate, and operating cash flows at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Table 15.3: Other Lease Information</w:t>
            </w:r>
          </w:p>
        </w:tc>
        <w:tc>
          <w:tcPr>
            <w:tcW w:w="44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3"/>
        </w:trPr>
        <w:tc>
          <w:tcPr>
            <w:tcW w:w="6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(in thousands, except for average remaining lease term and discount rate)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December 31, 2025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December 31, 2024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December 31, 2023</w:t>
            </w:r>
          </w:p>
        </w:tc>
      </w:tr>
      <w:tr>
        <w:trPr>
          <w:trHeight w:val="183"/>
        </w:trPr>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 years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6.33 years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 years</w:t>
            </w:r>
          </w:p>
        </w:tc>
      </w:tr>
      <w:tr>
        <w:trPr>
          <w:trHeight w:val="181"/>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4.99 %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r>
      <w:tr>
        <w:trPr>
          <w:trHeight w:val="181"/>
        </w:trPr>
        <w:tc>
          <w:tcPr>
            <w:tcW w:w="6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flows for operating leases</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1,117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916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900</w:t>
            </w:r>
          </w:p>
        </w:tc>
      </w:tr>
      <w:tr>
        <w:trPr>
          <w:trHeight w:val="184"/>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ROUA obtained in exchange for operating lease liabilities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2,281</w:t>
            </w:r>
          </w:p>
        </w:tc>
      </w:tr>
      <w:tr>
        <w:trPr>
          <w:trHeight w:val="390"/>
        </w:trPr>
        <w:tc>
          <w:tcPr>
            <w:tcW w:w="81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Table 15.4 shows the future minimum lease payments under the Company’s operating lease arrangements as of December 31, 2025.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15.4: Future Minimum Lease Payments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4"/>
        </w:trPr>
        <w:tc>
          <w:tcPr>
            <w:tcW w:w="26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December 31, 2025</w:t>
            </w:r>
          </w:p>
        </w:tc>
      </w:tr>
      <w:tr>
        <w:trPr>
          <w:trHeight w:val="183"/>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5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w:t>
            </w:r>
          </w:p>
        </w:tc>
      </w:tr>
      <w:tr>
        <w:trPr>
          <w:trHeight w:val="181"/>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5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r>
      <w:tr>
        <w:trPr>
          <w:trHeight w:val="181"/>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520" w:type="dxa"/>
            <w:vAlign w:val="bottom"/>
            <w:shd w:val="clear" w:color="auto" w:fill="CCEEFF"/>
          </w:tcPr>
          <w:p>
            <w:pPr>
              <w:spacing w:after="0"/>
              <w:rPr>
                <w:sz w:val="15"/>
                <w:szCs w:val="15"/>
                <w:color w:val="auto"/>
              </w:rPr>
            </w:pPr>
          </w:p>
        </w:tc>
        <w:tc>
          <w:tcPr>
            <w:tcW w:w="3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w:t>
            </w:r>
          </w:p>
        </w:tc>
      </w:tr>
      <w:tr>
        <w:trPr>
          <w:trHeight w:val="188"/>
        </w:trPr>
        <w:tc>
          <w:tcPr>
            <w:tcW w:w="20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5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w:t>
            </w:r>
          </w:p>
        </w:tc>
      </w:tr>
      <w:tr>
        <w:trPr>
          <w:trHeight w:val="185"/>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5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r>
      <w:tr>
        <w:trPr>
          <w:trHeight w:val="181"/>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Thereafter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5,231</w:t>
            </w:r>
          </w:p>
        </w:tc>
      </w:tr>
      <w:tr>
        <w:trPr>
          <w:trHeight w:val="182"/>
        </w:trPr>
        <w:tc>
          <w:tcPr>
            <w:tcW w:w="6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expected operating lease payments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14,513</w:t>
            </w:r>
          </w:p>
        </w:tc>
      </w:tr>
      <w:tr>
        <w:trPr>
          <w:trHeight w:val="181"/>
        </w:trPr>
        <w:tc>
          <w:tcPr>
            <w:tcW w:w="65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Discount for present value of expected cash flows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w:t>
            </w:r>
          </w:p>
        </w:tc>
      </w:tr>
      <w:tr>
        <w:trPr>
          <w:trHeight w:val="192"/>
        </w:trPr>
        <w:tc>
          <w:tcPr>
            <w:tcW w:w="6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liability at December 31, 2025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11,872</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Litigation Matters</w:t>
      </w:r>
    </w:p>
    <w:p>
      <w:pPr>
        <w:spacing w:after="0" w:line="15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color w:val="auto"/>
        </w:rPr>
        <w:t>Note 16: Capital Requirements and Restrictions on Retained Earnings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and the Bank are subject to various regulatory capital requirements administered by federal and state banking agencies. Failure to meet minimum capital requirements as set forth in Tables 16.1 and 16.2 can initiate certain mandatory and possibly additional discretionary actions by regulators that, if undertaken, could have a direct material effect on the Company’s consolidated financial statements.</w:t>
      </w:r>
    </w:p>
    <w:p>
      <w:pPr>
        <w:spacing w:after="0" w:line="11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w:t>
      </w:r>
    </w:p>
    <w:p>
      <w:pPr>
        <w:spacing w:after="0" w:line="9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capital amounts and the Bank’s prompt corrective action classifications are also subject to qualitative judgments by the regulators about components, risk weightings, and other factors. Prompt corrective action provisions are generally not applicable to bank holding companies. Quantitative measures established by regulation to ensure capital adequacy require the Company and the Bank to maintain minimum amounts and ratios (set forth in Tables 16.1 and 16.2) of total capital, Tier 1 capital, and common equity Tier 1 capital (as defined in the regulations) to risk-weighted assets and of Tier 1 capital to average assets.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 and Bank are required to meet a common equity Tier 1 capital to risk-weighted assets ratio of at least 7.0% (a minimum of 4.5% plus a capital conservation buffer of 2.5%), a Tier 1 capital to risk-weighted assets ratio of at least 8.5% (a minimum of 6.0% plus a capital conservation buffer of 2.5%), a total capital to risk-weighted assets ratio of at least 10.5% (a minimum of 8.0% plus a capital conservation buffer of 2.5%), and a Tier 1 leverage ratio of at least 4.0%. Management believes that, as of December 31, 2025, the Company and the Bank met all capital adequacy requirements to which they are subject.</w:t>
      </w:r>
    </w:p>
    <w:p>
      <w:pPr>
        <w:spacing w:after="0" w:line="1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2025, the Bank was categorized as “well-capitalized” under the regulatory framework for prompt corrective action. To be categorized as “well-capitalized,” an institution must maintain minimum total risk-based, Tier 1 risk-based, and Tier 1 leverage ratios as set forth in Table 16.2. There are no conditions or events since that categorization that management believes have changed the Bank’s category.</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principal source of cash for the Company is dividends from the Bank. Dividends from the Bank to the Company are restricted under California law to the lesser of: (i) the Bank’s retained earnings; or (ii) the Bank’s net income for the latest three fiscal years, less dividends previously declared during that period. As of December 31, 2025 and 2024, the maximum amount available for dividend distribution under this restriction was approximately $103,758,000 and $94,595,000, respectively. If a proposed dividend exceeds the limit, the Bank may still pay a dividend to the Holding Company if it obtains approval from the DFPI and the dividend does not exceed the greater of: (i) the retained earnings of the Bank; (ii) the net income of the Bank for its last fiscal year; or (iii) the net income of the Bank for its current fiscal year.</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and the Bank’s actual capital amounts and ratios as of December 31, 2025 and 2024 are presented in Tables 16.1 and 16.2. As of December 31, 2025 and 2024, Bancorp’s Tier 2 capital included subordinated notes, which were not included at the bank level. Eligible amounts of subordinated notes included in Tier 2 capital will be phased out by 20% per year beginning five years before the maturity date of the notes.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16.1: Capital Ratios for Bancorp</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6"/>
        </w:trPr>
        <w:tc>
          <w:tcPr>
            <w:tcW w:w="22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Required for Capital Adequacy Purposes</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24"/>
                <w:szCs w:val="24"/>
                <w:color w:val="auto"/>
              </w:rPr>
            </w:pPr>
          </w:p>
        </w:tc>
        <w:tc>
          <w:tcPr>
            <w:tcW w:w="2380" w:type="dxa"/>
            <w:vAlign w:val="bottom"/>
            <w:gridSpan w:val="3"/>
          </w:tcPr>
          <w:p>
            <w:pPr>
              <w:ind w:left="200"/>
              <w:spacing w:after="0"/>
              <w:rPr>
                <w:sz w:val="20"/>
                <w:szCs w:val="20"/>
                <w:color w:val="auto"/>
              </w:rPr>
            </w:pPr>
            <w:r>
              <w:rPr>
                <w:rFonts w:ascii="Times New Roman" w:cs="Times New Roman" w:eastAsia="Times New Roman" w:hAnsi="Times New Roman"/>
                <w:sz w:val="14"/>
                <w:szCs w:val="14"/>
                <w:color w:val="auto"/>
              </w:rPr>
              <w:t>Ratio to be Well-Capitalized under</w:t>
            </w:r>
          </w:p>
        </w:tc>
        <w:tc>
          <w:tcPr>
            <w:tcW w:w="0" w:type="dxa"/>
            <w:vAlign w:val="bottom"/>
          </w:tcPr>
          <w:p>
            <w:pPr>
              <w:spacing w:after="0"/>
              <w:rPr>
                <w:sz w:val="1"/>
                <w:szCs w:val="1"/>
                <w:color w:val="auto"/>
              </w:rPr>
            </w:pPr>
          </w:p>
        </w:tc>
      </w:tr>
      <w:tr>
        <w:trPr>
          <w:trHeight w:val="185"/>
        </w:trPr>
        <w:tc>
          <w:tcPr>
            <w:tcW w:w="2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color w:val="auto"/>
              </w:rPr>
              <w:t>Actual Ratio</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color w:val="auto"/>
              </w:rPr>
              <w:t>Prompt Corrective Action Provisions</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Pr>
          <w:p>
            <w:pPr>
              <w:spacing w:after="0"/>
              <w:rPr>
                <w:sz w:val="16"/>
                <w:szCs w:val="16"/>
                <w:color w:val="auto"/>
              </w:rPr>
            </w:pPr>
          </w:p>
        </w:tc>
        <w:tc>
          <w:tcPr>
            <w:tcW w:w="12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0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99"/>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572,874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13.33 %</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343,779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Pr>
          <w:p>
            <w:pPr>
              <w:spacing w:after="0"/>
              <w:rPr>
                <w:sz w:val="16"/>
                <w:szCs w:val="16"/>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6"/>
                <w:szCs w:val="16"/>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454,830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10.58 %</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7"/>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454,830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10.58 %</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193,376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7"/>
                <w:szCs w:val="17"/>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8"/>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454,830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9.70 %</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187,499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7"/>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519,722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13.99 %</w:t>
            </w:r>
          </w:p>
        </w:tc>
        <w:tc>
          <w:tcPr>
            <w:tcW w:w="3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7"/>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222,940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1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7"/>
                <w:szCs w:val="17"/>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08"/>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11.02 %</w:t>
            </w:r>
          </w:p>
        </w:tc>
        <w:tc>
          <w:tcPr>
            <w:tcW w:w="3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167,205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191"/>
        </w:trPr>
        <w:tc>
          <w:tcPr>
            <w:tcW w:w="3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10.05 %</w:t>
            </w:r>
          </w:p>
        </w:tc>
        <w:tc>
          <w:tcPr>
            <w:tcW w:w="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162,960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100" w:type="dxa"/>
            <w:vAlign w:val="bottom"/>
          </w:tcPr>
          <w:p>
            <w:pPr>
              <w:spacing w:after="0"/>
              <w:rPr>
                <w:sz w:val="16"/>
                <w:szCs w:val="16"/>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N/A</w:t>
            </w:r>
          </w:p>
        </w:tc>
        <w:tc>
          <w:tcPr>
            <w:tcW w:w="80" w:type="dxa"/>
            <w:vAlign w:val="bottom"/>
          </w:tcPr>
          <w:p>
            <w:pPr>
              <w:spacing w:after="0"/>
              <w:rPr>
                <w:sz w:val="16"/>
                <w:szCs w:val="16"/>
                <w:color w:val="auto"/>
              </w:rPr>
            </w:pPr>
          </w:p>
        </w:tc>
        <w:tc>
          <w:tcPr>
            <w:tcW w:w="108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bl>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16.2: Capital Ratios for the Bank</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6"/>
        </w:trPr>
        <w:tc>
          <w:tcPr>
            <w:tcW w:w="222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Required for Capital Adequacy Purposes</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24"/>
                <w:szCs w:val="24"/>
                <w:color w:val="auto"/>
              </w:rPr>
            </w:pPr>
          </w:p>
        </w:tc>
        <w:tc>
          <w:tcPr>
            <w:tcW w:w="248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Ratio to be Well-Capitalized under Prompt</w:t>
            </w:r>
          </w:p>
        </w:tc>
        <w:tc>
          <w:tcPr>
            <w:tcW w:w="0" w:type="dxa"/>
            <w:vAlign w:val="bottom"/>
          </w:tcPr>
          <w:p>
            <w:pPr>
              <w:spacing w:after="0"/>
              <w:rPr>
                <w:sz w:val="1"/>
                <w:szCs w:val="1"/>
                <w:color w:val="auto"/>
              </w:rPr>
            </w:pPr>
          </w:p>
        </w:tc>
      </w:tr>
      <w:tr>
        <w:trPr>
          <w:trHeight w:val="185"/>
        </w:trPr>
        <w:tc>
          <w:tcPr>
            <w:tcW w:w="2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color w:val="auto"/>
              </w:rPr>
              <w:t>Actual Ratio</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Borders>
              <w:bottom w:val="single" w:sz="8" w:color="auto"/>
            </w:tcBorders>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color w:val="auto"/>
              </w:rPr>
              <w:t>Corrective Action Provisions</w:t>
            </w:r>
          </w:p>
        </w:tc>
        <w:tc>
          <w:tcPr>
            <w:tcW w:w="0" w:type="dxa"/>
            <w:vAlign w:val="bottom"/>
          </w:tcPr>
          <w:p>
            <w:pPr>
              <w:spacing w:after="0"/>
              <w:rPr>
                <w:sz w:val="1"/>
                <w:szCs w:val="1"/>
                <w:color w:val="auto"/>
              </w:rPr>
            </w:pPr>
          </w:p>
        </w:tc>
      </w:tr>
      <w:tr>
        <w:trPr>
          <w:trHeight w:val="187"/>
        </w:trPr>
        <w:tc>
          <w:tcPr>
            <w:tcW w:w="3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6"/>
                <w:szCs w:val="16"/>
                <w:color w:val="auto"/>
              </w:rPr>
            </w:pPr>
          </w:p>
        </w:tc>
        <w:tc>
          <w:tcPr>
            <w:tcW w:w="11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99"/>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554,071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12.92 %</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342,984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510,067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11.89 %</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257,238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19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510,067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11.89 %</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192,928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278,674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0" w:type="dxa"/>
            <w:vAlign w:val="bottom"/>
          </w:tcPr>
          <w:p>
            <w:pPr>
              <w:spacing w:after="0"/>
              <w:rPr>
                <w:sz w:val="1"/>
                <w:szCs w:val="1"/>
                <w:color w:val="auto"/>
              </w:rPr>
            </w:pPr>
          </w:p>
        </w:tc>
      </w:tr>
      <w:tr>
        <w:trPr>
          <w:trHeight w:val="208"/>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10.89 %</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187,409</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234,261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r>
        <w:trPr>
          <w:trHeight w:val="19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504,896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13.59 %</w:t>
            </w:r>
          </w:p>
        </w:tc>
        <w:tc>
          <w:tcPr>
            <w:tcW w:w="320" w:type="dxa"/>
            <w:vAlign w:val="bottom"/>
            <w:tcBorders>
              <w:bottom w:val="single" w:sz="8" w:color="CCEEFF"/>
            </w:tcBorders>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371,520</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197"/>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capital (to risk-weighted assets)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8.00 %</w:t>
            </w:r>
          </w:p>
        </w:tc>
        <w:tc>
          <w:tcPr>
            <w:tcW w:w="0" w:type="dxa"/>
            <w:vAlign w:val="bottom"/>
          </w:tcPr>
          <w:p>
            <w:pPr>
              <w:spacing w:after="0"/>
              <w:rPr>
                <w:sz w:val="1"/>
                <w:szCs w:val="1"/>
                <w:color w:val="auto"/>
              </w:rPr>
            </w:pPr>
          </w:p>
        </w:tc>
      </w:tr>
      <w:tr>
        <w:trPr>
          <w:trHeight w:val="208"/>
        </w:trPr>
        <w:tc>
          <w:tcPr>
            <w:tcW w:w="3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capital (to risk-weighted assets)</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12.61 %</w:t>
            </w:r>
          </w:p>
        </w:tc>
        <w:tc>
          <w:tcPr>
            <w:tcW w:w="3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167,184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6.50 %</w:t>
            </w:r>
          </w:p>
        </w:tc>
        <w:tc>
          <w:tcPr>
            <w:tcW w:w="0" w:type="dxa"/>
            <w:vAlign w:val="bottom"/>
          </w:tcPr>
          <w:p>
            <w:pPr>
              <w:spacing w:after="0"/>
              <w:rPr>
                <w:sz w:val="1"/>
                <w:szCs w:val="1"/>
                <w:color w:val="auto"/>
              </w:rPr>
            </w:pPr>
          </w:p>
        </w:tc>
      </w:tr>
      <w:tr>
        <w:trPr>
          <w:trHeight w:val="191"/>
        </w:trPr>
        <w:tc>
          <w:tcPr>
            <w:tcW w:w="3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Tier 1 leverage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11.50 %</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162,942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203,677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5.00 %</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p>
    <w:p>
      <w:pPr>
        <w:spacing w:after="0" w:line="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listed capital adequacy ratios exclude capital conservation buffers.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32" w:right="298"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6"/>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17: Fair Value of Assets and Liabilities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71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Table 17.1 summarizes the Company’s assets and liabilities that were required to be recorded at fair value on a recurring basis.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17.1: Fair Value on a Recurring Basis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80" w:type="dxa"/>
            <w:vAlign w:val="bottom"/>
            <w:tcBorders>
              <w:top w:val="single" w:sz="8" w:color="auto"/>
            </w:tcBorders>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Quoted Prices in Active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Significant Other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color w:val="auto"/>
              </w:rPr>
              <w:t>Significant</w:t>
            </w:r>
          </w:p>
        </w:tc>
        <w:tc>
          <w:tcPr>
            <w:tcW w:w="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Measurement</w:t>
            </w:r>
          </w:p>
        </w:tc>
        <w:tc>
          <w:tcPr>
            <w:tcW w:w="0" w:type="dxa"/>
            <w:vAlign w:val="bottom"/>
          </w:tcPr>
          <w:p>
            <w:pPr>
              <w:spacing w:after="0"/>
              <w:rPr>
                <w:sz w:val="1"/>
                <w:szCs w:val="1"/>
                <w:color w:val="auto"/>
              </w:rPr>
            </w:pPr>
          </w:p>
        </w:tc>
      </w:tr>
      <w:tr>
        <w:trPr>
          <w:trHeight w:val="145"/>
        </w:trPr>
        <w:tc>
          <w:tcPr>
            <w:tcW w:w="24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49"/>
              <w:spacing w:after="0" w:line="145" w:lineRule="exact"/>
              <w:rPr>
                <w:sz w:val="20"/>
                <w:szCs w:val="20"/>
                <w:color w:val="auto"/>
              </w:rPr>
            </w:pPr>
            <w:r>
              <w:rPr>
                <w:rFonts w:ascii="Times New Roman" w:cs="Times New Roman" w:eastAsia="Times New Roman" w:hAnsi="Times New Roman"/>
                <w:sz w:val="14"/>
                <w:szCs w:val="14"/>
                <w:color w:val="auto"/>
              </w:rPr>
              <w:t>Markets for Identical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color w:val="auto"/>
              </w:rPr>
              <w:t>Carrying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9"/>
              <w:spacing w:after="0" w:line="143" w:lineRule="exact"/>
              <w:rPr>
                <w:sz w:val="20"/>
                <w:szCs w:val="20"/>
                <w:color w:val="auto"/>
              </w:rPr>
            </w:pPr>
            <w:r>
              <w:rPr>
                <w:rFonts w:ascii="Times New Roman" w:cs="Times New Roman" w:eastAsia="Times New Roman" w:hAnsi="Times New Roman"/>
                <w:sz w:val="14"/>
                <w:szCs w:val="14"/>
                <w:color w:val="auto"/>
              </w:rPr>
              <w:t>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29"/>
              <w:spacing w:after="0" w:line="143" w:lineRule="exact"/>
              <w:rPr>
                <w:sz w:val="20"/>
                <w:szCs w:val="20"/>
                <w:color w:val="auto"/>
              </w:rPr>
            </w:pPr>
            <w:r>
              <w:rPr>
                <w:rFonts w:ascii="Times New Roman" w:cs="Times New Roman" w:eastAsia="Times New Roman" w:hAnsi="Times New Roman"/>
                <w:sz w:val="14"/>
                <w:szCs w:val="14"/>
                <w:color w:val="auto"/>
                <w:w w:val="99"/>
              </w:rPr>
              <w:t>Observable Inputs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29"/>
              <w:spacing w:after="0" w:line="143" w:lineRule="exact"/>
              <w:rPr>
                <w:sz w:val="20"/>
                <w:szCs w:val="20"/>
                <w:color w:val="auto"/>
              </w:rPr>
            </w:pPr>
            <w:r>
              <w:rPr>
                <w:rFonts w:ascii="Times New Roman" w:cs="Times New Roman" w:eastAsia="Times New Roman" w:hAnsi="Times New Roman"/>
                <w:sz w:val="14"/>
                <w:szCs w:val="14"/>
                <w:color w:val="auto"/>
              </w:rPr>
              <w:t>Unobservable Inputs</w:t>
            </w:r>
          </w:p>
        </w:tc>
        <w:tc>
          <w:tcPr>
            <w:tcW w:w="100" w:type="dxa"/>
            <w:vAlign w:val="bottom"/>
          </w:tcPr>
          <w:p>
            <w:pPr>
              <w:spacing w:after="0"/>
              <w:rPr>
                <w:sz w:val="12"/>
                <w:szCs w:val="12"/>
                <w:color w:val="auto"/>
              </w:rPr>
            </w:pPr>
          </w:p>
        </w:tc>
        <w:tc>
          <w:tcPr>
            <w:tcW w:w="13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Categories: Changes in</w:t>
            </w:r>
          </w:p>
        </w:tc>
        <w:tc>
          <w:tcPr>
            <w:tcW w:w="0" w:type="dxa"/>
            <w:vAlign w:val="bottom"/>
          </w:tcPr>
          <w:p>
            <w:pPr>
              <w:spacing w:after="0"/>
              <w:rPr>
                <w:sz w:val="1"/>
                <w:szCs w:val="1"/>
                <w:color w:val="auto"/>
              </w:rPr>
            </w:pPr>
          </w:p>
        </w:tc>
      </w:tr>
      <w:tr>
        <w:trPr>
          <w:trHeight w:val="181"/>
        </w:trPr>
        <w:tc>
          <w:tcPr>
            <w:tcW w:w="426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(Level 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(Level 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(Level 3)</w:t>
            </w: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Fair Value Recorded In</w:t>
            </w:r>
          </w:p>
        </w:tc>
        <w:tc>
          <w:tcPr>
            <w:tcW w:w="0" w:type="dxa"/>
            <w:vAlign w:val="bottom"/>
          </w:tcPr>
          <w:p>
            <w:pPr>
              <w:spacing w:after="0"/>
              <w:rPr>
                <w:sz w:val="1"/>
                <w:szCs w:val="1"/>
                <w:color w:val="auto"/>
              </w:rPr>
            </w:pPr>
          </w:p>
        </w:tc>
      </w:tr>
      <w:tr>
        <w:trPr>
          <w:trHeight w:val="182"/>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6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60" w:type="dxa"/>
            <w:vAlign w:val="bottom"/>
            <w:gridSpan w:val="2"/>
          </w:tcPr>
          <w:p>
            <w:pPr>
              <w:ind w:left="18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r>
        <w:trPr>
          <w:trHeight w:val="213"/>
        </w:trPr>
        <w:tc>
          <w:tcPr>
            <w:tcW w:w="2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260" w:type="dxa"/>
            <w:vAlign w:val="bottom"/>
            <w:gridSpan w:val="2"/>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U.S. government agency securities, mortgage-backed securities,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60" w:type="dxa"/>
            <w:vAlign w:val="bottom"/>
            <w:gridSpan w:val="2"/>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obligations of states and political subdivisions, collateralized mortgage</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obligations, and corporate bonds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OCI</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December 31, 2025 and 2024, there were no Level 1 available-for-sale securities and no transfers between Level 1 and Level 2 classifications for assets or liabilities measured at fair value on a recurring basis.</w:t>
      </w:r>
    </w:p>
    <w:p>
      <w:pPr>
        <w:spacing w:after="0" w:line="1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Company’s investment portfolio service bureau has developed a model for pricing available-for-sale debt securities. Information such as historical and current performance of the underlying collateral, deferral/default rates, collateral coverage ratios, break-even yield calculations, cash flow projections, liquidity, and credit premiums required by a market participant, as well as financial trend analysis with respect to the individual issuing financial institutions and insurance companies, are utilized in determining individual security valuations. Due to current market conditions, as well as the limited trading activity of the securities, the market value of the securities is highly sensitive to assumption changes and market volatility.</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fair value of collateral dependent impaired loans and other real estate is generally based on recent real estate appraisals. These appraisals may utilize a single valuation approach or a combination of approaches including comparable sales and the income approach. Adjustments are routinely made in the appraisal process by the appraisers to adjust for differences between the comparable sales and income data available. Management also incorporates assumptions regarding market trends or other relevant factors and selling and commission costs ranging from 5.00% to 7.00%. Such adjustments and assumptions are typically significant and result in a Level 3 classification of the inputs for determining fair value.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24" w:name="page125"/>
    <w:bookmarkEnd w:id="124"/>
    <w:p>
      <w:pPr>
        <w:jc w:val="both"/>
        <w:spacing w:after="0" w:line="271" w:lineRule="auto"/>
        <w:rPr>
          <w:sz w:val="20"/>
          <w:szCs w:val="20"/>
          <w:color w:val="auto"/>
        </w:rPr>
      </w:pPr>
      <w:r>
        <w:rPr>
          <w:rFonts w:ascii="Times New Roman" w:cs="Times New Roman" w:eastAsia="Times New Roman" w:hAnsi="Times New Roman"/>
          <w:sz w:val="14"/>
          <w:szCs w:val="14"/>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OREO. As of December 31, 2025 and 2024, the carrying amount of assets measured at fair value on a non-recurring basis was immaterial to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Disclosures about Fair Value of Financial Instruments</w:t>
      </w:r>
    </w:p>
    <w:p>
      <w:pPr>
        <w:spacing w:after="0" w:line="16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Table 17.2 is a summary of fair value estimates for financial instruments as of December 31, 2025 and 2024. These estimates are made at a specific point in time based on relevant market data and information about the financial instruments. These estimates do not reflect any premium or discount that could result from offering the Company’s entire holdings of a particular financial instrument for sale at one time, nor do they attempt to estimate the value of anticipated future business related to the instruments. In addition, the tax ramifications related to the realization of unrealized gains and losses can have a significant effect on fair value estimates and have not been considered in any of these estimates.</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Because no market exists for a significant portion of the Company’s financial instruments, fair value estimates are based on judgments regarding current economic conditions, risk characteristics of various financial instruments, and other factors. These estimates are subjective in nature and involve uncertainties and matters of significant judgment and therefore cannot be determined with precision. Changes in assumptions could significantly affect the fair values presented. The carrying amounts in Table 17.2 are recorded in the consolidated balance sheets under the indicated captions. Further, management has not disclosed the fair value of financial instruments specifically excluded from disclosure requirements, such as BOLI.</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Table 17.2: Fair Value Estimates for Financial Instruments</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2025</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ind w:left="240"/>
              <w:spacing w:after="0" w:line="141" w:lineRule="exact"/>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Carrying Amounts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Carrying Amounts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Fair Value</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Hierarchy</w:t>
            </w:r>
          </w:p>
        </w:tc>
        <w:tc>
          <w:tcPr>
            <w:tcW w:w="0" w:type="dxa"/>
            <w:vAlign w:val="bottom"/>
          </w:tcPr>
          <w:p>
            <w:pPr>
              <w:spacing w:after="0"/>
              <w:rPr>
                <w:sz w:val="1"/>
                <w:szCs w:val="1"/>
                <w:color w:val="auto"/>
              </w:rPr>
            </w:pPr>
          </w:p>
        </w:tc>
      </w:tr>
      <w:tr>
        <w:trPr>
          <w:trHeight w:val="172"/>
        </w:trPr>
        <w:tc>
          <w:tcPr>
            <w:tcW w:w="4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assets: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506,851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506,851</w:t>
            </w:r>
          </w:p>
        </w:tc>
        <w:tc>
          <w:tcPr>
            <w:tcW w:w="100" w:type="dxa"/>
            <w:vAlign w:val="bottom"/>
          </w:tcPr>
          <w:p>
            <w:pPr>
              <w:spacing w:after="0"/>
              <w:rPr>
                <w:sz w:val="16"/>
                <w:szCs w:val="16"/>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40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352,343</w:t>
            </w:r>
          </w:p>
        </w:tc>
        <w:tc>
          <w:tcPr>
            <w:tcW w:w="100" w:type="dxa"/>
            <w:vAlign w:val="bottom"/>
          </w:tcPr>
          <w:p>
            <w:pPr>
              <w:spacing w:after="0"/>
              <w:rPr>
                <w:sz w:val="16"/>
                <w:szCs w:val="16"/>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0" w:type="dxa"/>
            <w:vAlign w:val="bottom"/>
          </w:tcPr>
          <w:p>
            <w:pPr>
              <w:spacing w:after="0"/>
              <w:rPr>
                <w:sz w:val="1"/>
                <w:szCs w:val="1"/>
                <w:color w:val="auto"/>
              </w:rPr>
            </w:pPr>
          </w:p>
        </w:tc>
      </w:tr>
      <w:tr>
        <w:trPr>
          <w:trHeight w:val="185"/>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 in banks</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4,121</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1</w:t>
            </w:r>
          </w:p>
        </w:tc>
        <w:tc>
          <w:tcPr>
            <w:tcW w:w="0" w:type="dxa"/>
            <w:vAlign w:val="bottom"/>
          </w:tcPr>
          <w:p>
            <w:pPr>
              <w:spacing w:after="0"/>
              <w:rPr>
                <w:sz w:val="1"/>
                <w:szCs w:val="1"/>
                <w:color w:val="auto"/>
              </w:rPr>
            </w:pPr>
          </w:p>
        </w:tc>
      </w:tr>
      <w:tr>
        <w:trPr>
          <w:trHeight w:val="181"/>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Securities available-for-sale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94,699</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98,194</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92"/>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held-to-maturity</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r>
        <w:trPr>
          <w:trHeight w:val="181"/>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Pr>
          <w:p>
            <w:pPr>
              <w:spacing w:after="0"/>
              <w:rPr>
                <w:sz w:val="15"/>
                <w:szCs w:val="15"/>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1"/>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4,030,520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3,971,563</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3,494,895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3,412,032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r>
        <w:trPr>
          <w:trHeight w:val="188"/>
        </w:trPr>
        <w:tc>
          <w:tcPr>
            <w:tcW w:w="41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Financial liabilities: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Time deposits</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554,611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553,987</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669,078</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w w:val="98"/>
              </w:rPr>
              <w:t>Level 2</w:t>
            </w:r>
          </w:p>
        </w:tc>
        <w:tc>
          <w:tcPr>
            <w:tcW w:w="0" w:type="dxa"/>
            <w:vAlign w:val="bottom"/>
          </w:tcPr>
          <w:p>
            <w:pPr>
              <w:spacing w:after="0"/>
              <w:rPr>
                <w:sz w:val="1"/>
                <w:szCs w:val="1"/>
                <w:color w:val="auto"/>
              </w:rPr>
            </w:pPr>
          </w:p>
        </w:tc>
      </w:tr>
      <w:tr>
        <w:trPr>
          <w:trHeight w:val="184"/>
        </w:trPr>
        <w:tc>
          <w:tcPr>
            <w:tcW w:w="41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Subordinated notes</w:t>
            </w: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73,723</w:t>
            </w:r>
          </w:p>
        </w:tc>
        <w:tc>
          <w:tcPr>
            <w:tcW w:w="100" w:type="dxa"/>
            <w:vAlign w:val="bottom"/>
          </w:tcPr>
          <w:p>
            <w:pPr>
              <w:spacing w:after="0"/>
              <w:rPr>
                <w:sz w:val="16"/>
                <w:szCs w:val="16"/>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73,371</w:t>
            </w:r>
          </w:p>
        </w:tc>
        <w:tc>
          <w:tcPr>
            <w:tcW w:w="100" w:type="dxa"/>
            <w:vAlign w:val="bottom"/>
          </w:tcPr>
          <w:p>
            <w:pPr>
              <w:spacing w:after="0"/>
              <w:rPr>
                <w:sz w:val="16"/>
                <w:szCs w:val="16"/>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8"/>
              </w:rPr>
              <w:t>Level 3</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used the following methods and assumptions to estimate the fair value of its financial instruments at December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Cash and cash equivalents and time deposits in banks</w:t>
      </w:r>
      <w:r>
        <w:rPr>
          <w:rFonts w:ascii="Times New Roman" w:cs="Times New Roman" w:eastAsia="Times New Roman" w:hAnsi="Times New Roman"/>
          <w:sz w:val="14"/>
          <w:szCs w:val="14"/>
          <w:color w:val="auto"/>
        </w:rPr>
        <w:t>: The carrying amount is estimated to be fair value due to the liquid nature of the assets and their short-term maturities.</w:t>
      </w:r>
    </w:p>
    <w:p>
      <w:pPr>
        <w:spacing w:after="0" w:line="14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Investment securities</w:t>
      </w:r>
      <w:r>
        <w:rPr>
          <w:rFonts w:ascii="Times New Roman" w:cs="Times New Roman" w:eastAsia="Times New Roman" w:hAnsi="Times New Roman"/>
          <w:sz w:val="14"/>
          <w:szCs w:val="14"/>
          <w:color w:val="auto"/>
        </w:rPr>
        <w:t>: See discussion above for the methods and assumptions used by the Company to estimate the fair value of available-for-sale investment securities. The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Loans held for sale</w:t>
      </w:r>
      <w:r>
        <w:rPr>
          <w:rFonts w:ascii="Times New Roman" w:cs="Times New Roman" w:eastAsia="Times New Roman" w:hAnsi="Times New Roman"/>
          <w:sz w:val="14"/>
          <w:szCs w:val="14"/>
          <w:color w:val="auto"/>
        </w:rPr>
        <w:t>: The fair value is based on what secondary markets are currently offering for portfolios with similar characteristics.</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u w:val="single" w:color="auto"/>
          <w:color w:val="auto"/>
        </w:rPr>
        <w:t>Loans held for investment, net of allowance for credit losses</w:t>
      </w:r>
      <w:r>
        <w:rPr>
          <w:rFonts w:ascii="Times New Roman" w:cs="Times New Roman" w:eastAsia="Times New Roman" w:hAnsi="Times New Roman"/>
          <w:sz w:val="14"/>
          <w:szCs w:val="14"/>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color w:val="auto"/>
        </w:rPr>
        <w:t>approximates the exit price notion. The allowance for credit losses is considered to be a reasonable estimate of loan discount for credit quality concerns.</w:t>
      </w:r>
    </w:p>
    <w:p>
      <w:pPr>
        <w:spacing w:after="0" w:line="15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u w:val="single" w:color="auto"/>
          <w:color w:val="auto"/>
        </w:rPr>
        <w:t>Commitments to extend credit</w:t>
      </w:r>
      <w:r>
        <w:rPr>
          <w:rFonts w:ascii="Times New Roman" w:cs="Times New Roman" w:eastAsia="Times New Roman" w:hAnsi="Times New Roman"/>
          <w:sz w:val="14"/>
          <w:szCs w:val="14"/>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9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u w:val="single" w:color="auto"/>
          <w:color w:val="auto"/>
        </w:rPr>
        <w:t>Time deposits</w:t>
      </w:r>
      <w:r>
        <w:rPr>
          <w:rFonts w:ascii="Times New Roman" w:cs="Times New Roman" w:eastAsia="Times New Roman" w:hAnsi="Times New Roman"/>
          <w:sz w:val="14"/>
          <w:szCs w:val="14"/>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9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u w:val="single" w:color="auto"/>
          <w:color w:val="auto"/>
        </w:rPr>
        <w:t>Subordinated notes</w:t>
      </w:r>
      <w:r>
        <w:rPr>
          <w:rFonts w:ascii="Times New Roman" w:cs="Times New Roman" w:eastAsia="Times New Roman" w:hAnsi="Times New Roman"/>
          <w:sz w:val="14"/>
          <w:szCs w:val="14"/>
          <w:color w:val="auto"/>
        </w:rPr>
        <w:t>: The fair value is estimated by discounting the future cash flow using the current three-month CME Term SOFR. The Company’s subordinated notes are not registered securities and were issued through private placements, resulting in a Level 3 classification.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borrowings: The carrying amount is estimated to be fair value.</w:t>
            </w: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Note 18: Parent Company Only Condensed Financial Information</w:t>
            </w: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CONDENSED BALANCE SHEETS</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4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December 31, 2025 and 2024</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Table 18.1: Condensed Balance Sheets</w:t>
            </w: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80" w:type="dxa"/>
            <w:vAlign w:val="bottom"/>
            <w:gridSpan w:val="2"/>
          </w:tcPr>
          <w:p>
            <w:pPr>
              <w:spacing w:after="0"/>
              <w:rPr>
                <w:sz w:val="18"/>
                <w:szCs w:val="18"/>
                <w:color w:val="auto"/>
              </w:rPr>
            </w:pPr>
          </w:p>
        </w:tc>
        <w:tc>
          <w:tcPr>
            <w:tcW w:w="2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2025</w:t>
            </w: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72"/>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8,605</w:t>
            </w: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0" w:type="dxa"/>
            <w:vAlign w:val="bottom"/>
          </w:tcPr>
          <w:p>
            <w:pPr>
              <w:spacing w:after="0"/>
              <w:rPr>
                <w:sz w:val="1"/>
                <w:szCs w:val="1"/>
                <w:color w:val="auto"/>
              </w:rPr>
            </w:pPr>
          </w:p>
        </w:tc>
      </w:tr>
      <w:tr>
        <w:trPr>
          <w:trHeight w:val="192"/>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 in banking subsidiary</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501,068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455,693</w:t>
            </w:r>
          </w:p>
        </w:tc>
        <w:tc>
          <w:tcPr>
            <w:tcW w:w="0" w:type="dxa"/>
            <w:vAlign w:val="bottom"/>
          </w:tcPr>
          <w:p>
            <w:pPr>
              <w:spacing w:after="0"/>
              <w:rPr>
                <w:sz w:val="1"/>
                <w:szCs w:val="1"/>
                <w:color w:val="auto"/>
              </w:rPr>
            </w:pPr>
          </w:p>
        </w:tc>
      </w:tr>
      <w:tr>
        <w:trPr>
          <w:trHeight w:val="181"/>
        </w:trPr>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8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12,004</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0" w:type="dxa"/>
            <w:vAlign w:val="bottom"/>
          </w:tcPr>
          <w:p>
            <w:pPr>
              <w:spacing w:after="0"/>
              <w:rPr>
                <w:sz w:val="1"/>
                <w:szCs w:val="1"/>
                <w:color w:val="auto"/>
              </w:rPr>
            </w:pPr>
          </w:p>
        </w:tc>
      </w:tr>
      <w:tr>
        <w:trPr>
          <w:trHeight w:val="197"/>
        </w:trPr>
        <w:tc>
          <w:tcPr>
            <w:tcW w:w="418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521,677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472,313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Subordinated notes and other liabilities</w:t>
            </w: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75,846</w:t>
            </w: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75,690</w:t>
            </w:r>
          </w:p>
        </w:tc>
        <w:tc>
          <w:tcPr>
            <w:tcW w:w="0" w:type="dxa"/>
            <w:vAlign w:val="bottom"/>
          </w:tcPr>
          <w:p>
            <w:pPr>
              <w:spacing w:after="0"/>
              <w:rPr>
                <w:sz w:val="1"/>
                <w:szCs w:val="1"/>
                <w:color w:val="auto"/>
              </w:rPr>
            </w:pPr>
          </w:p>
        </w:tc>
      </w:tr>
      <w:tr>
        <w:trPr>
          <w:trHeight w:val="181"/>
        </w:trPr>
        <w:tc>
          <w:tcPr>
            <w:tcW w:w="41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 equity</w:t>
            </w:r>
          </w:p>
        </w:tc>
        <w:tc>
          <w:tcPr>
            <w:tcW w:w="28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445,831</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396,623</w:t>
            </w:r>
          </w:p>
        </w:tc>
        <w:tc>
          <w:tcPr>
            <w:tcW w:w="0" w:type="dxa"/>
            <w:vAlign w:val="bottom"/>
          </w:tcPr>
          <w:p>
            <w:pPr>
              <w:spacing w:after="0"/>
              <w:rPr>
                <w:sz w:val="1"/>
                <w:szCs w:val="1"/>
                <w:color w:val="auto"/>
              </w:rPr>
            </w:pPr>
          </w:p>
        </w:tc>
      </w:tr>
      <w:tr>
        <w:trPr>
          <w:trHeight w:val="182"/>
        </w:trPr>
        <w:tc>
          <w:tcPr>
            <w:tcW w:w="41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521,677</w:t>
            </w:r>
          </w:p>
        </w:tc>
        <w:tc>
          <w:tcPr>
            <w:tcW w:w="80" w:type="dxa"/>
            <w:vAlign w:val="bottom"/>
          </w:tcPr>
          <w:p>
            <w:pPr>
              <w:spacing w:after="0"/>
              <w:rPr>
                <w:sz w:val="15"/>
                <w:szCs w:val="15"/>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472,313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40" w:type="dxa"/>
            <w:vAlign w:val="bottom"/>
            <w:gridSpan w:val="2"/>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CONDENSED STATEMENTS OF INCOME</w:t>
            </w: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140" w:type="dxa"/>
            <w:vAlign w:val="bottom"/>
            <w:gridSpan w:val="2"/>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2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Table 18.2: Condensed Statements of Income</w:t>
            </w:r>
          </w:p>
        </w:tc>
        <w:tc>
          <w:tcPr>
            <w:tcW w:w="16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1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72"/>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Dividends from banking subsidiary</w:t>
            </w:r>
          </w:p>
        </w:tc>
        <w:tc>
          <w:tcPr>
            <w:tcW w:w="28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22,223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19,643</w:t>
            </w:r>
          </w:p>
        </w:tc>
        <w:tc>
          <w:tcPr>
            <w:tcW w:w="0" w:type="dxa"/>
            <w:vAlign w:val="bottom"/>
          </w:tcPr>
          <w:p>
            <w:pPr>
              <w:spacing w:after="0"/>
              <w:rPr>
                <w:sz w:val="1"/>
                <w:szCs w:val="1"/>
                <w:color w:val="auto"/>
              </w:rPr>
            </w:pPr>
          </w:p>
        </w:tc>
      </w:tr>
      <w:tr>
        <w:trPr>
          <w:trHeight w:val="18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4,646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4,646</w:t>
            </w:r>
          </w:p>
        </w:tc>
        <w:tc>
          <w:tcPr>
            <w:tcW w:w="0" w:type="dxa"/>
            <w:vAlign w:val="bottom"/>
          </w:tcPr>
          <w:p>
            <w:pPr>
              <w:spacing w:after="0"/>
              <w:rPr>
                <w:sz w:val="1"/>
                <w:szCs w:val="1"/>
                <w:color w:val="auto"/>
              </w:rPr>
            </w:pPr>
          </w:p>
        </w:tc>
      </w:tr>
      <w:tr>
        <w:trPr>
          <w:trHeight w:val="181"/>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expense</w:t>
            </w:r>
          </w:p>
        </w:tc>
        <w:tc>
          <w:tcPr>
            <w:tcW w:w="2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2,636</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72"/>
        </w:trPr>
        <w:tc>
          <w:tcPr>
            <w:tcW w:w="41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Income before income tax and undistributed banking subsidiary income</w:t>
            </w:r>
          </w:p>
        </w:tc>
        <w:tc>
          <w:tcPr>
            <w:tcW w:w="28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14,941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12,497</w:t>
            </w:r>
          </w:p>
        </w:tc>
        <w:tc>
          <w:tcPr>
            <w:tcW w:w="0" w:type="dxa"/>
            <w:vAlign w:val="bottom"/>
          </w:tcPr>
          <w:p>
            <w:pPr>
              <w:spacing w:after="0"/>
              <w:rPr>
                <w:sz w:val="1"/>
                <w:szCs w:val="1"/>
                <w:color w:val="auto"/>
              </w:rPr>
            </w:pPr>
          </w:p>
        </w:tc>
      </w:tr>
      <w:tr>
        <w:trPr>
          <w:trHeight w:val="188"/>
        </w:trPr>
        <w:tc>
          <w:tcPr>
            <w:tcW w:w="41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2,112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w:t>
            </w:r>
          </w:p>
        </w:tc>
        <w:tc>
          <w:tcPr>
            <w:tcW w:w="0" w:type="dxa"/>
            <w:vAlign w:val="bottom"/>
          </w:tcPr>
          <w:p>
            <w:pPr>
              <w:spacing w:after="0"/>
              <w:rPr>
                <w:sz w:val="1"/>
                <w:szCs w:val="1"/>
                <w:color w:val="auto"/>
              </w:rPr>
            </w:pPr>
          </w:p>
        </w:tc>
      </w:tr>
      <w:tr>
        <w:trPr>
          <w:trHeight w:val="185"/>
        </w:trPr>
        <w:tc>
          <w:tcPr>
            <w:tcW w:w="41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 undistributed banking subsidiary income</w:t>
            </w:r>
          </w:p>
        </w:tc>
        <w:tc>
          <w:tcPr>
            <w:tcW w:w="28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28,618</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32,993</w:t>
            </w:r>
          </w:p>
        </w:tc>
        <w:tc>
          <w:tcPr>
            <w:tcW w:w="0" w:type="dxa"/>
            <w:vAlign w:val="bottom"/>
          </w:tcPr>
          <w:p>
            <w:pPr>
              <w:spacing w:after="0"/>
              <w:rPr>
                <w:sz w:val="1"/>
                <w:szCs w:val="1"/>
                <w:color w:val="auto"/>
              </w:rPr>
            </w:pPr>
          </w:p>
        </w:tc>
      </w:tr>
      <w:tr>
        <w:trPr>
          <w:trHeight w:val="172"/>
        </w:trPr>
        <w:tc>
          <w:tcPr>
            <w:tcW w:w="41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1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61,606</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45,671</w:t>
            </w:r>
          </w:p>
        </w:tc>
        <w:tc>
          <w:tcPr>
            <w:tcW w:w="4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47,734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20" w:type="dxa"/>
            <w:vAlign w:val="bottom"/>
            <w:vMerge w:val="restart"/>
          </w:tcPr>
          <w:p>
            <w:pPr>
              <w:jc w:val="center"/>
              <w:ind w:left="49"/>
              <w:spacing w:after="0"/>
              <w:rPr>
                <w:sz w:val="20"/>
                <w:szCs w:val="20"/>
                <w:color w:val="auto"/>
              </w:rPr>
            </w:pPr>
            <w:r>
              <w:rPr>
                <w:rFonts w:ascii="Times New Roman" w:cs="Times New Roman" w:eastAsia="Times New Roman" w:hAnsi="Times New Roman"/>
                <w:sz w:val="14"/>
                <w:szCs w:val="14"/>
                <w:color w:val="auto"/>
              </w:rPr>
              <w:t>123</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8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 2025, 2024,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18.3: Condensed Statements of Cash Flows</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25"/>
        </w:trPr>
        <w:tc>
          <w:tcPr>
            <w:tcW w:w="282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rPr>
              <w:t>2023</w:t>
            </w:r>
          </w:p>
        </w:tc>
      </w:tr>
      <w:tr>
        <w:trPr>
          <w:trHeight w:val="161"/>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8"/>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61,606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47,734</w:t>
            </w:r>
          </w:p>
        </w:tc>
      </w:tr>
      <w:tr>
        <w:trPr>
          <w:trHeight w:val="185"/>
        </w:trPr>
        <w:tc>
          <w:tcPr>
            <w:tcW w:w="7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1"/>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r>
      <w:tr>
        <w:trPr>
          <w:trHeight w:val="192"/>
        </w:trPr>
        <w:tc>
          <w:tcPr>
            <w:tcW w:w="7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Equity in undistributed banking subsidiary income</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(42,147)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(32,993)</w:t>
            </w:r>
          </w:p>
        </w:tc>
      </w:tr>
      <w:tr>
        <w:trPr>
          <w:trHeight w:val="181"/>
        </w:trPr>
        <w:tc>
          <w:tcPr>
            <w:tcW w:w="700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Amortization of subordinated note issuance costs</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1"/>
        </w:trPr>
        <w:tc>
          <w:tcPr>
            <w:tcW w:w="7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Change in other assets</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(2,319)</w:t>
            </w:r>
          </w:p>
        </w:tc>
      </w:tr>
      <w:tr>
        <w:trPr>
          <w:trHeight w:val="191"/>
        </w:trPr>
        <w:tc>
          <w:tcPr>
            <w:tcW w:w="70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Change in accrued expenses and other liabilities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72"/>
        </w:trPr>
        <w:tc>
          <w:tcPr>
            <w:tcW w:w="70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16,896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15,896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13,396</w:t>
            </w:r>
          </w:p>
        </w:tc>
      </w:tr>
      <w:tr>
        <w:trPr>
          <w:trHeight w:val="168"/>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5"/>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in subsidiary</w:t>
            </w: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(80,870)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70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(80,870)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2"/>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88"/>
        </w:trPr>
        <w:tc>
          <w:tcPr>
            <w:tcW w:w="70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issuance of stock, net of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(12,943)</w:t>
            </w:r>
          </w:p>
        </w:tc>
      </w:tr>
      <w:tr>
        <w:trPr>
          <w:trHeight w:val="182"/>
        </w:trPr>
        <w:tc>
          <w:tcPr>
            <w:tcW w:w="700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(17,085)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64,627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(12,943)</w:t>
            </w:r>
          </w:p>
        </w:tc>
      </w:tr>
      <w:tr>
        <w:trPr>
          <w:trHeight w:val="172"/>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r>
      <w:tr>
        <w:trPr>
          <w:trHeight w:val="181"/>
        </w:trPr>
        <w:tc>
          <w:tcPr>
            <w:tcW w:w="7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8,794</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8,688</w:t>
            </w:r>
          </w:p>
        </w:tc>
      </w:tr>
      <w:tr>
        <w:trPr>
          <w:trHeight w:val="202"/>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8,605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8,794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9,141</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Subsequent Events</w:t>
      </w:r>
    </w:p>
    <w:p>
      <w:pPr>
        <w:spacing w:after="0" w:line="16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On January 15, 2026, the board of directors declared a $0.25 per common share dividend for shareholders of record as of February 2, 2026, which was paid on February 9, 2026 in the amount of $5,344,000.</w:t>
      </w:r>
    </w:p>
    <w:p>
      <w:pPr>
        <w:spacing w:after="0" w:line="123" w:lineRule="exact"/>
        <w:rPr>
          <w:sz w:val="20"/>
          <w:szCs w:val="20"/>
          <w:color w:val="auto"/>
        </w:rPr>
      </w:pPr>
    </w:p>
    <w:p>
      <w:pPr>
        <w:ind w:right="5460"/>
        <w:spacing w:after="0" w:line="484" w:lineRule="auto"/>
        <w:rPr>
          <w:sz w:val="20"/>
          <w:szCs w:val="20"/>
          <w:color w:val="auto"/>
        </w:rPr>
      </w:pPr>
      <w:r>
        <w:rPr>
          <w:rFonts w:ascii="Times New Roman" w:cs="Times New Roman" w:eastAsia="Times New Roman" w:hAnsi="Times New Roman"/>
          <w:sz w:val="14"/>
          <w:szCs w:val="14"/>
          <w:b w:val="1"/>
          <w:bCs w:val="1"/>
          <w:color w:val="auto"/>
        </w:rPr>
        <w:t xml:space="preserve">Item 9. Changes in and Disagreements with Accountants on Accounting and Financial Disclosure </w:t>
      </w:r>
      <w:r>
        <w:rPr>
          <w:rFonts w:ascii="Times New Roman" w:cs="Times New Roman" w:eastAsia="Times New Roman" w:hAnsi="Times New Roman"/>
          <w:sz w:val="14"/>
          <w:szCs w:val="14"/>
          <w:color w:val="auto"/>
        </w:rPr>
        <w:t>None.</w:t>
      </w: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conducted an evaluation of the effectiveness of the design and operation of our disclosure controls and procedures, as defined in Rule 13a-15(e) under the Securities Exchange Act of 1934 (the “Exchange Act”), as of December 31, 2025.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and implementing its controls and procedures. Based on this evaluation, our Chief Executive Officer and Chief Financial Officer concluded that our disclosure controls and procedures were effective as of the end of the period covered by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such term is defined in Exchange Act Rule 13a-15(f). As of December 31, 2025, management assessed the effectiveness of our internal control over financial reporting based on the criteria for effective internal control over financial reporting established in “2013 Internal Control - Integrated Framework,” issued by the Committee of Sponsoring Organizations of</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color w:val="auto"/>
        </w:rPr>
        <w:t>the Treadway Commission. Based on that assessment, management determined that we maintained effective internal control over financial reporting as of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6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(as such term is defined in Rule 13a-15(f) under the Exchange Act) that occurred during the three months ended December 31, 2025 that has materially affected, or is reasonably likely to materially affect, such controls.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Attestation Report of the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 for an emerging growth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50"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During the three months ended December 31, 2025,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56515</wp:posOffset>
            </wp:positionV>
            <wp:extent cx="72123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897" w:right="298"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relating to the Company’s board of directors, the section entitled </w:t>
      </w:r>
      <w:r>
        <w:rPr>
          <w:rFonts w:ascii="Times New Roman" w:cs="Times New Roman" w:eastAsia="Times New Roman" w:hAnsi="Times New Roman"/>
          <w:sz w:val="14"/>
          <w:szCs w:val="14"/>
          <w:i w:val="1"/>
          <w:iCs w:val="1"/>
          <w:color w:val="auto"/>
        </w:rPr>
        <w:t>“Items to be Voted on by Shareholders —Item 1 — Election of Directors”</w:t>
      </w:r>
      <w:r>
        <w:rPr>
          <w:rFonts w:ascii="Times New Roman" w:cs="Times New Roman" w:eastAsia="Times New Roman" w:hAnsi="Times New Roman"/>
          <w:sz w:val="14"/>
          <w:szCs w:val="14"/>
          <w:color w:val="auto"/>
        </w:rPr>
        <w:t xml:space="preserve"> in the Company’s Proxy Statement for the 2026 Annual Meeting of Shareholders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1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relating to officers of the Company, the section entitled </w:t>
      </w:r>
      <w:r>
        <w:rPr>
          <w:rFonts w:ascii="Times New Roman" w:cs="Times New Roman" w:eastAsia="Times New Roman" w:hAnsi="Times New Roman"/>
          <w:sz w:val="14"/>
          <w:szCs w:val="14"/>
          <w:i w:val="1"/>
          <w:iCs w:val="1"/>
          <w:color w:val="auto"/>
        </w:rPr>
        <w:t>“Information About Our Executive Officers”</w:t>
      </w:r>
      <w:r>
        <w:rPr>
          <w:rFonts w:ascii="Times New Roman" w:cs="Times New Roman" w:eastAsia="Times New Roman" w:hAnsi="Times New Roman"/>
          <w:sz w:val="14"/>
          <w:szCs w:val="14"/>
          <w:color w:val="auto"/>
        </w:rPr>
        <w:t xml:space="preserve"> in the Company’s Proxy Statement for the 2026 Annual Meeting of Shareholders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Delinquent Section 16(a) Reports</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regarding compliance with Delinquent Section 16(a) Reports, the section entitled </w:t>
      </w:r>
      <w:r>
        <w:rPr>
          <w:rFonts w:ascii="Times New Roman" w:cs="Times New Roman" w:eastAsia="Times New Roman" w:hAnsi="Times New Roman"/>
          <w:sz w:val="14"/>
          <w:szCs w:val="14"/>
          <w:i w:val="1"/>
          <w:iCs w:val="1"/>
          <w:color w:val="auto"/>
        </w:rPr>
        <w:t>“Stock Information —Delinquent Section 16(a) Reports”</w:t>
      </w:r>
      <w:r>
        <w:rPr>
          <w:rFonts w:ascii="Times New Roman" w:cs="Times New Roman" w:eastAsia="Times New Roman" w:hAnsi="Times New Roman"/>
          <w:sz w:val="14"/>
          <w:szCs w:val="14"/>
          <w:color w:val="auto"/>
        </w:rPr>
        <w:t xml:space="preserve"> in the Company’s Proxy Statement for the 2026 Annual Meeting of Shareholders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of Code of Conduct</w:t>
      </w:r>
    </w:p>
    <w:p>
      <w:pPr>
        <w:spacing w:after="0" w:line="14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For information concerning the Company’s Code of Conduct, the information contained under the section entitled </w:t>
      </w:r>
      <w:r>
        <w:rPr>
          <w:rFonts w:ascii="Times New Roman" w:cs="Times New Roman" w:eastAsia="Times New Roman" w:hAnsi="Times New Roman"/>
          <w:sz w:val="14"/>
          <w:szCs w:val="14"/>
          <w:i w:val="1"/>
          <w:iCs w:val="1"/>
          <w:color w:val="auto"/>
        </w:rPr>
        <w:t>“Corporate Governance — Code of Conduct”</w:t>
      </w:r>
      <w:r>
        <w:rPr>
          <w:rFonts w:ascii="Times New Roman" w:cs="Times New Roman" w:eastAsia="Times New Roman" w:hAnsi="Times New Roman"/>
          <w:sz w:val="14"/>
          <w:szCs w:val="14"/>
          <w:color w:val="auto"/>
        </w:rPr>
        <w:t xml:space="preserve"> in the Company’s Proxy Statement for the 2026 Annual Meeting of Shareholders is incorporated by reference. A copy of the Code of Conduct is available to shareholders on the Company’s investor relations website at https://investors.fivestarbank.com/corporate-governance/governance-overview.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Nominating, Compensation, and Audit Committees</w:t>
      </w:r>
    </w:p>
    <w:p>
      <w:pPr>
        <w:spacing w:after="0" w:line="1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regarding the Company’s Nominating, Compensation, and Audit Committees, their composition, and the Audit Committee financial experts, the section entitled </w:t>
      </w:r>
      <w:r>
        <w:rPr>
          <w:rFonts w:ascii="Times New Roman" w:cs="Times New Roman" w:eastAsia="Times New Roman" w:hAnsi="Times New Roman"/>
          <w:sz w:val="14"/>
          <w:szCs w:val="14"/>
          <w:i w:val="1"/>
          <w:iCs w:val="1"/>
          <w:color w:val="auto"/>
        </w:rPr>
        <w:t>“Corporate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Governance — Board Committees” </w:t>
      </w:r>
      <w:r>
        <w:rPr>
          <w:rFonts w:ascii="Times New Roman" w:cs="Times New Roman" w:eastAsia="Times New Roman" w:hAnsi="Times New Roman"/>
          <w:sz w:val="14"/>
          <w:szCs w:val="14"/>
          <w:color w:val="auto"/>
        </w:rPr>
        <w:t>in the Company’s Proxy Statement for the 2026 Annual Meeting of Shareholders is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Policies and Procedures</w:t>
      </w:r>
    </w:p>
    <w:p>
      <w:pPr>
        <w:spacing w:after="0" w:line="1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have insider trading policies and procedures that govern the purchase, sale, and/or other disposition of the Company’s securities by our directors, officers and employees, and the Company itself, that we believe are reasonably designed to promote compliance by the Company and our directors, officers, and employees with insider trading laws, rules and regulations and the listing standards of Nasdaq. A copy of our Insider Trading Policy is filed with this Annual Report on Form 10-K as Exhibit 19.1.</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regarding executive compensation, the sections entitled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xml:space="preserve"> in the Company’s Proxy Statement for the 2026 Annual Meeting of Shareholders are incorporated herein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Shareholder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w:t>
      </w:r>
    </w:p>
    <w:p>
      <w:pPr>
        <w:spacing w:after="0" w:line="15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Information required by this item is incorporated herein by reference to the section entitled </w:t>
      </w:r>
      <w:r>
        <w:rPr>
          <w:rFonts w:ascii="Times New Roman" w:cs="Times New Roman" w:eastAsia="Times New Roman" w:hAnsi="Times New Roman"/>
          <w:sz w:val="14"/>
          <w:szCs w:val="14"/>
          <w:i w:val="1"/>
          <w:iCs w:val="1"/>
          <w:color w:val="auto"/>
        </w:rPr>
        <w:t>“Stock Information — Security Ownership of Certain Beneficial Owners and Management”</w:t>
      </w:r>
      <w:r>
        <w:rPr>
          <w:rFonts w:ascii="Times New Roman" w:cs="Times New Roman" w:eastAsia="Times New Roman" w:hAnsi="Times New Roman"/>
          <w:sz w:val="14"/>
          <w:szCs w:val="14"/>
          <w:color w:val="auto"/>
        </w:rPr>
        <w:t xml:space="preserve"> in the Company’s Proxy Statement for the 2026 Annual Meeting of Shareholders.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Security Ownership of Management</w:t>
      </w:r>
    </w:p>
    <w:p>
      <w:pPr>
        <w:spacing w:after="0" w:line="14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4"/>
          <w:szCs w:val="14"/>
          <w:color w:val="auto"/>
        </w:rPr>
        <w:t xml:space="preserve">Information required by this item is incorporated herein by reference to the section entitled </w:t>
      </w:r>
      <w:r>
        <w:rPr>
          <w:rFonts w:ascii="Times New Roman" w:cs="Times New Roman" w:eastAsia="Times New Roman" w:hAnsi="Times New Roman"/>
          <w:sz w:val="14"/>
          <w:szCs w:val="14"/>
          <w:i w:val="1"/>
          <w:iCs w:val="1"/>
          <w:color w:val="auto"/>
        </w:rPr>
        <w:t>“Stock Information — Security Ownership of Certain Beneficial Owners and Management”</w:t>
      </w:r>
      <w:r>
        <w:rPr>
          <w:rFonts w:ascii="Times New Roman" w:cs="Times New Roman" w:eastAsia="Times New Roman" w:hAnsi="Times New Roman"/>
          <w:sz w:val="14"/>
          <w:szCs w:val="14"/>
          <w:color w:val="auto"/>
        </w:rPr>
        <w:t xml:space="preserve"> in the Company’s Proxy Statement for the 2026 Annual Meeting of Shareholders.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50165</wp:posOffset>
            </wp:positionV>
            <wp:extent cx="72123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29" w:name="page130"/>
    <w:bookmarkEnd w:id="129"/>
    <w:p>
      <w:pPr>
        <w:ind w:left="10"/>
        <w:spacing w:after="0"/>
        <w:rPr>
          <w:sz w:val="20"/>
          <w:szCs w:val="20"/>
          <w:color w:val="auto"/>
        </w:rPr>
      </w:pPr>
      <w:r>
        <w:rPr>
          <w:rFonts w:ascii="Times New Roman" w:cs="Times New Roman" w:eastAsia="Times New Roman" w:hAnsi="Times New Roman"/>
          <w:sz w:val="14"/>
          <w:szCs w:val="14"/>
          <w:b w:val="1"/>
          <w:bCs w:val="1"/>
          <w:color w:val="auto"/>
        </w:rPr>
        <w:t>Securities Authorized for Issuance Under Equity Compensation Plans</w:t>
      </w:r>
    </w:p>
    <w:p>
      <w:pPr>
        <w:spacing w:after="0" w:line="150" w:lineRule="exact"/>
        <w:rPr>
          <w:sz w:val="20"/>
          <w:szCs w:val="20"/>
          <w:color w:val="auto"/>
        </w:rPr>
      </w:pPr>
    </w:p>
    <w:p>
      <w:pPr>
        <w:ind w:left="10"/>
        <w:spacing w:after="0" w:line="288" w:lineRule="auto"/>
        <w:rPr>
          <w:sz w:val="20"/>
          <w:szCs w:val="20"/>
          <w:color w:val="auto"/>
        </w:rPr>
      </w:pPr>
      <w:r>
        <w:rPr>
          <w:rFonts w:ascii="Times New Roman" w:cs="Times New Roman" w:eastAsia="Times New Roman" w:hAnsi="Times New Roman"/>
          <w:sz w:val="14"/>
          <w:szCs w:val="14"/>
          <w:color w:val="auto"/>
        </w:rPr>
        <w:t>The following table sets forth information about the Company common stock that may be issued upon the exercise of stock options, warrants, and rights under all the Company’s equity compensation plans as of December 31, 2025.</w:t>
      </w:r>
    </w:p>
    <w:p>
      <w:pPr>
        <w:spacing w:after="0" w:line="12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Table 25: Securities Authorized for Issuance Under Equity Compensation Plans</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w:t>
            </w:r>
          </w:p>
        </w:tc>
        <w:tc>
          <w:tcPr>
            <w:tcW w:w="80" w:type="dxa"/>
            <w:vAlign w:val="bottom"/>
          </w:tcPr>
          <w:p>
            <w:pPr>
              <w:spacing w:after="0"/>
              <w:rPr>
                <w:sz w:val="13"/>
                <w:szCs w:val="13"/>
                <w:color w:val="auto"/>
              </w:rPr>
            </w:pPr>
          </w:p>
        </w:tc>
        <w:tc>
          <w:tcPr>
            <w:tcW w:w="2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50"/>
        </w:trPr>
        <w:tc>
          <w:tcPr>
            <w:tcW w:w="452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1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80" w:type="dxa"/>
            <w:vAlign w:val="bottom"/>
          </w:tcPr>
          <w:p>
            <w:pPr>
              <w:spacing w:after="0"/>
              <w:rPr>
                <w:sz w:val="12"/>
                <w:szCs w:val="12"/>
                <w:color w:val="auto"/>
              </w:rPr>
            </w:pPr>
          </w:p>
        </w:tc>
        <w:tc>
          <w:tcPr>
            <w:tcW w:w="17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80" w:type="dxa"/>
            <w:vAlign w:val="bottom"/>
          </w:tcPr>
          <w:p>
            <w:pPr>
              <w:spacing w:after="0"/>
              <w:rPr>
                <w:sz w:val="12"/>
                <w:szCs w:val="12"/>
                <w:color w:val="auto"/>
              </w:rPr>
            </w:pPr>
          </w:p>
        </w:tc>
        <w:tc>
          <w:tcPr>
            <w:tcW w:w="23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49"/>
              <w:spacing w:after="0" w:line="14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80" w:type="dxa"/>
            <w:vAlign w:val="bottom"/>
          </w:tcPr>
          <w:p>
            <w:pPr>
              <w:spacing w:after="0"/>
              <w:rPr>
                <w:sz w:val="12"/>
                <w:szCs w:val="12"/>
                <w:color w:val="auto"/>
              </w:rPr>
            </w:pPr>
          </w:p>
        </w:tc>
        <w:tc>
          <w:tcPr>
            <w:tcW w:w="2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available for issuance under equity</w:t>
            </w:r>
          </w:p>
        </w:tc>
        <w:tc>
          <w:tcPr>
            <w:tcW w:w="0" w:type="dxa"/>
            <w:vAlign w:val="bottom"/>
          </w:tcPr>
          <w:p>
            <w:pPr>
              <w:spacing w:after="0"/>
              <w:rPr>
                <w:sz w:val="1"/>
                <w:szCs w:val="1"/>
                <w:color w:val="auto"/>
              </w:rPr>
            </w:pPr>
          </w:p>
        </w:tc>
      </w:tr>
      <w:tr>
        <w:trPr>
          <w:trHeight w:val="138"/>
        </w:trPr>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9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69"/>
              <w:spacing w:after="0" w:line="13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80" w:type="dxa"/>
            <w:vAlign w:val="bottom"/>
          </w:tcPr>
          <w:p>
            <w:pPr>
              <w:spacing w:after="0"/>
              <w:rPr>
                <w:sz w:val="12"/>
                <w:szCs w:val="12"/>
                <w:color w:val="auto"/>
              </w:rPr>
            </w:pPr>
          </w:p>
        </w:tc>
        <w:tc>
          <w:tcPr>
            <w:tcW w:w="23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74"/>
        </w:trPr>
        <w:tc>
          <w:tcPr>
            <w:tcW w:w="52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4"/>
                <w:szCs w:val="14"/>
                <w:color w:val="auto"/>
              </w:rPr>
              <w:t>Equity compensation plan approved by shareholders</w:t>
            </w:r>
            <w:r>
              <w:rPr>
                <w:rFonts w:ascii="Times New Roman" w:cs="Times New Roman" w:eastAsia="Times New Roman" w:hAnsi="Times New Roman"/>
                <w:sz w:val="18"/>
                <w:szCs w:val="18"/>
                <w:color w:val="auto"/>
                <w:vertAlign w:val="superscript"/>
              </w:rPr>
              <w:t>1</w:t>
            </w:r>
          </w:p>
        </w:tc>
        <w:tc>
          <w:tcPr>
            <w:tcW w:w="192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1,361,860</w:t>
            </w:r>
          </w:p>
        </w:tc>
        <w:tc>
          <w:tcPr>
            <w:tcW w:w="0" w:type="dxa"/>
            <w:vAlign w:val="bottom"/>
          </w:tcPr>
          <w:p>
            <w:pPr>
              <w:spacing w:after="0"/>
              <w:rPr>
                <w:sz w:val="1"/>
                <w:szCs w:val="1"/>
                <w:color w:val="auto"/>
              </w:rPr>
            </w:pPr>
          </w:p>
        </w:tc>
      </w:tr>
      <w:tr>
        <w:trPr>
          <w:trHeight w:val="181"/>
        </w:trPr>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compensation not approved by shareholders</w:t>
            </w:r>
          </w:p>
        </w:tc>
        <w:tc>
          <w:tcPr>
            <w:tcW w:w="19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5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92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1,361,860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390" w:hanging="390"/>
        <w:spacing w:after="0"/>
        <w:tabs>
          <w:tab w:leader="none" w:pos="39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Plan approved by shareholders is the Five Star Bancorp 2021 Equity Incentive Plan.</w:t>
      </w:r>
    </w:p>
    <w:p>
      <w:pPr>
        <w:spacing w:after="0" w:line="1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Certain Relationships and Related Transactions</w:t>
      </w:r>
    </w:p>
    <w:p>
      <w:pPr>
        <w:spacing w:after="0" w:line="148" w:lineRule="exact"/>
        <w:rPr>
          <w:sz w:val="20"/>
          <w:szCs w:val="20"/>
          <w:color w:val="auto"/>
        </w:rPr>
      </w:pPr>
    </w:p>
    <w:p>
      <w:pPr>
        <w:ind w:left="10"/>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regarding certain relationships and related transactions, the section entitled </w:t>
      </w:r>
      <w:r>
        <w:rPr>
          <w:rFonts w:ascii="Times New Roman" w:cs="Times New Roman" w:eastAsia="Times New Roman" w:hAnsi="Times New Roman"/>
          <w:sz w:val="14"/>
          <w:szCs w:val="14"/>
          <w:i w:val="1"/>
          <w:iCs w:val="1"/>
          <w:color w:val="auto"/>
        </w:rPr>
        <w:t>“Other Information —Transactions with Related Parties”</w:t>
      </w:r>
      <w:r>
        <w:rPr>
          <w:rFonts w:ascii="Times New Roman" w:cs="Times New Roman" w:eastAsia="Times New Roman" w:hAnsi="Times New Roman"/>
          <w:sz w:val="14"/>
          <w:szCs w:val="14"/>
          <w:color w:val="auto"/>
        </w:rPr>
        <w:t xml:space="preserve"> in the Company’s Proxy Statement for the 2026 Annual Meeting of Shareholders is incorporated herein by reference.</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148" w:lineRule="exact"/>
        <w:rPr>
          <w:sz w:val="20"/>
          <w:szCs w:val="20"/>
          <w:color w:val="auto"/>
        </w:rPr>
      </w:pPr>
    </w:p>
    <w:p>
      <w:pPr>
        <w:ind w:left="10"/>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regarding director independence, the section entitled </w:t>
      </w:r>
      <w:r>
        <w:rPr>
          <w:rFonts w:ascii="Times New Roman" w:cs="Times New Roman" w:eastAsia="Times New Roman" w:hAnsi="Times New Roman"/>
          <w:sz w:val="14"/>
          <w:szCs w:val="14"/>
          <w:i w:val="1"/>
          <w:iCs w:val="1"/>
          <w:color w:val="auto"/>
        </w:rPr>
        <w:t>“Corporate Governance — Director Independence”</w:t>
      </w:r>
      <w:r>
        <w:rPr>
          <w:rFonts w:ascii="Times New Roman" w:cs="Times New Roman" w:eastAsia="Times New Roman" w:hAnsi="Times New Roman"/>
          <w:sz w:val="14"/>
          <w:szCs w:val="14"/>
          <w:color w:val="auto"/>
        </w:rPr>
        <w:t xml:space="preserve"> in the Company’s Proxy Statement for the 2026 Annual Meeting of Shareholders is incorporated herein by reference.</w:t>
      </w:r>
    </w:p>
    <w:p>
      <w:pPr>
        <w:spacing w:after="0" w:line="12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58" w:lineRule="exact"/>
        <w:rPr>
          <w:sz w:val="20"/>
          <w:szCs w:val="20"/>
          <w:color w:val="auto"/>
        </w:rPr>
      </w:pPr>
    </w:p>
    <w:p>
      <w:pPr>
        <w:ind w:left="10"/>
        <w:spacing w:after="0" w:line="291" w:lineRule="auto"/>
        <w:rPr>
          <w:sz w:val="20"/>
          <w:szCs w:val="20"/>
          <w:color w:val="auto"/>
        </w:rPr>
      </w:pPr>
      <w:r>
        <w:rPr>
          <w:rFonts w:ascii="Times New Roman" w:cs="Times New Roman" w:eastAsia="Times New Roman" w:hAnsi="Times New Roman"/>
          <w:sz w:val="14"/>
          <w:szCs w:val="14"/>
          <w:color w:val="auto"/>
        </w:rPr>
        <w:t xml:space="preserve">For information regarding the principal accountant fees and expenses, the section entitled </w:t>
      </w:r>
      <w:r>
        <w:rPr>
          <w:rFonts w:ascii="Times New Roman" w:cs="Times New Roman" w:eastAsia="Times New Roman" w:hAnsi="Times New Roman"/>
          <w:sz w:val="14"/>
          <w:szCs w:val="14"/>
          <w:i w:val="1"/>
          <w:iCs w:val="1"/>
          <w:color w:val="auto"/>
        </w:rPr>
        <w:t>“Item 2 — Ratification of Selection of Independent Registered Public Accounting Firm”</w:t>
      </w:r>
      <w:r>
        <w:rPr>
          <w:rFonts w:ascii="Times New Roman" w:cs="Times New Roman" w:eastAsia="Times New Roman" w:hAnsi="Times New Roman"/>
          <w:sz w:val="14"/>
          <w:szCs w:val="14"/>
          <w:color w:val="auto"/>
        </w:rPr>
        <w:t xml:space="preserve"> in the Company’s Proxy Statement for the 2026 Annual Meeting of Shareholders is incorporated herein by reference.</w:t>
      </w:r>
    </w:p>
    <w:p>
      <w:pPr>
        <w:spacing w:after="0" w:line="200" w:lineRule="exact"/>
        <w:rPr>
          <w:sz w:val="20"/>
          <w:szCs w:val="20"/>
          <w:color w:val="auto"/>
        </w:rPr>
      </w:pPr>
    </w:p>
    <w:p>
      <w:pPr>
        <w:spacing w:after="0" w:line="2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56515</wp:posOffset>
            </wp:positionV>
            <wp:extent cx="72123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927" w:right="298" w:bottom="1440" w:gutter="0" w:footer="0" w:header="0"/>
        </w:sectPr>
      </w:pPr>
    </w:p>
    <w:bookmarkStart w:id="130" w:name="page131"/>
    <w:bookmarkEnd w:id="130"/>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50" w:lineRule="exact"/>
        <w:rPr>
          <w:sz w:val="20"/>
          <w:szCs w:val="20"/>
          <w:color w:val="auto"/>
        </w:rPr>
      </w:pPr>
    </w:p>
    <w:p>
      <w:pPr>
        <w:ind w:left="510" w:hanging="510"/>
        <w:spacing w:after="0"/>
        <w:tabs>
          <w:tab w:leader="none" w:pos="51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required in response to this item are incorporated herein by reference from Part II, Item 8 of this Annual Report on Form 10-K.</w:t>
      </w:r>
    </w:p>
    <w:p>
      <w:pPr>
        <w:spacing w:after="0" w:line="23" w:lineRule="exact"/>
        <w:rPr>
          <w:rFonts w:ascii="Times New Roman" w:cs="Times New Roman" w:eastAsia="Times New Roman" w:hAnsi="Times New Roman"/>
          <w:sz w:val="14"/>
          <w:szCs w:val="14"/>
          <w:color w:val="auto"/>
        </w:rPr>
      </w:pPr>
    </w:p>
    <w:p>
      <w:pPr>
        <w:ind w:left="510" w:hanging="510"/>
        <w:spacing w:after="0"/>
        <w:tabs>
          <w:tab w:leader="none" w:pos="51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financial statement schedules are omitted because they are not required or applicable, or the required information is shown in the consolidated financial statements or the notes thereto.</w:t>
      </w:r>
    </w:p>
    <w:p>
      <w:pPr>
        <w:spacing w:after="0" w:line="9" w:lineRule="exact"/>
        <w:rPr>
          <w:rFonts w:ascii="Times New Roman" w:cs="Times New Roman" w:eastAsia="Times New Roman" w:hAnsi="Times New Roman"/>
          <w:sz w:val="14"/>
          <w:szCs w:val="14"/>
          <w:color w:val="auto"/>
        </w:rPr>
      </w:pPr>
    </w:p>
    <w:p>
      <w:pPr>
        <w:ind w:left="510" w:hanging="510"/>
        <w:spacing w:after="0"/>
        <w:tabs>
          <w:tab w:leader="none" w:pos="51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54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51"/>
        </w:trPr>
        <w:tc>
          <w:tcPr>
            <w:tcW w:w="13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2940" w:type="dxa"/>
            <w:vAlign w:val="bottom"/>
            <w:gridSpan w:val="20"/>
          </w:tcPr>
          <w:p>
            <w:pPr>
              <w:spacing w:after="0" w:line="151" w:lineRule="exact"/>
              <w:rPr>
                <w:rFonts w:ascii="Times New Roman" w:cs="Times New Roman" w:eastAsia="Times New Roman" w:hAnsi="Times New Roman"/>
                <w:sz w:val="14"/>
                <w:szCs w:val="14"/>
                <w:color w:val="0E32E1"/>
              </w:rPr>
            </w:pPr>
            <w:hyperlink r:id="rId163">
              <w:r>
                <w:rPr>
                  <w:rFonts w:ascii="Times New Roman" w:cs="Times New Roman" w:eastAsia="Times New Roman" w:hAnsi="Times New Roman"/>
                  <w:sz w:val="14"/>
                  <w:szCs w:val="14"/>
                  <w:color w:val="0E32E1"/>
                </w:rPr>
                <w:t>Amended and Restated Articles of Incorporation of</w:t>
              </w:r>
            </w:hyperlink>
          </w:p>
        </w:tc>
        <w:tc>
          <w:tcPr>
            <w:tcW w:w="1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10-Q</w:t>
            </w:r>
          </w:p>
        </w:tc>
        <w:tc>
          <w:tcPr>
            <w:tcW w:w="146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color w:val="auto"/>
              </w:rPr>
              <w:t>3.1</w:t>
            </w:r>
          </w:p>
        </w:tc>
        <w:tc>
          <w:tcPr>
            <w:tcW w:w="15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June 17, 2021</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1040" w:type="dxa"/>
            <w:vAlign w:val="bottom"/>
            <w:tcBorders>
              <w:top w:val="single" w:sz="8" w:color="0E32E1"/>
              <w:bottom w:val="single" w:sz="8" w:color="0E32E1"/>
            </w:tcBorders>
            <w:gridSpan w:val="4"/>
          </w:tcPr>
          <w:p>
            <w:pPr>
              <w:spacing w:after="0" w:line="140" w:lineRule="exact"/>
              <w:rPr>
                <w:rFonts w:ascii="Times New Roman" w:cs="Times New Roman" w:eastAsia="Times New Roman" w:hAnsi="Times New Roman"/>
                <w:sz w:val="14"/>
                <w:szCs w:val="14"/>
                <w:color w:val="0E32E1"/>
              </w:rPr>
            </w:pPr>
            <w:hyperlink r:id="rId163">
              <w:r>
                <w:rPr>
                  <w:rFonts w:ascii="Times New Roman" w:cs="Times New Roman" w:eastAsia="Times New Roman" w:hAnsi="Times New Roman"/>
                  <w:sz w:val="14"/>
                  <w:szCs w:val="14"/>
                  <w:color w:val="0E32E1"/>
                </w:rPr>
                <w:t>Five Star Bancorp</w:t>
              </w:r>
            </w:hyperlink>
          </w:p>
        </w:tc>
        <w:tc>
          <w:tcPr>
            <w:tcW w:w="1860" w:type="dxa"/>
            <w:vAlign w:val="bottom"/>
            <w:tcBorders>
              <w:top w:val="single" w:sz="8" w:color="0E32E1"/>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2940" w:type="dxa"/>
            <w:vAlign w:val="bottom"/>
            <w:gridSpan w:val="20"/>
          </w:tcPr>
          <w:p>
            <w:pPr>
              <w:spacing w:after="0"/>
              <w:rPr>
                <w:rFonts w:ascii="Times New Roman" w:cs="Times New Roman" w:eastAsia="Times New Roman" w:hAnsi="Times New Roman"/>
                <w:sz w:val="14"/>
                <w:szCs w:val="14"/>
                <w:color w:val="0E32E1"/>
              </w:rPr>
            </w:pPr>
            <w:hyperlink r:id="rId164">
              <w:r>
                <w:rPr>
                  <w:rFonts w:ascii="Times New Roman" w:cs="Times New Roman" w:eastAsia="Times New Roman" w:hAnsi="Times New Roman"/>
                  <w:sz w:val="14"/>
                  <w:szCs w:val="14"/>
                  <w:color w:val="0E32E1"/>
                </w:rPr>
                <w:t>Second Amended and Restated Bylaws of Five</w:t>
              </w:r>
            </w:hyperlink>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3.1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8, 2025</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660" w:type="dxa"/>
            <w:vAlign w:val="bottom"/>
            <w:tcBorders>
              <w:top w:val="single" w:sz="8" w:color="0E32E1"/>
            </w:tcBorders>
            <w:gridSpan w:val="13"/>
          </w:tcPr>
          <w:p>
            <w:pPr>
              <w:spacing w:after="0" w:line="119" w:lineRule="exact"/>
              <w:rPr>
                <w:rFonts w:ascii="Times New Roman" w:cs="Times New Roman" w:eastAsia="Times New Roman" w:hAnsi="Times New Roman"/>
                <w:sz w:val="13"/>
                <w:szCs w:val="13"/>
                <w:color w:val="0E32E1"/>
              </w:rPr>
            </w:pPr>
            <w:hyperlink r:id="rId164">
              <w:r>
                <w:rPr>
                  <w:rFonts w:ascii="Times New Roman" w:cs="Times New Roman" w:eastAsia="Times New Roman" w:hAnsi="Times New Roman"/>
                  <w:sz w:val="13"/>
                  <w:szCs w:val="13"/>
                  <w:color w:val="0E32E1"/>
                </w:rPr>
                <w:t>Star Bancorp</w:t>
              </w:r>
            </w:hyperlink>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740" w:type="dxa"/>
            <w:vAlign w:val="bottom"/>
            <w:tcBorders>
              <w:bottom w:val="single" w:sz="8" w:color="0E32E1"/>
            </w:tcBorders>
            <w:gridSpan w:val="15"/>
          </w:tcPr>
          <w:p>
            <w:pPr>
              <w:spacing w:after="0"/>
              <w:rPr>
                <w:rFonts w:ascii="Times New Roman" w:cs="Times New Roman" w:eastAsia="Times New Roman" w:hAnsi="Times New Roman"/>
                <w:sz w:val="14"/>
                <w:szCs w:val="14"/>
                <w:color w:val="0E32E1"/>
              </w:rPr>
            </w:pPr>
            <w:hyperlink r:id="rId165">
              <w:r>
                <w:rPr>
                  <w:rFonts w:ascii="Times New Roman" w:cs="Times New Roman" w:eastAsia="Times New Roman" w:hAnsi="Times New Roman"/>
                  <w:sz w:val="14"/>
                  <w:szCs w:val="14"/>
                  <w:color w:val="0E32E1"/>
                </w:rPr>
                <w:t>Form of Common Stock Certificate of Five Star</w:t>
              </w:r>
            </w:hyperlink>
          </w:p>
        </w:tc>
        <w:tc>
          <w:tcPr>
            <w:tcW w:w="200" w:type="dxa"/>
            <w:vAlign w:val="bottom"/>
            <w:gridSpan w:val="5"/>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333-255143</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4.1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26, 2021</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380" w:type="dxa"/>
            <w:vAlign w:val="bottom"/>
          </w:tcPr>
          <w:p>
            <w:pPr>
              <w:spacing w:after="0"/>
              <w:rPr>
                <w:sz w:val="13"/>
                <w:szCs w:val="13"/>
                <w:color w:val="auto"/>
              </w:rPr>
            </w:pPr>
          </w:p>
        </w:tc>
        <w:tc>
          <w:tcPr>
            <w:tcW w:w="480" w:type="dxa"/>
            <w:vAlign w:val="bottom"/>
            <w:tcBorders>
              <w:bottom w:val="single" w:sz="8" w:color="0E32E1"/>
            </w:tcBorders>
          </w:tcPr>
          <w:p>
            <w:pPr>
              <w:spacing w:after="0" w:line="151" w:lineRule="exact"/>
              <w:rPr>
                <w:rFonts w:ascii="Times New Roman" w:cs="Times New Roman" w:eastAsia="Times New Roman" w:hAnsi="Times New Roman"/>
                <w:sz w:val="14"/>
                <w:szCs w:val="14"/>
                <w:color w:val="0E32E1"/>
                <w:w w:val="96"/>
              </w:rPr>
            </w:pPr>
            <w:hyperlink r:id="rId165">
              <w:r>
                <w:rPr>
                  <w:rFonts w:ascii="Times New Roman" w:cs="Times New Roman" w:eastAsia="Times New Roman" w:hAnsi="Times New Roman"/>
                  <w:sz w:val="14"/>
                  <w:szCs w:val="14"/>
                  <w:color w:val="0E32E1"/>
                  <w:w w:val="96"/>
                </w:rPr>
                <w:t>Bancorp</w:t>
              </w:r>
            </w:hyperlink>
          </w:p>
        </w:tc>
        <w:tc>
          <w:tcPr>
            <w:tcW w:w="2460" w:type="dxa"/>
            <w:vAlign w:val="bottom"/>
            <w:gridSpan w:val="19"/>
          </w:tcPr>
          <w:p>
            <w:pPr>
              <w:spacing w:after="0"/>
              <w:rPr>
                <w:sz w:val="13"/>
                <w:szCs w:val="13"/>
                <w:color w:val="auto"/>
              </w:rPr>
            </w:pPr>
          </w:p>
        </w:tc>
        <w:tc>
          <w:tcPr>
            <w:tcW w:w="1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2940" w:type="dxa"/>
            <w:vAlign w:val="bottom"/>
            <w:gridSpan w:val="20"/>
          </w:tcPr>
          <w:p>
            <w:pPr>
              <w:spacing w:after="0"/>
              <w:rPr>
                <w:rFonts w:ascii="Times New Roman" w:cs="Times New Roman" w:eastAsia="Times New Roman" w:hAnsi="Times New Roman"/>
                <w:sz w:val="14"/>
                <w:szCs w:val="14"/>
                <w:color w:val="0E32E1"/>
              </w:rPr>
            </w:pPr>
            <w:hyperlink r:id="rId166">
              <w:r>
                <w:rPr>
                  <w:rFonts w:ascii="Times New Roman" w:cs="Times New Roman" w:eastAsia="Times New Roman" w:hAnsi="Times New Roman"/>
                  <w:sz w:val="14"/>
                  <w:szCs w:val="14"/>
                  <w:color w:val="0E32E1"/>
                </w:rPr>
                <w:t>Form of 6.0% Fixed-to-Floating Rate Subordinated</w:t>
              </w:r>
            </w:hyperlink>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4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Exhibit A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17, 2022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860" w:type="dxa"/>
            <w:vAlign w:val="bottom"/>
            <w:tcBorders>
              <w:top w:val="single" w:sz="8" w:color="0E32E1"/>
              <w:bottom w:val="single" w:sz="8" w:color="0E32E1"/>
            </w:tcBorders>
            <w:gridSpan w:val="3"/>
          </w:tcPr>
          <w:p>
            <w:pPr>
              <w:spacing w:after="0" w:line="108" w:lineRule="exact"/>
              <w:rPr>
                <w:rFonts w:ascii="Times New Roman" w:cs="Times New Roman" w:eastAsia="Times New Roman" w:hAnsi="Times New Roman"/>
                <w:sz w:val="12"/>
                <w:szCs w:val="12"/>
                <w:color w:val="0E32E1"/>
              </w:rPr>
            </w:pPr>
            <w:hyperlink r:id="rId166">
              <w:r>
                <w:rPr>
                  <w:rFonts w:ascii="Times New Roman" w:cs="Times New Roman" w:eastAsia="Times New Roman" w:hAnsi="Times New Roman"/>
                  <w:sz w:val="12"/>
                  <w:szCs w:val="12"/>
                  <w:color w:val="0E32E1"/>
                </w:rPr>
                <w:t>Note Due 2032</w:t>
              </w:r>
            </w:hyperlink>
          </w:p>
        </w:tc>
        <w:tc>
          <w:tcPr>
            <w:tcW w:w="240" w:type="dxa"/>
            <w:vAlign w:val="bottom"/>
            <w:tcBorders>
              <w:top w:val="single" w:sz="8" w:color="0E32E1"/>
              <w:bottom w:val="single" w:sz="8" w:color="0E32E1"/>
            </w:tcBorders>
            <w:gridSpan w:val="2"/>
          </w:tcPr>
          <w:p>
            <w:pPr>
              <w:spacing w:after="0"/>
              <w:rPr>
                <w:sz w:val="10"/>
                <w:szCs w:val="10"/>
                <w:color w:val="auto"/>
              </w:rPr>
            </w:pPr>
          </w:p>
        </w:tc>
        <w:tc>
          <w:tcPr>
            <w:tcW w:w="120" w:type="dxa"/>
            <w:vAlign w:val="bottom"/>
            <w:tcBorders>
              <w:top w:val="single" w:sz="8" w:color="0E32E1"/>
              <w:bottom w:val="single" w:sz="8" w:color="0E32E1"/>
            </w:tcBorders>
          </w:tcPr>
          <w:p>
            <w:pPr>
              <w:spacing w:after="0"/>
              <w:rPr>
                <w:sz w:val="10"/>
                <w:szCs w:val="10"/>
                <w:color w:val="auto"/>
              </w:rPr>
            </w:pPr>
          </w:p>
        </w:tc>
        <w:tc>
          <w:tcPr>
            <w:tcW w:w="200" w:type="dxa"/>
            <w:vAlign w:val="bottom"/>
            <w:tcBorders>
              <w:top w:val="single" w:sz="8" w:color="0E32E1"/>
              <w:bottom w:val="single" w:sz="8" w:color="0E32E1"/>
            </w:tcBorders>
          </w:tcPr>
          <w:p>
            <w:pPr>
              <w:spacing w:after="0"/>
              <w:rPr>
                <w:sz w:val="10"/>
                <w:szCs w:val="10"/>
                <w:color w:val="auto"/>
              </w:rPr>
            </w:pPr>
          </w:p>
        </w:tc>
        <w:tc>
          <w:tcPr>
            <w:tcW w:w="640" w:type="dxa"/>
            <w:vAlign w:val="bottom"/>
            <w:tcBorders>
              <w:top w:val="single" w:sz="8" w:color="0E32E1"/>
              <w:bottom w:val="single" w:sz="8" w:color="0E32E1"/>
            </w:tcBorders>
          </w:tcPr>
          <w:p>
            <w:pPr>
              <w:spacing w:after="0"/>
              <w:rPr>
                <w:sz w:val="10"/>
                <w:szCs w:val="10"/>
                <w:color w:val="auto"/>
              </w:rPr>
            </w:pPr>
          </w:p>
        </w:tc>
        <w:tc>
          <w:tcPr>
            <w:tcW w:w="20" w:type="dxa"/>
            <w:vAlign w:val="bottom"/>
            <w:tcBorders>
              <w:top w:val="single" w:sz="8" w:color="0E32E1"/>
              <w:bottom w:val="single" w:sz="8" w:color="0E32E1"/>
            </w:tcBorders>
          </w:tcPr>
          <w:p>
            <w:pPr>
              <w:spacing w:after="0"/>
              <w:rPr>
                <w:sz w:val="10"/>
                <w:szCs w:val="10"/>
                <w:color w:val="auto"/>
              </w:rPr>
            </w:pPr>
          </w:p>
        </w:tc>
        <w:tc>
          <w:tcPr>
            <w:tcW w:w="420" w:type="dxa"/>
            <w:vAlign w:val="bottom"/>
            <w:tcBorders>
              <w:top w:val="single" w:sz="8" w:color="0E32E1"/>
              <w:bottom w:val="single" w:sz="8" w:color="0E32E1"/>
            </w:tcBorders>
          </w:tcPr>
          <w:p>
            <w:pPr>
              <w:spacing w:after="0"/>
              <w:rPr>
                <w:sz w:val="10"/>
                <w:szCs w:val="10"/>
                <w:color w:val="auto"/>
              </w:rPr>
            </w:pPr>
          </w:p>
        </w:tc>
        <w:tc>
          <w:tcPr>
            <w:tcW w:w="40" w:type="dxa"/>
            <w:vAlign w:val="bottom"/>
            <w:tcBorders>
              <w:top w:val="single" w:sz="8" w:color="0E32E1"/>
              <w:bottom w:val="single" w:sz="8" w:color="0E32E1"/>
            </w:tcBorders>
          </w:tcPr>
          <w:p>
            <w:pPr>
              <w:spacing w:after="0"/>
              <w:rPr>
                <w:sz w:val="10"/>
                <w:szCs w:val="10"/>
                <w:color w:val="auto"/>
              </w:rPr>
            </w:pPr>
          </w:p>
        </w:tc>
        <w:tc>
          <w:tcPr>
            <w:tcW w:w="80" w:type="dxa"/>
            <w:vAlign w:val="bottom"/>
            <w:tcBorders>
              <w:top w:val="single" w:sz="8" w:color="0E32E1"/>
              <w:bottom w:val="single" w:sz="8" w:color="0E32E1"/>
            </w:tcBorders>
          </w:tcPr>
          <w:p>
            <w:pPr>
              <w:spacing w:after="0"/>
              <w:rPr>
                <w:sz w:val="10"/>
                <w:szCs w:val="10"/>
                <w:color w:val="auto"/>
              </w:rPr>
            </w:pPr>
          </w:p>
        </w:tc>
        <w:tc>
          <w:tcPr>
            <w:tcW w:w="80" w:type="dxa"/>
            <w:vAlign w:val="bottom"/>
            <w:tcBorders>
              <w:top w:val="single" w:sz="8" w:color="0E32E1"/>
              <w:bottom w:val="single" w:sz="8" w:color="0E32E1"/>
            </w:tcBorders>
            <w:gridSpan w:val="2"/>
          </w:tcPr>
          <w:p>
            <w:pPr>
              <w:spacing w:after="0"/>
              <w:rPr>
                <w:sz w:val="10"/>
                <w:szCs w:val="10"/>
                <w:color w:val="auto"/>
              </w:rPr>
            </w:pPr>
          </w:p>
        </w:tc>
        <w:tc>
          <w:tcPr>
            <w:tcW w:w="40" w:type="dxa"/>
            <w:vAlign w:val="bottom"/>
            <w:tcBorders>
              <w:top w:val="single" w:sz="8" w:color="0E32E1"/>
              <w:bottom w:val="single" w:sz="8" w:color="0E32E1"/>
            </w:tcBorders>
          </w:tcPr>
          <w:p>
            <w:pPr>
              <w:spacing w:after="0"/>
              <w:rPr>
                <w:sz w:val="10"/>
                <w:szCs w:val="10"/>
                <w:color w:val="auto"/>
              </w:rPr>
            </w:pPr>
          </w:p>
        </w:tc>
        <w:tc>
          <w:tcPr>
            <w:tcW w:w="60" w:type="dxa"/>
            <w:vAlign w:val="bottom"/>
            <w:tcBorders>
              <w:top w:val="single" w:sz="8" w:color="0E32E1"/>
              <w:bottom w:val="single" w:sz="8" w:color="0E32E1"/>
            </w:tcBorders>
          </w:tcPr>
          <w:p>
            <w:pPr>
              <w:spacing w:after="0"/>
              <w:rPr>
                <w:sz w:val="10"/>
                <w:szCs w:val="10"/>
                <w:color w:val="auto"/>
              </w:rPr>
            </w:pPr>
          </w:p>
        </w:tc>
        <w:tc>
          <w:tcPr>
            <w:tcW w:w="80" w:type="dxa"/>
            <w:vAlign w:val="bottom"/>
            <w:tcBorders>
              <w:top w:val="single" w:sz="8" w:color="0E32E1"/>
              <w:bottom w:val="single" w:sz="8" w:color="0E32E1"/>
            </w:tcBorders>
          </w:tcPr>
          <w:p>
            <w:pPr>
              <w:spacing w:after="0"/>
              <w:rPr>
                <w:sz w:val="10"/>
                <w:szCs w:val="10"/>
                <w:color w:val="auto"/>
              </w:rPr>
            </w:pPr>
          </w:p>
        </w:tc>
        <w:tc>
          <w:tcPr>
            <w:tcW w:w="40" w:type="dxa"/>
            <w:vAlign w:val="bottom"/>
            <w:tcBorders>
              <w:top w:val="single" w:sz="8" w:color="0E32E1"/>
              <w:bottom w:val="single" w:sz="8" w:color="0E32E1"/>
            </w:tcBorders>
            <w:gridSpan w:val="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1380" w:type="dxa"/>
            <w:vAlign w:val="bottom"/>
          </w:tcPr>
          <w:p>
            <w:pPr>
              <w:spacing w:after="0"/>
              <w:rPr>
                <w:sz w:val="3"/>
                <w:szCs w:val="3"/>
                <w:color w:val="auto"/>
              </w:rPr>
            </w:pPr>
          </w:p>
        </w:tc>
        <w:tc>
          <w:tcPr>
            <w:tcW w:w="1420" w:type="dxa"/>
            <w:vAlign w:val="bottom"/>
            <w:gridSpan w:val="7"/>
            <w:vMerge w:val="restart"/>
          </w:tcPr>
          <w:p>
            <w:pPr>
              <w:spacing w:after="0"/>
              <w:rPr>
                <w:rFonts w:ascii="Times New Roman" w:cs="Times New Roman" w:eastAsia="Times New Roman" w:hAnsi="Times New Roman"/>
                <w:sz w:val="14"/>
                <w:szCs w:val="14"/>
                <w:color w:val="0E32E1"/>
              </w:rPr>
            </w:pPr>
            <w:hyperlink r:id="rId167">
              <w:r>
                <w:rPr>
                  <w:rFonts w:ascii="Times New Roman" w:cs="Times New Roman" w:eastAsia="Times New Roman" w:hAnsi="Times New Roman"/>
                  <w:sz w:val="14"/>
                  <w:szCs w:val="14"/>
                  <w:color w:val="0E32E1"/>
                </w:rPr>
                <w:t>Description of Securities</w:t>
              </w:r>
            </w:hyperlink>
          </w:p>
        </w:tc>
        <w:tc>
          <w:tcPr>
            <w:tcW w:w="1520" w:type="dxa"/>
            <w:vAlign w:val="bottom"/>
            <w:gridSpan w:val="13"/>
            <w:vMerge w:val="restart"/>
          </w:tcPr>
          <w:p>
            <w:pPr>
              <w:spacing w:after="0"/>
              <w:rPr>
                <w:sz w:val="3"/>
                <w:szCs w:val="3"/>
                <w:color w:val="auto"/>
              </w:rPr>
            </w:pPr>
          </w:p>
        </w:tc>
        <w:tc>
          <w:tcPr>
            <w:tcW w:w="1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540" w:type="dxa"/>
            <w:vAlign w:val="bottom"/>
            <w:vMerge w:val="continue"/>
          </w:tcPr>
          <w:p>
            <w:pPr>
              <w:spacing w:after="0"/>
              <w:rPr>
                <w:sz w:val="3"/>
                <w:szCs w:val="3"/>
                <w:color w:val="auto"/>
              </w:rPr>
            </w:pPr>
          </w:p>
        </w:tc>
        <w:tc>
          <w:tcPr>
            <w:tcW w:w="1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4.3</w:t>
            </w:r>
          </w:p>
        </w:tc>
        <w:tc>
          <w:tcPr>
            <w:tcW w:w="1420" w:type="dxa"/>
            <w:vAlign w:val="bottom"/>
            <w:tcBorders>
              <w:bottom w:val="single" w:sz="8" w:color="0E32E1"/>
            </w:tcBorders>
            <w:gridSpan w:val="7"/>
            <w:vMerge w:val="continue"/>
          </w:tcPr>
          <w:p>
            <w:pPr>
              <w:spacing w:after="0"/>
              <w:rPr>
                <w:sz w:val="14"/>
                <w:szCs w:val="14"/>
                <w:color w:val="auto"/>
              </w:rPr>
            </w:pPr>
          </w:p>
        </w:tc>
        <w:tc>
          <w:tcPr>
            <w:tcW w:w="1520" w:type="dxa"/>
            <w:vAlign w:val="bottom"/>
            <w:gridSpan w:val="13"/>
            <w:vMerge w:val="continue"/>
          </w:tcPr>
          <w:p>
            <w:pPr>
              <w:spacing w:after="0"/>
              <w:rPr>
                <w:sz w:val="14"/>
                <w:szCs w:val="14"/>
                <w:color w:val="auto"/>
              </w:rPr>
            </w:pPr>
          </w:p>
        </w:tc>
        <w:tc>
          <w:tcPr>
            <w:tcW w:w="1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10-K</w:t>
            </w:r>
          </w:p>
        </w:tc>
        <w:tc>
          <w:tcPr>
            <w:tcW w:w="146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color w:val="auto"/>
              </w:rPr>
              <w:t>4.4</w:t>
            </w:r>
          </w:p>
        </w:tc>
        <w:tc>
          <w:tcPr>
            <w:tcW w:w="15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February 25, 2022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2940" w:type="dxa"/>
            <w:vAlign w:val="bottom"/>
            <w:gridSpan w:val="20"/>
          </w:tcPr>
          <w:p>
            <w:pPr>
              <w:spacing w:after="0"/>
              <w:rPr>
                <w:rFonts w:ascii="Times New Roman" w:cs="Times New Roman" w:eastAsia="Times New Roman" w:hAnsi="Times New Roman"/>
                <w:sz w:val="14"/>
                <w:szCs w:val="14"/>
                <w:color w:val="0E32E1"/>
              </w:rPr>
            </w:pPr>
            <w:hyperlink r:id="rId168">
              <w:r>
                <w:rPr>
                  <w:rFonts w:ascii="Times New Roman" w:cs="Times New Roman" w:eastAsia="Times New Roman" w:hAnsi="Times New Roman"/>
                  <w:sz w:val="14"/>
                  <w:szCs w:val="14"/>
                  <w:color w:val="0E32E1"/>
                </w:rPr>
                <w:t>Form of S Corporation Termination and Tax</w:t>
              </w:r>
            </w:hyperlink>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333-255143</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9, 2021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1100" w:type="dxa"/>
            <w:vAlign w:val="bottom"/>
            <w:tcBorders>
              <w:top w:val="single" w:sz="8" w:color="0E32E1"/>
              <w:bottom w:val="single" w:sz="8" w:color="0E32E1"/>
            </w:tcBorders>
            <w:gridSpan w:val="5"/>
          </w:tcPr>
          <w:p>
            <w:pPr>
              <w:spacing w:after="0" w:line="140" w:lineRule="exact"/>
              <w:rPr>
                <w:rFonts w:ascii="Times New Roman" w:cs="Times New Roman" w:eastAsia="Times New Roman" w:hAnsi="Times New Roman"/>
                <w:sz w:val="14"/>
                <w:szCs w:val="14"/>
                <w:color w:val="0E32E1"/>
                <w:w w:val="98"/>
              </w:rPr>
            </w:pPr>
            <w:hyperlink r:id="rId168">
              <w:r>
                <w:rPr>
                  <w:rFonts w:ascii="Times New Roman" w:cs="Times New Roman" w:eastAsia="Times New Roman" w:hAnsi="Times New Roman"/>
                  <w:sz w:val="14"/>
                  <w:szCs w:val="14"/>
                  <w:color w:val="0E32E1"/>
                  <w:w w:val="98"/>
                </w:rPr>
                <w:t>Sharing Agreement</w:t>
              </w:r>
            </w:hyperlink>
          </w:p>
        </w:tc>
        <w:tc>
          <w:tcPr>
            <w:tcW w:w="1400" w:type="dxa"/>
            <w:vAlign w:val="bottom"/>
            <w:tcBorders>
              <w:top w:val="single" w:sz="8" w:color="0E32E1"/>
            </w:tcBorders>
            <w:gridSpan w:val="5"/>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2620" w:type="dxa"/>
            <w:vAlign w:val="bottom"/>
            <w:tcBorders>
              <w:bottom w:val="single" w:sz="8" w:color="0E32E1"/>
            </w:tcBorders>
            <w:gridSpan w:val="12"/>
          </w:tcPr>
          <w:p>
            <w:pPr>
              <w:spacing w:after="0"/>
              <w:rPr>
                <w:rFonts w:ascii="Times New Roman" w:cs="Times New Roman" w:eastAsia="Times New Roman" w:hAnsi="Times New Roman"/>
                <w:sz w:val="14"/>
                <w:szCs w:val="14"/>
                <w:color w:val="0E32E1"/>
              </w:rPr>
            </w:pPr>
            <w:hyperlink r:id="rId169">
              <w:r>
                <w:rPr>
                  <w:rFonts w:ascii="Times New Roman" w:cs="Times New Roman" w:eastAsia="Times New Roman" w:hAnsi="Times New Roman"/>
                  <w:sz w:val="14"/>
                  <w:szCs w:val="14"/>
                  <w:color w:val="0E32E1"/>
                </w:rPr>
                <w:t>Five Star Bancorp 2021 Equity Incentive Plan</w:t>
              </w:r>
            </w:hyperlink>
          </w:p>
        </w:tc>
        <w:tc>
          <w:tcPr>
            <w:tcW w:w="320" w:type="dxa"/>
            <w:vAlign w:val="bottom"/>
            <w:gridSpan w:val="8"/>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333-255143</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10.4</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26, 2021</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2940" w:type="dxa"/>
            <w:vAlign w:val="bottom"/>
            <w:gridSpan w:val="20"/>
          </w:tcPr>
          <w:p>
            <w:pPr>
              <w:spacing w:after="0"/>
              <w:rPr>
                <w:rFonts w:ascii="Times New Roman" w:cs="Times New Roman" w:eastAsia="Times New Roman" w:hAnsi="Times New Roman"/>
                <w:sz w:val="14"/>
                <w:szCs w:val="14"/>
                <w:color w:val="0E32E1"/>
              </w:rPr>
            </w:pPr>
            <w:hyperlink r:id="rId170">
              <w:r>
                <w:rPr>
                  <w:rFonts w:ascii="Times New Roman" w:cs="Times New Roman" w:eastAsia="Times New Roman" w:hAnsi="Times New Roman"/>
                  <w:sz w:val="14"/>
                  <w:szCs w:val="14"/>
                  <w:color w:val="0E32E1"/>
                </w:rPr>
                <w:t>Form of Restricted Stock Vesting Agreement</w:t>
              </w:r>
            </w:hyperlink>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w:t>
            </w:r>
          </w:p>
        </w:tc>
        <w:tc>
          <w:tcPr>
            <w:tcW w:w="14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333-255143</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10.5</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April 9, 2021</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2080" w:type="dxa"/>
            <w:vAlign w:val="bottom"/>
            <w:tcBorders>
              <w:top w:val="single" w:sz="8" w:color="0E32E1"/>
              <w:bottom w:val="single" w:sz="8" w:color="0E32E1"/>
            </w:tcBorders>
            <w:gridSpan w:val="9"/>
          </w:tcPr>
          <w:p>
            <w:pPr>
              <w:spacing w:after="0" w:line="140" w:lineRule="exact"/>
              <w:rPr>
                <w:rFonts w:ascii="Times New Roman" w:cs="Times New Roman" w:eastAsia="Times New Roman" w:hAnsi="Times New Roman"/>
                <w:sz w:val="14"/>
                <w:szCs w:val="14"/>
                <w:color w:val="0E32E1"/>
              </w:rPr>
            </w:pPr>
            <w:hyperlink r:id="rId170">
              <w:r>
                <w:rPr>
                  <w:rFonts w:ascii="Times New Roman" w:cs="Times New Roman" w:eastAsia="Times New Roman" w:hAnsi="Times New Roman"/>
                  <w:sz w:val="14"/>
                  <w:szCs w:val="14"/>
                  <w:color w:val="0E32E1"/>
                </w:rPr>
                <w:t>pursuant to Historical Incentive Plan</w:t>
              </w:r>
            </w:hyperlink>
          </w:p>
        </w:tc>
        <w:tc>
          <w:tcPr>
            <w:tcW w:w="460" w:type="dxa"/>
            <w:vAlign w:val="bottom"/>
            <w:tcBorders>
              <w:top w:val="single" w:sz="8" w:color="0E32E1"/>
            </w:tcBorders>
            <w:gridSpan w:val="2"/>
          </w:tcPr>
          <w:p>
            <w:pPr>
              <w:spacing w:after="0"/>
              <w:rPr>
                <w:sz w:val="12"/>
                <w:szCs w:val="12"/>
                <w:color w:val="auto"/>
              </w:rPr>
            </w:pPr>
          </w:p>
        </w:tc>
        <w:tc>
          <w:tcPr>
            <w:tcW w:w="1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2940" w:type="dxa"/>
            <w:vAlign w:val="bottom"/>
            <w:gridSpan w:val="20"/>
          </w:tcPr>
          <w:p>
            <w:pPr>
              <w:spacing w:after="0"/>
              <w:rPr>
                <w:rFonts w:ascii="Times New Roman" w:cs="Times New Roman" w:eastAsia="Times New Roman" w:hAnsi="Times New Roman"/>
                <w:sz w:val="14"/>
                <w:szCs w:val="14"/>
                <w:color w:val="0E32E1"/>
              </w:rPr>
            </w:pPr>
            <w:hyperlink r:id="rId171">
              <w:r>
                <w:rPr>
                  <w:rFonts w:ascii="Times New Roman" w:cs="Times New Roman" w:eastAsia="Times New Roman" w:hAnsi="Times New Roman"/>
                  <w:sz w:val="14"/>
                  <w:szCs w:val="14"/>
                  <w:color w:val="0E32E1"/>
                </w:rPr>
                <w:t>Form of Restricted Stock Vesting Agreement for</w:t>
              </w:r>
            </w:hyperlink>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10-K</w:t>
            </w:r>
          </w:p>
        </w:tc>
        <w:tc>
          <w:tcPr>
            <w:tcW w:w="14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10.4</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25, 2022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20" w:type="dxa"/>
            <w:vAlign w:val="bottom"/>
            <w:gridSpan w:val="6"/>
            <w:shd w:val="clear" w:color="auto" w:fill="0E32E1"/>
          </w:tcPr>
          <w:p>
            <w:pPr>
              <w:spacing w:after="0" w:line="20" w:lineRule="exact"/>
              <w:rPr>
                <w:sz w:val="1"/>
                <w:szCs w:val="1"/>
                <w:color w:val="auto"/>
              </w:rPr>
            </w:pPr>
          </w:p>
        </w:tc>
        <w:tc>
          <w:tcPr>
            <w:tcW w:w="840" w:type="dxa"/>
            <w:vAlign w:val="bottom"/>
            <w:gridSpan w:val="2"/>
            <w:shd w:val="clear" w:color="auto" w:fill="0E32E1"/>
          </w:tcPr>
          <w:p>
            <w:pPr>
              <w:spacing w:after="0" w:line="20" w:lineRule="exact"/>
              <w:rPr>
                <w:sz w:val="1"/>
                <w:szCs w:val="1"/>
                <w:color w:val="auto"/>
              </w:rPr>
            </w:pPr>
          </w:p>
        </w:tc>
        <w:tc>
          <w:tcPr>
            <w:tcW w:w="640" w:type="dxa"/>
            <w:vAlign w:val="bottom"/>
            <w:gridSpan w:val="6"/>
            <w:shd w:val="clear" w:color="auto" w:fill="0E32E1"/>
          </w:tcPr>
          <w:p>
            <w:pPr>
              <w:spacing w:after="0" w:line="20" w:lineRule="exact"/>
              <w:rPr>
                <w:sz w:val="1"/>
                <w:szCs w:val="1"/>
                <w:color w:val="auto"/>
              </w:rPr>
            </w:pPr>
          </w:p>
        </w:tc>
        <w:tc>
          <w:tcPr>
            <w:tcW w:w="4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80" w:type="dxa"/>
            <w:vAlign w:val="bottom"/>
          </w:tcPr>
          <w:p>
            <w:pPr>
              <w:spacing w:after="0"/>
              <w:rPr>
                <w:sz w:val="11"/>
                <w:szCs w:val="11"/>
                <w:color w:val="auto"/>
              </w:rPr>
            </w:pPr>
          </w:p>
        </w:tc>
        <w:tc>
          <w:tcPr>
            <w:tcW w:w="2940" w:type="dxa"/>
            <w:vAlign w:val="bottom"/>
            <w:gridSpan w:val="20"/>
          </w:tcPr>
          <w:p>
            <w:pPr>
              <w:spacing w:after="0" w:line="129" w:lineRule="exact"/>
              <w:rPr>
                <w:rFonts w:ascii="Times New Roman" w:cs="Times New Roman" w:eastAsia="Times New Roman" w:hAnsi="Times New Roman"/>
                <w:sz w:val="14"/>
                <w:szCs w:val="14"/>
                <w:color w:val="0E32E1"/>
              </w:rPr>
            </w:pPr>
            <w:hyperlink r:id="rId171">
              <w:r>
                <w:rPr>
                  <w:rFonts w:ascii="Times New Roman" w:cs="Times New Roman" w:eastAsia="Times New Roman" w:hAnsi="Times New Roman"/>
                  <w:sz w:val="14"/>
                  <w:szCs w:val="14"/>
                  <w:color w:val="0E32E1"/>
                </w:rPr>
                <w:t>Executives pursuant to the Five Star Bancorp 2021</w:t>
              </w:r>
            </w:hyperlink>
          </w:p>
        </w:tc>
        <w:tc>
          <w:tcPr>
            <w:tcW w:w="1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880" w:type="dxa"/>
            <w:vAlign w:val="bottom"/>
            <w:tcBorders>
              <w:top w:val="single" w:sz="8" w:color="0E32E1"/>
            </w:tcBorders>
            <w:gridSpan w:val="17"/>
          </w:tcPr>
          <w:p>
            <w:pPr>
              <w:spacing w:after="0" w:line="119" w:lineRule="exact"/>
              <w:rPr>
                <w:rFonts w:ascii="Times New Roman" w:cs="Times New Roman" w:eastAsia="Times New Roman" w:hAnsi="Times New Roman"/>
                <w:sz w:val="13"/>
                <w:szCs w:val="13"/>
                <w:color w:val="0E32E1"/>
              </w:rPr>
            </w:pPr>
            <w:hyperlink r:id="rId171">
              <w:r>
                <w:rPr>
                  <w:rFonts w:ascii="Times New Roman" w:cs="Times New Roman" w:eastAsia="Times New Roman" w:hAnsi="Times New Roman"/>
                  <w:sz w:val="13"/>
                  <w:szCs w:val="13"/>
                  <w:color w:val="0E32E1"/>
                </w:rPr>
                <w:t>Equity Incentive Plan</w:t>
              </w:r>
            </w:hyperlink>
          </w:p>
        </w:tc>
        <w:tc>
          <w:tcPr>
            <w:tcW w:w="60" w:type="dxa"/>
            <w:vAlign w:val="bottom"/>
            <w:gridSpan w:val="3"/>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20" w:type="dxa"/>
            <w:vAlign w:val="bottom"/>
            <w:gridSpan w:val="6"/>
            <w:shd w:val="clear" w:color="auto" w:fill="0E32E1"/>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3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w w:val="97"/>
              </w:rPr>
              <w:t>10.5</w:t>
            </w:r>
          </w:p>
        </w:tc>
        <w:tc>
          <w:tcPr>
            <w:tcW w:w="2940" w:type="dxa"/>
            <w:vAlign w:val="bottom"/>
            <w:gridSpan w:val="20"/>
          </w:tcPr>
          <w:p>
            <w:pPr>
              <w:spacing w:after="0" w:line="151" w:lineRule="exact"/>
              <w:rPr>
                <w:rFonts w:ascii="Times New Roman" w:cs="Times New Roman" w:eastAsia="Times New Roman" w:hAnsi="Times New Roman"/>
                <w:sz w:val="14"/>
                <w:szCs w:val="14"/>
                <w:color w:val="0E32E1"/>
              </w:rPr>
            </w:pPr>
            <w:hyperlink r:id="rId172">
              <w:r>
                <w:rPr>
                  <w:rFonts w:ascii="Times New Roman" w:cs="Times New Roman" w:eastAsia="Times New Roman" w:hAnsi="Times New Roman"/>
                  <w:sz w:val="14"/>
                  <w:szCs w:val="14"/>
                  <w:color w:val="0E32E1"/>
                </w:rPr>
                <w:t>Form of Restricted Stock Vesting Agreement for</w:t>
              </w:r>
            </w:hyperlink>
          </w:p>
        </w:tc>
        <w:tc>
          <w:tcPr>
            <w:tcW w:w="1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10-K</w:t>
            </w:r>
          </w:p>
        </w:tc>
        <w:tc>
          <w:tcPr>
            <w:tcW w:w="146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line="151" w:lineRule="exact"/>
              <w:rPr>
                <w:sz w:val="20"/>
                <w:szCs w:val="20"/>
                <w:color w:val="auto"/>
              </w:rPr>
            </w:pPr>
            <w:r>
              <w:rPr>
                <w:rFonts w:ascii="Times New Roman" w:cs="Times New Roman" w:eastAsia="Times New Roman" w:hAnsi="Times New Roman"/>
                <w:sz w:val="14"/>
                <w:szCs w:val="14"/>
                <w:color w:val="auto"/>
              </w:rPr>
              <w:t>10.5</w:t>
            </w:r>
          </w:p>
        </w:tc>
        <w:tc>
          <w:tcPr>
            <w:tcW w:w="15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color w:val="auto"/>
              </w:rPr>
              <w:t>February 25, 2022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2740" w:type="dxa"/>
            <w:vAlign w:val="bottom"/>
            <w:tcBorders>
              <w:top w:val="single" w:sz="8" w:color="0E32E1"/>
              <w:bottom w:val="single" w:sz="8" w:color="0E32E1"/>
            </w:tcBorders>
            <w:gridSpan w:val="15"/>
          </w:tcPr>
          <w:p>
            <w:pPr>
              <w:spacing w:after="0" w:line="129" w:lineRule="exact"/>
              <w:rPr>
                <w:rFonts w:ascii="Times New Roman" w:cs="Times New Roman" w:eastAsia="Times New Roman" w:hAnsi="Times New Roman"/>
                <w:sz w:val="14"/>
                <w:szCs w:val="14"/>
                <w:color w:val="0E32E1"/>
                <w:w w:val="97"/>
              </w:rPr>
            </w:pPr>
            <w:hyperlink r:id="rId172">
              <w:r>
                <w:rPr>
                  <w:rFonts w:ascii="Times New Roman" w:cs="Times New Roman" w:eastAsia="Times New Roman" w:hAnsi="Times New Roman"/>
                  <w:sz w:val="14"/>
                  <w:szCs w:val="14"/>
                  <w:color w:val="0E32E1"/>
                  <w:w w:val="97"/>
                </w:rPr>
                <w:t>Directors pursuant to the Five Star Bancorp 2021</w:t>
              </w:r>
            </w:hyperlink>
          </w:p>
        </w:tc>
        <w:tc>
          <w:tcPr>
            <w:tcW w:w="60" w:type="dxa"/>
            <w:vAlign w:val="bottom"/>
            <w:tcBorders>
              <w:bottom w:val="single" w:sz="8" w:color="0E32E1"/>
            </w:tcBorders>
          </w:tcPr>
          <w:p>
            <w:pPr>
              <w:spacing w:after="0"/>
              <w:rPr>
                <w:sz w:val="11"/>
                <w:szCs w:val="11"/>
                <w:color w:val="auto"/>
              </w:rPr>
            </w:pPr>
          </w:p>
        </w:tc>
        <w:tc>
          <w:tcPr>
            <w:tcW w:w="140" w:type="dxa"/>
            <w:vAlign w:val="bottom"/>
            <w:gridSpan w:val="4"/>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800" w:type="dxa"/>
            <w:vAlign w:val="bottom"/>
            <w:gridSpan w:val="16"/>
          </w:tcPr>
          <w:p>
            <w:pPr>
              <w:spacing w:after="0" w:line="119" w:lineRule="exact"/>
              <w:rPr>
                <w:rFonts w:ascii="Times New Roman" w:cs="Times New Roman" w:eastAsia="Times New Roman" w:hAnsi="Times New Roman"/>
                <w:sz w:val="13"/>
                <w:szCs w:val="13"/>
                <w:color w:val="0E32E1"/>
              </w:rPr>
            </w:pPr>
            <w:hyperlink r:id="rId172">
              <w:r>
                <w:rPr>
                  <w:rFonts w:ascii="Times New Roman" w:cs="Times New Roman" w:eastAsia="Times New Roman" w:hAnsi="Times New Roman"/>
                  <w:sz w:val="13"/>
                  <w:szCs w:val="13"/>
                  <w:color w:val="0E32E1"/>
                </w:rPr>
                <w:t>Equity Incentive Plan</w:t>
              </w:r>
            </w:hyperlink>
          </w:p>
        </w:tc>
        <w:tc>
          <w:tcPr>
            <w:tcW w:w="140" w:type="dxa"/>
            <w:vAlign w:val="bottom"/>
            <w:gridSpan w:val="4"/>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20" w:type="dxa"/>
            <w:vAlign w:val="bottom"/>
            <w:gridSpan w:val="6"/>
            <w:shd w:val="clear" w:color="auto" w:fill="0E32E1"/>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2740" w:type="dxa"/>
            <w:vAlign w:val="bottom"/>
            <w:tcBorders>
              <w:bottom w:val="single" w:sz="8" w:color="0E32E1"/>
            </w:tcBorders>
            <w:gridSpan w:val="15"/>
          </w:tcPr>
          <w:p>
            <w:pPr>
              <w:spacing w:after="0" w:line="151" w:lineRule="exact"/>
              <w:rPr>
                <w:rFonts w:ascii="Times New Roman" w:cs="Times New Roman" w:eastAsia="Times New Roman" w:hAnsi="Times New Roman"/>
                <w:sz w:val="14"/>
                <w:szCs w:val="14"/>
                <w:color w:val="0E32E1"/>
              </w:rPr>
            </w:pPr>
            <w:r>
              <w:rPr>
                <w:rFonts w:ascii="Times New Roman" w:cs="Times New Roman" w:eastAsia="Times New Roman" w:hAnsi="Times New Roman"/>
                <w:sz w:val="14"/>
                <w:szCs w:val="14"/>
                <w:color w:val="0E32E1"/>
              </w:rPr>
              <w:t xml:space="preserve">Five </w:t>
            </w:r>
            <w:hyperlink r:id="rId173">
              <w:r>
                <w:rPr>
                  <w:rFonts w:ascii="Times New Roman" w:cs="Times New Roman" w:eastAsia="Times New Roman" w:hAnsi="Times New Roman"/>
                  <w:sz w:val="14"/>
                  <w:szCs w:val="14"/>
                  <w:color w:val="0E32E1"/>
                </w:rPr>
                <w:t xml:space="preserve">Star Bank Salary Continuation </w:t>
              </w:r>
            </w:hyperlink>
            <w:r>
              <w:rPr>
                <w:rFonts w:ascii="Times New Roman" w:cs="Times New Roman" w:eastAsia="Times New Roman" w:hAnsi="Times New Roman"/>
                <w:sz w:val="14"/>
                <w:szCs w:val="14"/>
                <w:color w:val="0E32E1"/>
              </w:rPr>
              <w:t>Agreement,</w:t>
            </w:r>
          </w:p>
        </w:tc>
        <w:tc>
          <w:tcPr>
            <w:tcW w:w="200" w:type="dxa"/>
            <w:vAlign w:val="bottom"/>
            <w:gridSpan w:val="5"/>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10-Q</w:t>
            </w:r>
          </w:p>
        </w:tc>
        <w:tc>
          <w:tcPr>
            <w:tcW w:w="146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001-40379</w:t>
            </w:r>
          </w:p>
        </w:tc>
        <w:tc>
          <w:tcPr>
            <w:tcW w:w="154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9"/>
              </w:rPr>
              <w:t>Exhibit A of 10.1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 12, 2022</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2740" w:type="dxa"/>
            <w:vAlign w:val="bottom"/>
            <w:gridSpan w:val="15"/>
          </w:tcPr>
          <w:p>
            <w:pPr>
              <w:spacing w:after="0" w:line="129" w:lineRule="exact"/>
              <w:rPr>
                <w:rFonts w:ascii="Times New Roman" w:cs="Times New Roman" w:eastAsia="Times New Roman" w:hAnsi="Times New Roman"/>
                <w:sz w:val="14"/>
                <w:szCs w:val="14"/>
                <w:color w:val="0E32E1"/>
              </w:rPr>
            </w:pPr>
            <w:hyperlink r:id="rId173">
              <w:r>
                <w:rPr>
                  <w:rFonts w:ascii="Times New Roman" w:cs="Times New Roman" w:eastAsia="Times New Roman" w:hAnsi="Times New Roman"/>
                  <w:sz w:val="14"/>
                  <w:szCs w:val="14"/>
                  <w:color w:val="0E32E1"/>
                </w:rPr>
                <w:t>dated September 1, 2007, as amended, between</w:t>
              </w:r>
            </w:hyperlink>
          </w:p>
        </w:tc>
        <w:tc>
          <w:tcPr>
            <w:tcW w:w="200" w:type="dxa"/>
            <w:vAlign w:val="bottom"/>
            <w:gridSpan w:val="5"/>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80" w:type="dxa"/>
            <w:vAlign w:val="bottom"/>
          </w:tcPr>
          <w:p>
            <w:pPr>
              <w:spacing w:after="0"/>
              <w:rPr>
                <w:sz w:val="10"/>
                <w:szCs w:val="10"/>
                <w:color w:val="auto"/>
              </w:rPr>
            </w:pPr>
          </w:p>
        </w:tc>
        <w:tc>
          <w:tcPr>
            <w:tcW w:w="2060" w:type="dxa"/>
            <w:vAlign w:val="bottom"/>
            <w:tcBorders>
              <w:top w:val="single" w:sz="8" w:color="0E32E1"/>
              <w:bottom w:val="single" w:sz="8" w:color="0E32E1"/>
            </w:tcBorders>
            <w:gridSpan w:val="8"/>
          </w:tcPr>
          <w:p>
            <w:pPr>
              <w:spacing w:after="0" w:line="119" w:lineRule="exact"/>
              <w:rPr>
                <w:rFonts w:ascii="Times New Roman" w:cs="Times New Roman" w:eastAsia="Times New Roman" w:hAnsi="Times New Roman"/>
                <w:sz w:val="13"/>
                <w:szCs w:val="13"/>
                <w:color w:val="0E32E1"/>
              </w:rPr>
            </w:pPr>
            <w:hyperlink r:id="rId173">
              <w:r>
                <w:rPr>
                  <w:rFonts w:ascii="Times New Roman" w:cs="Times New Roman" w:eastAsia="Times New Roman" w:hAnsi="Times New Roman"/>
                  <w:sz w:val="13"/>
                  <w:szCs w:val="13"/>
                  <w:color w:val="0E32E1"/>
                </w:rPr>
                <w:t>Five Star Bank and James Beckwith</w:t>
              </w:r>
            </w:hyperlink>
          </w:p>
        </w:tc>
        <w:tc>
          <w:tcPr>
            <w:tcW w:w="640" w:type="dxa"/>
            <w:vAlign w:val="bottom"/>
            <w:tcBorders>
              <w:top w:val="single" w:sz="8" w:color="0E32E1"/>
            </w:tcBorders>
            <w:gridSpan w:val="6"/>
          </w:tcPr>
          <w:p>
            <w:pPr>
              <w:spacing w:after="0"/>
              <w:rPr>
                <w:sz w:val="10"/>
                <w:szCs w:val="10"/>
                <w:color w:val="auto"/>
              </w:rPr>
            </w:pPr>
          </w:p>
        </w:tc>
        <w:tc>
          <w:tcPr>
            <w:tcW w:w="240" w:type="dxa"/>
            <w:vAlign w:val="bottom"/>
            <w:gridSpan w:val="6"/>
          </w:tcPr>
          <w:p>
            <w:pPr>
              <w:spacing w:after="0"/>
              <w:rPr>
                <w:sz w:val="10"/>
                <w:szCs w:val="10"/>
                <w:color w:val="auto"/>
              </w:rPr>
            </w:pPr>
          </w:p>
        </w:tc>
        <w:tc>
          <w:tcPr>
            <w:tcW w:w="12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20" w:h="16838" w:orient="portrait"/>
          <w:cols w:equalWidth="0" w:num="1">
            <w:col w:w="11310"/>
          </w:cols>
          <w:pgMar w:left="310" w:top="927" w:right="298" w:bottom="1440" w:gutter="0" w:footer="0" w:header="0"/>
        </w:sectPr>
      </w:pPr>
    </w:p>
    <w:tbl>
      <w:tblPr>
        <w:tblLayout w:type="fixed"/>
        <w:tblInd w:w="530" w:type="dxa"/>
        <w:tblCellMar>
          <w:top w:w="0" w:type="dxa"/>
          <w:left w:w="0" w:type="dxa"/>
          <w:bottom w:w="0" w:type="dxa"/>
          <w:right w:w="0" w:type="dxa"/>
        </w:tblCellMar>
      </w:tblPr>
      <w:tr>
        <w:trPr>
          <w:trHeight w:val="170"/>
        </w:trPr>
        <w:tc>
          <w:tcPr>
            <w:tcW w:w="860" w:type="dxa"/>
            <w:vAlign w:val="bottom"/>
          </w:tcPr>
          <w:p>
            <w:pPr>
              <w:jc w:val="right"/>
              <w:ind w:right="509"/>
              <w:spacing w:after="0" w:line="151" w:lineRule="exact"/>
              <w:rPr>
                <w:sz w:val="20"/>
                <w:szCs w:val="20"/>
                <w:color w:val="auto"/>
              </w:rPr>
            </w:pPr>
            <w:r>
              <w:rPr>
                <w:rFonts w:ascii="Times New Roman" w:cs="Times New Roman" w:eastAsia="Times New Roman" w:hAnsi="Times New Roman"/>
                <w:sz w:val="14"/>
                <w:szCs w:val="14"/>
                <w:color w:val="auto"/>
              </w:rPr>
              <w:t>10.7</w:t>
            </w:r>
          </w:p>
        </w:tc>
        <w:tc>
          <w:tcPr>
            <w:tcW w:w="2860" w:type="dxa"/>
            <w:vAlign w:val="bottom"/>
            <w:gridSpan w:val="6"/>
          </w:tcPr>
          <w:p>
            <w:pPr>
              <w:spacing w:after="0" w:line="151" w:lineRule="exact"/>
              <w:rPr>
                <w:rFonts w:ascii="Times New Roman" w:cs="Times New Roman" w:eastAsia="Times New Roman" w:hAnsi="Times New Roman"/>
                <w:sz w:val="14"/>
                <w:szCs w:val="14"/>
                <w:color w:val="0E32E1"/>
              </w:rPr>
            </w:pPr>
            <w:hyperlink r:id="rId166">
              <w:r>
                <w:rPr>
                  <w:rFonts w:ascii="Times New Roman" w:cs="Times New Roman" w:eastAsia="Times New Roman" w:hAnsi="Times New Roman"/>
                  <w:sz w:val="14"/>
                  <w:szCs w:val="14"/>
                  <w:color w:val="0E32E1"/>
                </w:rPr>
                <w:t>Form of Subordinated Note Purchase Agreement</w:t>
              </w:r>
            </w:hyperlink>
          </w:p>
        </w:tc>
      </w:tr>
      <w:tr>
        <w:trPr>
          <w:trHeight w:val="129"/>
        </w:trPr>
        <w:tc>
          <w:tcPr>
            <w:tcW w:w="860" w:type="dxa"/>
            <w:vAlign w:val="bottom"/>
          </w:tcPr>
          <w:p>
            <w:pPr>
              <w:spacing w:after="0"/>
              <w:rPr>
                <w:sz w:val="11"/>
                <w:szCs w:val="11"/>
                <w:color w:val="auto"/>
              </w:rPr>
            </w:pPr>
          </w:p>
        </w:tc>
        <w:tc>
          <w:tcPr>
            <w:tcW w:w="2760" w:type="dxa"/>
            <w:vAlign w:val="bottom"/>
            <w:tcBorders>
              <w:top w:val="single" w:sz="8" w:color="0E32E1"/>
            </w:tcBorders>
            <w:gridSpan w:val="5"/>
          </w:tcPr>
          <w:p>
            <w:pPr>
              <w:spacing w:after="0" w:line="129" w:lineRule="exact"/>
              <w:rPr>
                <w:rFonts w:ascii="Times New Roman" w:cs="Times New Roman" w:eastAsia="Times New Roman" w:hAnsi="Times New Roman"/>
                <w:sz w:val="14"/>
                <w:szCs w:val="14"/>
                <w:color w:val="0E32E1"/>
              </w:rPr>
            </w:pPr>
            <w:hyperlink r:id="rId166">
              <w:r>
                <w:rPr>
                  <w:rFonts w:ascii="Times New Roman" w:cs="Times New Roman" w:eastAsia="Times New Roman" w:hAnsi="Times New Roman"/>
                  <w:sz w:val="14"/>
                  <w:szCs w:val="14"/>
                  <w:color w:val="0E32E1"/>
                </w:rPr>
                <w:t>for 6.0% Fixed-to-Floating Rate Subordinated</w:t>
              </w:r>
            </w:hyperlink>
          </w:p>
        </w:tc>
        <w:tc>
          <w:tcPr>
            <w:tcW w:w="100" w:type="dxa"/>
            <w:vAlign w:val="bottom"/>
          </w:tcPr>
          <w:p>
            <w:pPr>
              <w:spacing w:after="0"/>
              <w:rPr>
                <w:sz w:val="11"/>
                <w:szCs w:val="11"/>
                <w:color w:val="auto"/>
              </w:rPr>
            </w:pPr>
          </w:p>
        </w:tc>
      </w:tr>
      <w:tr>
        <w:trPr>
          <w:trHeight w:val="118"/>
        </w:trPr>
        <w:tc>
          <w:tcPr>
            <w:tcW w:w="860" w:type="dxa"/>
            <w:vAlign w:val="bottom"/>
          </w:tcPr>
          <w:p>
            <w:pPr>
              <w:spacing w:after="0"/>
              <w:rPr>
                <w:sz w:val="10"/>
                <w:szCs w:val="10"/>
                <w:color w:val="auto"/>
              </w:rPr>
            </w:pPr>
          </w:p>
        </w:tc>
        <w:tc>
          <w:tcPr>
            <w:tcW w:w="2620" w:type="dxa"/>
            <w:vAlign w:val="bottom"/>
            <w:tcBorders>
              <w:top w:val="single" w:sz="8" w:color="0E32E1"/>
            </w:tcBorders>
            <w:gridSpan w:val="4"/>
          </w:tcPr>
          <w:p>
            <w:pPr>
              <w:spacing w:after="0" w:line="119" w:lineRule="exact"/>
              <w:rPr>
                <w:rFonts w:ascii="Times New Roman" w:cs="Times New Roman" w:eastAsia="Times New Roman" w:hAnsi="Times New Roman"/>
                <w:sz w:val="13"/>
                <w:szCs w:val="13"/>
                <w:color w:val="0E32E1"/>
              </w:rPr>
            </w:pPr>
            <w:hyperlink r:id="rId166">
              <w:r>
                <w:rPr>
                  <w:rFonts w:ascii="Times New Roman" w:cs="Times New Roman" w:eastAsia="Times New Roman" w:hAnsi="Times New Roman"/>
                  <w:sz w:val="13"/>
                  <w:szCs w:val="13"/>
                  <w:color w:val="0E32E1"/>
                </w:rPr>
                <w:t>Notes Due 2032</w:t>
              </w:r>
            </w:hyperlink>
          </w:p>
        </w:tc>
        <w:tc>
          <w:tcPr>
            <w:tcW w:w="240" w:type="dxa"/>
            <w:vAlign w:val="bottom"/>
            <w:gridSpan w:val="2"/>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shd w:val="clear" w:color="auto" w:fill="0E32E1"/>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161"/>
        </w:trPr>
        <w:tc>
          <w:tcPr>
            <w:tcW w:w="860" w:type="dxa"/>
            <w:vAlign w:val="bottom"/>
          </w:tcPr>
          <w:p>
            <w:pPr>
              <w:jc w:val="right"/>
              <w:ind w:right="469"/>
              <w:spacing w:after="0" w:line="151" w:lineRule="exact"/>
              <w:rPr>
                <w:sz w:val="20"/>
                <w:szCs w:val="20"/>
                <w:color w:val="auto"/>
              </w:rPr>
            </w:pPr>
            <w:r>
              <w:rPr>
                <w:rFonts w:ascii="Times New Roman" w:cs="Times New Roman" w:eastAsia="Times New Roman" w:hAnsi="Times New Roman"/>
                <w:sz w:val="14"/>
                <w:szCs w:val="14"/>
                <w:color w:val="auto"/>
                <w:w w:val="95"/>
              </w:rPr>
              <w:t>10.8*</w:t>
            </w:r>
          </w:p>
        </w:tc>
        <w:tc>
          <w:tcPr>
            <w:tcW w:w="2860" w:type="dxa"/>
            <w:vAlign w:val="bottom"/>
            <w:tcBorders>
              <w:bottom w:val="single" w:sz="8" w:color="0E32E1"/>
            </w:tcBorders>
            <w:gridSpan w:val="6"/>
          </w:tcPr>
          <w:p>
            <w:pPr>
              <w:spacing w:after="0" w:line="151" w:lineRule="exact"/>
              <w:rPr>
                <w:rFonts w:ascii="Times New Roman" w:cs="Times New Roman" w:eastAsia="Times New Roman" w:hAnsi="Times New Roman"/>
                <w:sz w:val="14"/>
                <w:szCs w:val="14"/>
                <w:color w:val="0E32E1"/>
              </w:rPr>
            </w:pPr>
            <w:hyperlink r:id="rId174">
              <w:r>
                <w:rPr>
                  <w:rFonts w:ascii="Times New Roman" w:cs="Times New Roman" w:eastAsia="Times New Roman" w:hAnsi="Times New Roman"/>
                  <w:sz w:val="14"/>
                  <w:szCs w:val="14"/>
                  <w:color w:val="0E32E1"/>
                </w:rPr>
                <w:t>Executive Employment Agreement, effective May</w:t>
              </w:r>
            </w:hyperlink>
          </w:p>
        </w:tc>
      </w:tr>
      <w:tr>
        <w:trPr>
          <w:trHeight w:val="129"/>
        </w:trPr>
        <w:tc>
          <w:tcPr>
            <w:tcW w:w="860" w:type="dxa"/>
            <w:vAlign w:val="bottom"/>
          </w:tcPr>
          <w:p>
            <w:pPr>
              <w:spacing w:after="0"/>
              <w:rPr>
                <w:sz w:val="11"/>
                <w:szCs w:val="11"/>
                <w:color w:val="auto"/>
              </w:rPr>
            </w:pPr>
          </w:p>
        </w:tc>
        <w:tc>
          <w:tcPr>
            <w:tcW w:w="2860" w:type="dxa"/>
            <w:vAlign w:val="bottom"/>
            <w:gridSpan w:val="6"/>
          </w:tcPr>
          <w:p>
            <w:pPr>
              <w:spacing w:after="0" w:line="129" w:lineRule="exact"/>
              <w:rPr>
                <w:rFonts w:ascii="Times New Roman" w:cs="Times New Roman" w:eastAsia="Times New Roman" w:hAnsi="Times New Roman"/>
                <w:sz w:val="14"/>
                <w:szCs w:val="14"/>
                <w:color w:val="0E32E1"/>
              </w:rPr>
            </w:pPr>
            <w:hyperlink r:id="rId174">
              <w:r>
                <w:rPr>
                  <w:rFonts w:ascii="Times New Roman" w:cs="Times New Roman" w:eastAsia="Times New Roman" w:hAnsi="Times New Roman"/>
                  <w:sz w:val="14"/>
                  <w:szCs w:val="14"/>
                  <w:color w:val="0E32E1"/>
                </w:rPr>
                <w:t>5, 2025, between Five Star Bank and James</w:t>
              </w:r>
            </w:hyperlink>
          </w:p>
        </w:tc>
      </w:tr>
      <w:tr>
        <w:trPr>
          <w:trHeight w:val="118"/>
        </w:trPr>
        <w:tc>
          <w:tcPr>
            <w:tcW w:w="860" w:type="dxa"/>
            <w:vAlign w:val="bottom"/>
          </w:tcPr>
          <w:p>
            <w:pPr>
              <w:spacing w:after="0"/>
              <w:rPr>
                <w:sz w:val="10"/>
                <w:szCs w:val="10"/>
                <w:color w:val="auto"/>
              </w:rPr>
            </w:pPr>
          </w:p>
        </w:tc>
        <w:tc>
          <w:tcPr>
            <w:tcW w:w="2480" w:type="dxa"/>
            <w:vAlign w:val="bottom"/>
            <w:tcBorders>
              <w:top w:val="single" w:sz="8" w:color="0E32E1"/>
            </w:tcBorders>
            <w:gridSpan w:val="3"/>
          </w:tcPr>
          <w:p>
            <w:pPr>
              <w:ind w:left="100"/>
              <w:spacing w:after="0" w:line="119" w:lineRule="exact"/>
              <w:rPr>
                <w:rFonts w:ascii="Times New Roman" w:cs="Times New Roman" w:eastAsia="Times New Roman" w:hAnsi="Times New Roman"/>
                <w:sz w:val="13"/>
                <w:szCs w:val="13"/>
                <w:color w:val="0E32E1"/>
              </w:rPr>
            </w:pPr>
            <w:hyperlink r:id="rId174">
              <w:r>
                <w:rPr>
                  <w:rFonts w:ascii="Times New Roman" w:cs="Times New Roman" w:eastAsia="Times New Roman" w:hAnsi="Times New Roman"/>
                  <w:sz w:val="13"/>
                  <w:szCs w:val="13"/>
                  <w:color w:val="0E32E1"/>
                </w:rPr>
                <w:t>Beckwith</w:t>
              </w:r>
            </w:hyperlink>
          </w:p>
        </w:tc>
        <w:tc>
          <w:tcPr>
            <w:tcW w:w="380" w:type="dxa"/>
            <w:vAlign w:val="bottom"/>
            <w:gridSpan w:val="3"/>
          </w:tcPr>
          <w:p>
            <w:pPr>
              <w:spacing w:after="0"/>
              <w:rPr>
                <w:sz w:val="10"/>
                <w:szCs w:val="10"/>
                <w:color w:val="auto"/>
              </w:rPr>
            </w:pPr>
          </w:p>
        </w:tc>
      </w:tr>
      <w:tr>
        <w:trPr>
          <w:trHeight w:val="20"/>
        </w:trPr>
        <w:tc>
          <w:tcPr>
            <w:tcW w:w="860" w:type="dxa"/>
            <w:vAlign w:val="bottom"/>
          </w:tcPr>
          <w:p>
            <w:pPr>
              <w:spacing w:after="0" w:line="20" w:lineRule="exact"/>
              <w:rPr>
                <w:sz w:val="1"/>
                <w:szCs w:val="1"/>
                <w:color w:val="auto"/>
              </w:rPr>
            </w:pPr>
          </w:p>
        </w:tc>
        <w:tc>
          <w:tcPr>
            <w:tcW w:w="540" w:type="dxa"/>
            <w:vAlign w:val="bottom"/>
            <w:shd w:val="clear" w:color="auto" w:fill="0E32E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4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8-K</w:t>
            </w:r>
          </w:p>
        </w:tc>
        <w:tc>
          <w:tcPr>
            <w:tcW w:w="1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001-40379</w:t>
            </w: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jc w:val="center"/>
              <w:ind w:left="389"/>
              <w:spacing w:after="0"/>
              <w:rPr>
                <w:sz w:val="20"/>
                <w:szCs w:val="20"/>
                <w:color w:val="auto"/>
              </w:rPr>
            </w:pPr>
            <w:r>
              <w:rPr>
                <w:rFonts w:ascii="Times New Roman" w:cs="Times New Roman" w:eastAsia="Times New Roman" w:hAnsi="Times New Roman"/>
                <w:sz w:val="14"/>
                <w:szCs w:val="14"/>
                <w:color w:val="auto"/>
              </w:rPr>
              <w:t>August 17, 2022</w:t>
            </w:r>
          </w:p>
        </w:tc>
      </w:tr>
      <w:tr>
        <w:trPr>
          <w:trHeight w:val="468"/>
        </w:trPr>
        <w:tc>
          <w:tcPr>
            <w:tcW w:w="740" w:type="dxa"/>
            <w:vAlign w:val="bottom"/>
          </w:tcPr>
          <w:p>
            <w:pPr>
              <w:jc w:val="center"/>
              <w:ind w:right="369"/>
              <w:spacing w:after="0"/>
              <w:rPr>
                <w:sz w:val="20"/>
                <w:szCs w:val="20"/>
                <w:color w:val="auto"/>
              </w:rPr>
            </w:pPr>
            <w:r>
              <w:rPr>
                <w:rFonts w:ascii="Times New Roman" w:cs="Times New Roman" w:eastAsia="Times New Roman" w:hAnsi="Times New Roman"/>
                <w:sz w:val="14"/>
                <w:szCs w:val="14"/>
                <w:color w:val="auto"/>
              </w:rPr>
              <w:t>10-Q</w:t>
            </w:r>
          </w:p>
        </w:tc>
        <w:tc>
          <w:tcPr>
            <w:tcW w:w="1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001-40379</w:t>
            </w:r>
          </w:p>
        </w:tc>
        <w:tc>
          <w:tcPr>
            <w:tcW w:w="12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10.1</w:t>
            </w:r>
          </w:p>
        </w:tc>
        <w:tc>
          <w:tcPr>
            <w:tcW w:w="1400" w:type="dxa"/>
            <w:vAlign w:val="bottom"/>
          </w:tcPr>
          <w:p>
            <w:pPr>
              <w:jc w:val="center"/>
              <w:ind w:left="369"/>
              <w:spacing w:after="0"/>
              <w:rPr>
                <w:sz w:val="20"/>
                <w:szCs w:val="20"/>
                <w:color w:val="auto"/>
              </w:rPr>
            </w:pPr>
            <w:r>
              <w:rPr>
                <w:rFonts w:ascii="Times New Roman" w:cs="Times New Roman" w:eastAsia="Times New Roman" w:hAnsi="Times New Roman"/>
                <w:sz w:val="14"/>
                <w:szCs w:val="14"/>
                <w:color w:val="auto"/>
              </w:rPr>
              <w:t>August 7, 2025</w:t>
            </w:r>
          </w:p>
        </w:tc>
      </w:tr>
    </w:tbl>
    <w:p>
      <w:pPr>
        <w:spacing w:after="0" w:line="456" w:lineRule="exact"/>
        <w:rPr>
          <w:sz w:val="20"/>
          <w:szCs w:val="20"/>
          <w:color w:val="auto"/>
        </w:rPr>
      </w:pPr>
    </w:p>
    <w:p>
      <w:pPr>
        <w:sectPr>
          <w:pgSz w:w="11920" w:h="16838" w:orient="portrait"/>
          <w:cols w:equalWidth="0" w:num="2">
            <w:col w:w="4250" w:space="560"/>
            <w:col w:w="6500"/>
          </w:cols>
          <w:pgMar w:left="310" w:top="927" w:right="298" w:bottom="1440" w:gutter="0" w:footer="0" w:header="0"/>
          <w:type w:val="continuous"/>
        </w:sectPr>
      </w:pPr>
    </w:p>
    <w:p>
      <w:pPr>
        <w:spacing w:after="0" w:line="36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123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927" w:right="298" w:bottom="1440" w:gutter="0" w:footer="0" w:header="0"/>
          <w:type w:val="continuous"/>
        </w:sectPr>
      </w:pPr>
    </w:p>
    <w:bookmarkStart w:id="131" w:name="page132"/>
    <w:bookmarkEnd w:id="131"/>
    <w:tbl>
      <w:tblPr>
        <w:tblLayout w:type="fixed"/>
        <w:tblInd w:w="490" w:type="dxa"/>
        <w:tblCellMar>
          <w:top w:w="0" w:type="dxa"/>
          <w:left w:w="0" w:type="dxa"/>
          <w:bottom w:w="0" w:type="dxa"/>
          <w:right w:w="0" w:type="dxa"/>
        </w:tblCellMar>
      </w:tblPr>
      <w:tr>
        <w:trPr>
          <w:trHeight w:val="181"/>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rPr>
              <w:t>10.9*</w:t>
            </w:r>
          </w:p>
        </w:tc>
        <w:tc>
          <w:tcPr>
            <w:tcW w:w="2940" w:type="dxa"/>
            <w:vAlign w:val="bottom"/>
            <w:gridSpan w:val="18"/>
          </w:tcPr>
          <w:p>
            <w:pPr>
              <w:spacing w:after="0"/>
              <w:rPr>
                <w:rFonts w:ascii="Times New Roman" w:cs="Times New Roman" w:eastAsia="Times New Roman" w:hAnsi="Times New Roman"/>
                <w:sz w:val="14"/>
                <w:szCs w:val="14"/>
                <w:color w:val="0E32E1"/>
              </w:rPr>
            </w:pPr>
            <w:hyperlink r:id="rId176">
              <w:r>
                <w:rPr>
                  <w:rFonts w:ascii="Times New Roman" w:cs="Times New Roman" w:eastAsia="Times New Roman" w:hAnsi="Times New Roman"/>
                  <w:sz w:val="14"/>
                  <w:szCs w:val="14"/>
                  <w:color w:val="0E32E1"/>
                </w:rPr>
                <w:t>Form of Performance Share Award Vesting</w:t>
              </w:r>
            </w:hyperlink>
          </w:p>
        </w:tc>
      </w:tr>
      <w:tr>
        <w:trPr>
          <w:trHeight w:val="118"/>
        </w:trPr>
        <w:tc>
          <w:tcPr>
            <w:tcW w:w="900" w:type="dxa"/>
            <w:vAlign w:val="bottom"/>
          </w:tcPr>
          <w:p>
            <w:pPr>
              <w:spacing w:after="0"/>
              <w:rPr>
                <w:sz w:val="10"/>
                <w:szCs w:val="10"/>
                <w:color w:val="auto"/>
              </w:rPr>
            </w:pPr>
          </w:p>
        </w:tc>
        <w:tc>
          <w:tcPr>
            <w:tcW w:w="2440" w:type="dxa"/>
            <w:vAlign w:val="bottom"/>
            <w:tcBorders>
              <w:top w:val="single" w:sz="8" w:color="0E32E1"/>
              <w:bottom w:val="single" w:sz="8" w:color="0E32E1"/>
            </w:tcBorders>
            <w:gridSpan w:val="8"/>
          </w:tcPr>
          <w:p>
            <w:pPr>
              <w:spacing w:after="0" w:line="119" w:lineRule="exact"/>
              <w:rPr>
                <w:rFonts w:ascii="Times New Roman" w:cs="Times New Roman" w:eastAsia="Times New Roman" w:hAnsi="Times New Roman"/>
                <w:sz w:val="13"/>
                <w:szCs w:val="13"/>
                <w:color w:val="0E32E1"/>
              </w:rPr>
            </w:pPr>
            <w:hyperlink r:id="rId176">
              <w:r>
                <w:rPr>
                  <w:rFonts w:ascii="Times New Roman" w:cs="Times New Roman" w:eastAsia="Times New Roman" w:hAnsi="Times New Roman"/>
                  <w:sz w:val="13"/>
                  <w:szCs w:val="13"/>
                  <w:color w:val="0E32E1"/>
                </w:rPr>
                <w:t>Agreement for Executives pursuant to the</w:t>
              </w:r>
            </w:hyperlink>
          </w:p>
        </w:tc>
        <w:tc>
          <w:tcPr>
            <w:tcW w:w="500" w:type="dxa"/>
            <w:vAlign w:val="bottom"/>
            <w:tcBorders>
              <w:bottom w:val="single" w:sz="8" w:color="0E32E1"/>
            </w:tcBorders>
            <w:gridSpan w:val="10"/>
          </w:tcPr>
          <w:p>
            <w:pPr>
              <w:jc w:val="center"/>
              <w:ind w:right="20"/>
              <w:spacing w:after="0" w:line="119" w:lineRule="exact"/>
              <w:rPr>
                <w:rFonts w:ascii="Times New Roman" w:cs="Times New Roman" w:eastAsia="Times New Roman" w:hAnsi="Times New Roman"/>
                <w:sz w:val="13"/>
                <w:szCs w:val="13"/>
                <w:color w:val="0E32E1"/>
              </w:rPr>
            </w:pPr>
            <w:hyperlink r:id="rId176">
              <w:r>
                <w:rPr>
                  <w:rFonts w:ascii="Times New Roman" w:cs="Times New Roman" w:eastAsia="Times New Roman" w:hAnsi="Times New Roman"/>
                  <w:sz w:val="13"/>
                  <w:szCs w:val="13"/>
                  <w:color w:val="0E32E1"/>
                </w:rPr>
                <w:t>Five Star</w:t>
              </w:r>
            </w:hyperlink>
          </w:p>
        </w:tc>
      </w:tr>
      <w:tr>
        <w:trPr>
          <w:trHeight w:val="129"/>
        </w:trPr>
        <w:tc>
          <w:tcPr>
            <w:tcW w:w="900" w:type="dxa"/>
            <w:vAlign w:val="bottom"/>
          </w:tcPr>
          <w:p>
            <w:pPr>
              <w:spacing w:after="0"/>
              <w:rPr>
                <w:sz w:val="11"/>
                <w:szCs w:val="11"/>
                <w:color w:val="auto"/>
              </w:rPr>
            </w:pPr>
          </w:p>
        </w:tc>
        <w:tc>
          <w:tcPr>
            <w:tcW w:w="2940" w:type="dxa"/>
            <w:vAlign w:val="bottom"/>
            <w:gridSpan w:val="18"/>
          </w:tcPr>
          <w:p>
            <w:pPr>
              <w:spacing w:after="0" w:line="129" w:lineRule="exact"/>
              <w:rPr>
                <w:rFonts w:ascii="Times New Roman" w:cs="Times New Roman" w:eastAsia="Times New Roman" w:hAnsi="Times New Roman"/>
                <w:sz w:val="14"/>
                <w:szCs w:val="14"/>
                <w:color w:val="0E32E1"/>
              </w:rPr>
            </w:pPr>
            <w:hyperlink r:id="rId176">
              <w:r>
                <w:rPr>
                  <w:rFonts w:ascii="Times New Roman" w:cs="Times New Roman" w:eastAsia="Times New Roman" w:hAnsi="Times New Roman"/>
                  <w:sz w:val="14"/>
                  <w:szCs w:val="14"/>
                  <w:color w:val="0E32E1"/>
                </w:rPr>
                <w:t>Bancorp 2021 Equity Incentive Plan</w:t>
              </w:r>
            </w:hyperlink>
          </w:p>
        </w:tc>
      </w:tr>
      <w:tr>
        <w:trPr>
          <w:trHeight w:val="20"/>
        </w:trPr>
        <w:tc>
          <w:tcPr>
            <w:tcW w:w="900" w:type="dxa"/>
            <w:vAlign w:val="bottom"/>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Borders>
              <w:right w:val="single" w:sz="8" w:color="0E32E1"/>
            </w:tcBorders>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900" w:type="dxa"/>
            <w:vAlign w:val="bottom"/>
          </w:tcPr>
          <w:p>
            <w:pPr>
              <w:jc w:val="center"/>
              <w:ind w:right="429"/>
              <w:spacing w:after="0" w:line="151" w:lineRule="exact"/>
              <w:rPr>
                <w:sz w:val="20"/>
                <w:szCs w:val="20"/>
                <w:color w:val="auto"/>
              </w:rPr>
            </w:pPr>
            <w:r>
              <w:rPr>
                <w:rFonts w:ascii="Times New Roman" w:cs="Times New Roman" w:eastAsia="Times New Roman" w:hAnsi="Times New Roman"/>
                <w:sz w:val="14"/>
                <w:szCs w:val="14"/>
                <w:color w:val="auto"/>
              </w:rPr>
              <w:t>10.10*</w:t>
            </w:r>
          </w:p>
        </w:tc>
        <w:tc>
          <w:tcPr>
            <w:tcW w:w="2940" w:type="dxa"/>
            <w:vAlign w:val="bottom"/>
            <w:gridSpan w:val="18"/>
          </w:tcPr>
          <w:p>
            <w:pPr>
              <w:spacing w:after="0" w:line="151" w:lineRule="exact"/>
              <w:rPr>
                <w:rFonts w:ascii="Times New Roman" w:cs="Times New Roman" w:eastAsia="Times New Roman" w:hAnsi="Times New Roman"/>
                <w:sz w:val="14"/>
                <w:szCs w:val="14"/>
                <w:color w:val="0E32E1"/>
              </w:rPr>
            </w:pPr>
            <w:hyperlink r:id="rId177">
              <w:r>
                <w:rPr>
                  <w:rFonts w:ascii="Times New Roman" w:cs="Times New Roman" w:eastAsia="Times New Roman" w:hAnsi="Times New Roman"/>
                  <w:sz w:val="14"/>
                  <w:szCs w:val="14"/>
                  <w:color w:val="0E32E1"/>
                </w:rPr>
                <w:t>Form of Change in Control Agreement</w:t>
              </w:r>
            </w:hyperlink>
          </w:p>
        </w:tc>
      </w:tr>
      <w:tr>
        <w:trPr>
          <w:trHeight w:val="20"/>
        </w:trPr>
        <w:tc>
          <w:tcPr>
            <w:tcW w:w="900" w:type="dxa"/>
            <w:vAlign w:val="bottom"/>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80" w:type="dxa"/>
            <w:vAlign w:val="bottom"/>
            <w:tcBorders>
              <w:right w:val="single" w:sz="8" w:color="0E32E1"/>
            </w:tcBorders>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7"/>
              </w:rPr>
              <w:t>16.1</w:t>
            </w:r>
          </w:p>
        </w:tc>
        <w:tc>
          <w:tcPr>
            <w:tcW w:w="2940" w:type="dxa"/>
            <w:vAlign w:val="bottom"/>
            <w:gridSpan w:val="18"/>
          </w:tcPr>
          <w:p>
            <w:pPr>
              <w:spacing w:after="0"/>
              <w:rPr>
                <w:rFonts w:ascii="Times New Roman" w:cs="Times New Roman" w:eastAsia="Times New Roman" w:hAnsi="Times New Roman"/>
                <w:sz w:val="14"/>
                <w:szCs w:val="14"/>
                <w:color w:val="0E32E1"/>
              </w:rPr>
            </w:pPr>
            <w:hyperlink r:id="rId178">
              <w:r>
                <w:rPr>
                  <w:rFonts w:ascii="Times New Roman" w:cs="Times New Roman" w:eastAsia="Times New Roman" w:hAnsi="Times New Roman"/>
                  <w:sz w:val="14"/>
                  <w:szCs w:val="14"/>
                  <w:color w:val="0E32E1"/>
                </w:rPr>
                <w:t>Letter dated June 3, 2025 from Moss Adams LLP</w:t>
              </w:r>
            </w:hyperlink>
          </w:p>
        </w:tc>
      </w:tr>
      <w:tr>
        <w:trPr>
          <w:trHeight w:val="129"/>
        </w:trPr>
        <w:tc>
          <w:tcPr>
            <w:tcW w:w="900" w:type="dxa"/>
            <w:vAlign w:val="bottom"/>
          </w:tcPr>
          <w:p>
            <w:pPr>
              <w:spacing w:after="0"/>
              <w:rPr>
                <w:sz w:val="11"/>
                <w:szCs w:val="11"/>
                <w:color w:val="auto"/>
              </w:rPr>
            </w:pPr>
          </w:p>
        </w:tc>
        <w:tc>
          <w:tcPr>
            <w:tcW w:w="2840" w:type="dxa"/>
            <w:vAlign w:val="bottom"/>
            <w:tcBorders>
              <w:top w:val="single" w:sz="8" w:color="0E32E1"/>
            </w:tcBorders>
            <w:gridSpan w:val="13"/>
          </w:tcPr>
          <w:p>
            <w:pPr>
              <w:spacing w:after="0" w:line="129" w:lineRule="exact"/>
              <w:rPr>
                <w:rFonts w:ascii="Times New Roman" w:cs="Times New Roman" w:eastAsia="Times New Roman" w:hAnsi="Times New Roman"/>
                <w:sz w:val="14"/>
                <w:szCs w:val="14"/>
                <w:color w:val="0E32E1"/>
              </w:rPr>
            </w:pPr>
            <w:hyperlink r:id="rId178">
              <w:r>
                <w:rPr>
                  <w:rFonts w:ascii="Times New Roman" w:cs="Times New Roman" w:eastAsia="Times New Roman" w:hAnsi="Times New Roman"/>
                  <w:sz w:val="14"/>
                  <w:szCs w:val="14"/>
                  <w:color w:val="0E32E1"/>
                </w:rPr>
                <w:t>to the Securities and Exchange Commission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18"/>
        </w:trPr>
        <w:tc>
          <w:tcPr>
            <w:tcW w:w="900" w:type="dxa"/>
            <w:vAlign w:val="bottom"/>
          </w:tcPr>
          <w:p>
            <w:pPr>
              <w:spacing w:after="0"/>
              <w:rPr>
                <w:sz w:val="10"/>
                <w:szCs w:val="10"/>
                <w:color w:val="auto"/>
              </w:rPr>
            </w:pPr>
          </w:p>
        </w:tc>
        <w:tc>
          <w:tcPr>
            <w:tcW w:w="2500" w:type="dxa"/>
            <w:vAlign w:val="bottom"/>
            <w:tcBorders>
              <w:top w:val="single" w:sz="8" w:color="0E32E1"/>
              <w:bottom w:val="single" w:sz="8" w:color="0E32E1"/>
            </w:tcBorders>
            <w:gridSpan w:val="9"/>
          </w:tcPr>
          <w:p>
            <w:pPr>
              <w:spacing w:after="0" w:line="119" w:lineRule="exact"/>
              <w:rPr>
                <w:rFonts w:ascii="Times New Roman" w:cs="Times New Roman" w:eastAsia="Times New Roman" w:hAnsi="Times New Roman"/>
                <w:sz w:val="13"/>
                <w:szCs w:val="13"/>
                <w:color w:val="0E32E1"/>
              </w:rPr>
            </w:pPr>
            <w:hyperlink r:id="rId178">
              <w:r>
                <w:rPr>
                  <w:rFonts w:ascii="Times New Roman" w:cs="Times New Roman" w:eastAsia="Times New Roman" w:hAnsi="Times New Roman"/>
                  <w:sz w:val="13"/>
                  <w:szCs w:val="13"/>
                  <w:color w:val="0E32E1"/>
                </w:rPr>
                <w:t>confirming the disclosures contained in Item</w:t>
              </w:r>
            </w:hyperlink>
          </w:p>
        </w:tc>
        <w:tc>
          <w:tcPr>
            <w:tcW w:w="360" w:type="dxa"/>
            <w:vAlign w:val="bottom"/>
            <w:tcBorders>
              <w:bottom w:val="single" w:sz="8" w:color="0E32E1"/>
            </w:tcBorders>
            <w:gridSpan w:val="5"/>
          </w:tcPr>
          <w:p>
            <w:pPr>
              <w:jc w:val="center"/>
              <w:ind w:right="20"/>
              <w:spacing w:after="0" w:line="119" w:lineRule="exact"/>
              <w:rPr>
                <w:rFonts w:ascii="Times New Roman" w:cs="Times New Roman" w:eastAsia="Times New Roman" w:hAnsi="Times New Roman"/>
                <w:sz w:val="13"/>
                <w:szCs w:val="13"/>
                <w:color w:val="0E32E1"/>
              </w:rPr>
            </w:pPr>
            <w:hyperlink r:id="rId178">
              <w:r>
                <w:rPr>
                  <w:rFonts w:ascii="Times New Roman" w:cs="Times New Roman" w:eastAsia="Times New Roman" w:hAnsi="Times New Roman"/>
                  <w:sz w:val="13"/>
                  <w:szCs w:val="13"/>
                  <w:color w:val="0E32E1"/>
                </w:rPr>
                <w:t>4.01</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900" w:type="dxa"/>
            <w:vAlign w:val="bottom"/>
          </w:tcPr>
          <w:p>
            <w:pPr>
              <w:spacing w:after="0"/>
              <w:rPr>
                <w:sz w:val="10"/>
                <w:szCs w:val="10"/>
                <w:color w:val="auto"/>
              </w:rPr>
            </w:pPr>
          </w:p>
        </w:tc>
        <w:tc>
          <w:tcPr>
            <w:tcW w:w="2860" w:type="dxa"/>
            <w:vAlign w:val="bottom"/>
            <w:gridSpan w:val="14"/>
          </w:tcPr>
          <w:p>
            <w:pPr>
              <w:spacing w:after="0" w:line="119" w:lineRule="exact"/>
              <w:rPr>
                <w:rFonts w:ascii="Times New Roman" w:cs="Times New Roman" w:eastAsia="Times New Roman" w:hAnsi="Times New Roman"/>
                <w:sz w:val="13"/>
                <w:szCs w:val="13"/>
                <w:color w:val="0E32E1"/>
              </w:rPr>
            </w:pPr>
            <w:hyperlink r:id="rId178">
              <w:r>
                <w:rPr>
                  <w:rFonts w:ascii="Times New Roman" w:cs="Times New Roman" w:eastAsia="Times New Roman" w:hAnsi="Times New Roman"/>
                  <w:sz w:val="13"/>
                  <w:szCs w:val="13"/>
                  <w:color w:val="0E32E1"/>
                </w:rPr>
                <w:t>of the report on form 8-K</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900" w:type="dxa"/>
            <w:vAlign w:val="bottom"/>
          </w:tcPr>
          <w:p>
            <w:pPr>
              <w:spacing w:after="0" w:line="20" w:lineRule="exact"/>
              <w:rPr>
                <w:sz w:val="1"/>
                <w:szCs w:val="1"/>
                <w:color w:val="auto"/>
              </w:rPr>
            </w:pPr>
          </w:p>
        </w:tc>
        <w:tc>
          <w:tcPr>
            <w:tcW w:w="1440" w:type="dxa"/>
            <w:vAlign w:val="bottom"/>
            <w:shd w:val="clear" w:color="auto" w:fill="0E32E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2"/>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7"/>
              </w:rPr>
              <w:t>19.1</w:t>
            </w:r>
          </w:p>
        </w:tc>
        <w:tc>
          <w:tcPr>
            <w:tcW w:w="234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4"/>
                <w:szCs w:val="14"/>
                <w:color w:val="0E32E1"/>
              </w:rPr>
              <w:t>Five Star Bancorp Insider Trading Policy</w:t>
            </w:r>
          </w:p>
        </w:tc>
        <w:tc>
          <w:tcPr>
            <w:tcW w:w="600" w:type="dxa"/>
            <w:vAlign w:val="bottom"/>
            <w:gridSpan w:val="11"/>
          </w:tcPr>
          <w:p>
            <w:pPr>
              <w:spacing w:after="0"/>
              <w:rPr>
                <w:sz w:val="14"/>
                <w:szCs w:val="14"/>
                <w:color w:val="auto"/>
              </w:rPr>
            </w:pPr>
          </w:p>
        </w:tc>
      </w:tr>
      <w:tr>
        <w:trPr>
          <w:trHeight w:val="182"/>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7"/>
              </w:rPr>
              <w:t>21.1</w:t>
            </w:r>
          </w:p>
        </w:tc>
        <w:tc>
          <w:tcPr>
            <w:tcW w:w="168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4"/>
                <w:szCs w:val="14"/>
                <w:color w:val="0E32E1"/>
              </w:rPr>
              <w:t>Subsidiaries of the Registrant</w:t>
            </w:r>
          </w:p>
        </w:tc>
        <w:tc>
          <w:tcPr>
            <w:tcW w:w="1260" w:type="dxa"/>
            <w:vAlign w:val="bottom"/>
            <w:gridSpan w:val="16"/>
          </w:tcPr>
          <w:p>
            <w:pPr>
              <w:spacing w:after="0"/>
              <w:rPr>
                <w:sz w:val="15"/>
                <w:szCs w:val="15"/>
                <w:color w:val="auto"/>
              </w:rPr>
            </w:pPr>
          </w:p>
        </w:tc>
      </w:tr>
      <w:tr>
        <w:trPr>
          <w:trHeight w:val="182"/>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7"/>
              </w:rPr>
              <w:t>23.1</w:t>
            </w:r>
          </w:p>
        </w:tc>
        <w:tc>
          <w:tcPr>
            <w:tcW w:w="294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Consent of Baker Tilly US LLP</w:t>
            </w:r>
          </w:p>
        </w:tc>
      </w:tr>
      <w:tr>
        <w:trPr>
          <w:trHeight w:val="20"/>
        </w:trPr>
        <w:tc>
          <w:tcPr>
            <w:tcW w:w="900" w:type="dxa"/>
            <w:vAlign w:val="bottom"/>
          </w:tcPr>
          <w:p>
            <w:pPr>
              <w:spacing w:after="0" w:line="20" w:lineRule="exact"/>
              <w:rPr>
                <w:sz w:val="1"/>
                <w:szCs w:val="1"/>
                <w:color w:val="auto"/>
              </w:rPr>
            </w:pPr>
          </w:p>
        </w:tc>
        <w:tc>
          <w:tcPr>
            <w:tcW w:w="1800" w:type="dxa"/>
            <w:vAlign w:val="bottom"/>
            <w:gridSpan w:val="3"/>
            <w:shd w:val="clear" w:color="auto" w:fill="0E32E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7"/>
              </w:rPr>
              <w:t>31.1</w:t>
            </w:r>
          </w:p>
        </w:tc>
        <w:tc>
          <w:tcPr>
            <w:tcW w:w="2940" w:type="dxa"/>
            <w:vAlign w:val="bottom"/>
            <w:gridSpan w:val="18"/>
          </w:tcPr>
          <w:p>
            <w:pPr>
              <w:spacing w:after="0"/>
              <w:rPr>
                <w:sz w:val="20"/>
                <w:szCs w:val="20"/>
                <w:color w:val="auto"/>
              </w:rPr>
            </w:pPr>
            <w:r>
              <w:rPr>
                <w:rFonts w:ascii="Times New Roman" w:cs="Times New Roman" w:eastAsia="Times New Roman" w:hAnsi="Times New Roman"/>
                <w:sz w:val="14"/>
                <w:szCs w:val="14"/>
                <w:color w:val="0E32E1"/>
              </w:rPr>
              <w:t>Certification of Chief Executive Officer pursuant</w:t>
            </w:r>
          </w:p>
        </w:tc>
      </w:tr>
      <w:tr>
        <w:trPr>
          <w:trHeight w:val="118"/>
        </w:trPr>
        <w:tc>
          <w:tcPr>
            <w:tcW w:w="900" w:type="dxa"/>
            <w:vAlign w:val="bottom"/>
          </w:tcPr>
          <w:p>
            <w:pPr>
              <w:spacing w:after="0"/>
              <w:rPr>
                <w:sz w:val="10"/>
                <w:szCs w:val="10"/>
                <w:color w:val="auto"/>
              </w:rPr>
            </w:pPr>
          </w:p>
        </w:tc>
        <w:tc>
          <w:tcPr>
            <w:tcW w:w="2800" w:type="dxa"/>
            <w:vAlign w:val="bottom"/>
            <w:tcBorders>
              <w:top w:val="single" w:sz="8" w:color="0E32E1"/>
              <w:bottom w:val="single" w:sz="8" w:color="0E32E1"/>
            </w:tcBorders>
            <w:gridSpan w:val="11"/>
          </w:tcPr>
          <w:p>
            <w:pPr>
              <w:spacing w:after="0" w:line="119" w:lineRule="exact"/>
              <w:rPr>
                <w:sz w:val="20"/>
                <w:szCs w:val="20"/>
                <w:color w:val="auto"/>
              </w:rPr>
            </w:pPr>
            <w:r>
              <w:rPr>
                <w:rFonts w:ascii="Times New Roman" w:cs="Times New Roman" w:eastAsia="Times New Roman" w:hAnsi="Times New Roman"/>
                <w:sz w:val="13"/>
                <w:szCs w:val="13"/>
                <w:color w:val="0E32E1"/>
              </w:rPr>
              <w:t>to Rule 13a-14(a)/15d-14(a), as adopted pursuant</w:t>
            </w:r>
          </w:p>
        </w:tc>
        <w:tc>
          <w:tcPr>
            <w:tcW w:w="20" w:type="dxa"/>
            <w:vAlign w:val="bottom"/>
            <w:tcBorders>
              <w:bottom w:val="single" w:sz="8" w:color="0E32E1"/>
            </w:tcBorders>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2820" w:type="dxa"/>
            <w:vAlign w:val="bottom"/>
            <w:tcBorders>
              <w:bottom w:val="single" w:sz="8" w:color="0E32E1"/>
            </w:tcBorders>
            <w:gridSpan w:val="12"/>
          </w:tcPr>
          <w:p>
            <w:pPr>
              <w:spacing w:after="0" w:line="129" w:lineRule="exact"/>
              <w:rPr>
                <w:sz w:val="20"/>
                <w:szCs w:val="20"/>
                <w:color w:val="auto"/>
              </w:rPr>
            </w:pPr>
            <w:r>
              <w:rPr>
                <w:rFonts w:ascii="Times New Roman" w:cs="Times New Roman" w:eastAsia="Times New Roman" w:hAnsi="Times New Roman"/>
                <w:sz w:val="14"/>
                <w:szCs w:val="14"/>
                <w:color w:val="0E32E1"/>
                <w:w w:val="99"/>
              </w:rPr>
              <w:t>to Section 302 of the Sarbanes-Oxley Act of 2002</w:t>
            </w:r>
          </w:p>
        </w:tc>
        <w:tc>
          <w:tcPr>
            <w:tcW w:w="40" w:type="dxa"/>
            <w:vAlign w:val="bottom"/>
            <w:tcBorders>
              <w:bottom w:val="single" w:sz="8" w:color="0E32E1"/>
            </w:tcBorders>
            <w:gridSpan w:val="2"/>
          </w:tcPr>
          <w:p>
            <w:pPr>
              <w:spacing w:after="0"/>
              <w:rPr>
                <w:sz w:val="11"/>
                <w:szCs w:val="11"/>
                <w:color w:val="auto"/>
              </w:rPr>
            </w:pPr>
          </w:p>
        </w:tc>
        <w:tc>
          <w:tcPr>
            <w:tcW w:w="20" w:type="dxa"/>
            <w:vAlign w:val="bottom"/>
            <w:tcBorders>
              <w:bottom w:val="single" w:sz="8" w:color="0E32E1"/>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900" w:type="dxa"/>
            <w:vAlign w:val="bottom"/>
          </w:tcPr>
          <w:p>
            <w:pPr>
              <w:jc w:val="center"/>
              <w:ind w:right="429"/>
              <w:spacing w:after="0" w:line="151" w:lineRule="exact"/>
              <w:rPr>
                <w:sz w:val="20"/>
                <w:szCs w:val="20"/>
                <w:color w:val="auto"/>
              </w:rPr>
            </w:pPr>
            <w:r>
              <w:rPr>
                <w:rFonts w:ascii="Times New Roman" w:cs="Times New Roman" w:eastAsia="Times New Roman" w:hAnsi="Times New Roman"/>
                <w:sz w:val="14"/>
                <w:szCs w:val="14"/>
                <w:color w:val="auto"/>
                <w:w w:val="97"/>
              </w:rPr>
              <w:t>31.2</w:t>
            </w:r>
          </w:p>
        </w:tc>
        <w:tc>
          <w:tcPr>
            <w:tcW w:w="294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E32E1"/>
              </w:rPr>
              <w:t>Certification of Chief Financial Officer pursuant to</w:t>
            </w:r>
          </w:p>
        </w:tc>
      </w:tr>
      <w:tr>
        <w:trPr>
          <w:trHeight w:val="118"/>
        </w:trPr>
        <w:tc>
          <w:tcPr>
            <w:tcW w:w="900" w:type="dxa"/>
            <w:vAlign w:val="bottom"/>
          </w:tcPr>
          <w:p>
            <w:pPr>
              <w:spacing w:after="0"/>
              <w:rPr>
                <w:sz w:val="10"/>
                <w:szCs w:val="10"/>
                <w:color w:val="auto"/>
              </w:rPr>
            </w:pPr>
          </w:p>
        </w:tc>
        <w:tc>
          <w:tcPr>
            <w:tcW w:w="2900" w:type="dxa"/>
            <w:vAlign w:val="bottom"/>
            <w:tcBorders>
              <w:top w:val="single" w:sz="8" w:color="0E32E1"/>
            </w:tcBorders>
            <w:gridSpan w:val="16"/>
          </w:tcPr>
          <w:p>
            <w:pPr>
              <w:spacing w:after="0" w:line="119" w:lineRule="exact"/>
              <w:rPr>
                <w:sz w:val="20"/>
                <w:szCs w:val="20"/>
                <w:color w:val="auto"/>
              </w:rPr>
            </w:pPr>
            <w:r>
              <w:rPr>
                <w:rFonts w:ascii="Times New Roman" w:cs="Times New Roman" w:eastAsia="Times New Roman" w:hAnsi="Times New Roman"/>
                <w:sz w:val="13"/>
                <w:szCs w:val="13"/>
                <w:color w:val="0E32E1"/>
              </w:rPr>
              <w:t>Rule 13a-14(a)/15d-14(a), as adopted pursuant to</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2820" w:type="dxa"/>
            <w:vAlign w:val="bottom"/>
            <w:tcBorders>
              <w:top w:val="single" w:sz="8" w:color="0E32E1"/>
            </w:tcBorders>
            <w:gridSpan w:val="12"/>
          </w:tcPr>
          <w:p>
            <w:pPr>
              <w:spacing w:after="0" w:line="129" w:lineRule="exact"/>
              <w:rPr>
                <w:sz w:val="20"/>
                <w:szCs w:val="20"/>
                <w:color w:val="auto"/>
              </w:rPr>
            </w:pPr>
            <w:r>
              <w:rPr>
                <w:rFonts w:ascii="Times New Roman" w:cs="Times New Roman" w:eastAsia="Times New Roman" w:hAnsi="Times New Roman"/>
                <w:sz w:val="14"/>
                <w:szCs w:val="14"/>
                <w:color w:val="0E32E1"/>
              </w:rPr>
              <w:t>Section 302 of the Sarbanes-Oxley Act of 2002</w:t>
            </w: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980" w:type="dxa"/>
            <w:vAlign w:val="bottom"/>
            <w:gridSpan w:val="4"/>
            <w:shd w:val="clear" w:color="auto" w:fill="0E32E1"/>
          </w:tcPr>
          <w:p>
            <w:pPr>
              <w:spacing w:after="0" w:line="20" w:lineRule="exact"/>
              <w:rPr>
                <w:sz w:val="1"/>
                <w:szCs w:val="1"/>
                <w:color w:val="auto"/>
              </w:rPr>
            </w:pPr>
          </w:p>
        </w:tc>
        <w:tc>
          <w:tcPr>
            <w:tcW w:w="80" w:type="dxa"/>
            <w:vAlign w:val="bottom"/>
            <w:tcBorders>
              <w:right w:val="single" w:sz="8" w:color="0E32E1"/>
            </w:tcBorders>
            <w:shd w:val="clear" w:color="auto" w:fill="0E32E1"/>
          </w:tcPr>
          <w:p>
            <w:pPr>
              <w:spacing w:after="0" w:line="20" w:lineRule="exact"/>
              <w:rPr>
                <w:sz w:val="1"/>
                <w:szCs w:val="1"/>
                <w:color w:val="auto"/>
              </w:rPr>
            </w:pPr>
          </w:p>
        </w:tc>
        <w:tc>
          <w:tcPr>
            <w:tcW w:w="620" w:type="dxa"/>
            <w:vAlign w:val="bottom"/>
            <w:gridSpan w:val="5"/>
            <w:shd w:val="clear" w:color="auto" w:fill="0E32E1"/>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900" w:type="dxa"/>
            <w:vAlign w:val="bottom"/>
          </w:tcPr>
          <w:p>
            <w:pPr>
              <w:jc w:val="center"/>
              <w:ind w:right="429"/>
              <w:spacing w:after="0" w:line="151" w:lineRule="exact"/>
              <w:rPr>
                <w:sz w:val="20"/>
                <w:szCs w:val="20"/>
                <w:color w:val="auto"/>
              </w:rPr>
            </w:pPr>
            <w:r>
              <w:rPr>
                <w:rFonts w:ascii="Times New Roman" w:cs="Times New Roman" w:eastAsia="Times New Roman" w:hAnsi="Times New Roman"/>
                <w:sz w:val="14"/>
                <w:szCs w:val="14"/>
                <w:color w:val="auto"/>
                <w:w w:val="97"/>
              </w:rPr>
              <w:t>32.1</w:t>
            </w:r>
          </w:p>
        </w:tc>
        <w:tc>
          <w:tcPr>
            <w:tcW w:w="2800" w:type="dxa"/>
            <w:vAlign w:val="bottom"/>
            <w:tcBorders>
              <w:bottom w:val="single" w:sz="8" w:color="0E32E1"/>
            </w:tcBorders>
            <w:gridSpan w:val="11"/>
          </w:tcPr>
          <w:p>
            <w:pPr>
              <w:spacing w:after="0" w:line="151" w:lineRule="exact"/>
              <w:rPr>
                <w:sz w:val="20"/>
                <w:szCs w:val="20"/>
                <w:color w:val="auto"/>
              </w:rPr>
            </w:pPr>
            <w:r>
              <w:rPr>
                <w:rFonts w:ascii="Times New Roman" w:cs="Times New Roman" w:eastAsia="Times New Roman" w:hAnsi="Times New Roman"/>
                <w:sz w:val="14"/>
                <w:szCs w:val="14"/>
                <w:color w:val="0E32E1"/>
              </w:rPr>
              <w:t>Certification of Chief Executive Officer pursuant</w:t>
            </w:r>
          </w:p>
        </w:tc>
        <w:tc>
          <w:tcPr>
            <w:tcW w:w="140" w:type="dxa"/>
            <w:vAlign w:val="bottom"/>
            <w:gridSpan w:val="7"/>
          </w:tcPr>
          <w:p>
            <w:pPr>
              <w:spacing w:after="0"/>
              <w:rPr>
                <w:sz w:val="14"/>
                <w:szCs w:val="14"/>
                <w:color w:val="auto"/>
              </w:rPr>
            </w:pPr>
          </w:p>
        </w:tc>
      </w:tr>
      <w:tr>
        <w:trPr>
          <w:trHeight w:val="118"/>
        </w:trPr>
        <w:tc>
          <w:tcPr>
            <w:tcW w:w="900" w:type="dxa"/>
            <w:vAlign w:val="bottom"/>
          </w:tcPr>
          <w:p>
            <w:pPr>
              <w:spacing w:after="0"/>
              <w:rPr>
                <w:sz w:val="10"/>
                <w:szCs w:val="10"/>
                <w:color w:val="auto"/>
              </w:rPr>
            </w:pPr>
          </w:p>
        </w:tc>
        <w:tc>
          <w:tcPr>
            <w:tcW w:w="2940" w:type="dxa"/>
            <w:vAlign w:val="bottom"/>
            <w:gridSpan w:val="18"/>
          </w:tcPr>
          <w:p>
            <w:pPr>
              <w:spacing w:after="0" w:line="119" w:lineRule="exact"/>
              <w:rPr>
                <w:sz w:val="20"/>
                <w:szCs w:val="20"/>
                <w:color w:val="auto"/>
              </w:rPr>
            </w:pPr>
            <w:r>
              <w:rPr>
                <w:rFonts w:ascii="Times New Roman" w:cs="Times New Roman" w:eastAsia="Times New Roman" w:hAnsi="Times New Roman"/>
                <w:sz w:val="13"/>
                <w:szCs w:val="13"/>
                <w:color w:val="0E32E1"/>
              </w:rPr>
              <w:t>to 18 U.S.C. Section 1350, as adopted pursuant to</w:t>
            </w:r>
          </w:p>
        </w:tc>
      </w:tr>
      <w:tr>
        <w:trPr>
          <w:trHeight w:val="129"/>
        </w:trPr>
        <w:tc>
          <w:tcPr>
            <w:tcW w:w="900" w:type="dxa"/>
            <w:vAlign w:val="bottom"/>
          </w:tcPr>
          <w:p>
            <w:pPr>
              <w:spacing w:after="0"/>
              <w:rPr>
                <w:sz w:val="11"/>
                <w:szCs w:val="11"/>
                <w:color w:val="auto"/>
              </w:rPr>
            </w:pPr>
          </w:p>
        </w:tc>
        <w:tc>
          <w:tcPr>
            <w:tcW w:w="2880" w:type="dxa"/>
            <w:vAlign w:val="bottom"/>
            <w:tcBorders>
              <w:top w:val="single" w:sz="8" w:color="0E32E1"/>
            </w:tcBorders>
            <w:gridSpan w:val="15"/>
          </w:tcPr>
          <w:p>
            <w:pPr>
              <w:spacing w:after="0" w:line="129" w:lineRule="exact"/>
              <w:rPr>
                <w:sz w:val="20"/>
                <w:szCs w:val="20"/>
                <w:color w:val="auto"/>
              </w:rPr>
            </w:pPr>
            <w:r>
              <w:rPr>
                <w:rFonts w:ascii="Times New Roman" w:cs="Times New Roman" w:eastAsia="Times New Roman" w:hAnsi="Times New Roman"/>
                <w:sz w:val="14"/>
                <w:szCs w:val="14"/>
                <w:color w:val="0E32E1"/>
              </w:rPr>
              <w:t>Section 906 of the Sarbanes-Oxley Act of 2002</w:t>
            </w: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1980" w:type="dxa"/>
            <w:vAlign w:val="bottom"/>
            <w:gridSpan w:val="4"/>
            <w:shd w:val="clear" w:color="auto" w:fill="0E32E1"/>
          </w:tcPr>
          <w:p>
            <w:pPr>
              <w:spacing w:after="0" w:line="20" w:lineRule="exact"/>
              <w:rPr>
                <w:sz w:val="1"/>
                <w:szCs w:val="1"/>
                <w:color w:val="auto"/>
              </w:rPr>
            </w:pPr>
          </w:p>
        </w:tc>
        <w:tc>
          <w:tcPr>
            <w:tcW w:w="80" w:type="dxa"/>
            <w:vAlign w:val="bottom"/>
            <w:tcBorders>
              <w:right w:val="single" w:sz="8" w:color="0E32E1"/>
            </w:tcBorders>
            <w:shd w:val="clear" w:color="auto" w:fill="0E32E1"/>
          </w:tcPr>
          <w:p>
            <w:pPr>
              <w:spacing w:after="0" w:line="20" w:lineRule="exact"/>
              <w:rPr>
                <w:sz w:val="1"/>
                <w:szCs w:val="1"/>
                <w:color w:val="auto"/>
              </w:rPr>
            </w:pPr>
          </w:p>
        </w:tc>
        <w:tc>
          <w:tcPr>
            <w:tcW w:w="620" w:type="dxa"/>
            <w:vAlign w:val="bottom"/>
            <w:gridSpan w:val="5"/>
            <w:shd w:val="clear" w:color="auto" w:fill="0E32E1"/>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900" w:type="dxa"/>
            <w:vAlign w:val="bottom"/>
          </w:tcPr>
          <w:p>
            <w:pPr>
              <w:jc w:val="center"/>
              <w:ind w:right="429"/>
              <w:spacing w:after="0" w:line="151" w:lineRule="exact"/>
              <w:rPr>
                <w:sz w:val="20"/>
                <w:szCs w:val="20"/>
                <w:color w:val="auto"/>
              </w:rPr>
            </w:pPr>
            <w:r>
              <w:rPr>
                <w:rFonts w:ascii="Times New Roman" w:cs="Times New Roman" w:eastAsia="Times New Roman" w:hAnsi="Times New Roman"/>
                <w:sz w:val="14"/>
                <w:szCs w:val="14"/>
                <w:color w:val="auto"/>
                <w:w w:val="97"/>
              </w:rPr>
              <w:t>32.2</w:t>
            </w:r>
          </w:p>
        </w:tc>
        <w:tc>
          <w:tcPr>
            <w:tcW w:w="2940" w:type="dxa"/>
            <w:vAlign w:val="bottom"/>
            <w:gridSpan w:val="18"/>
          </w:tcPr>
          <w:p>
            <w:pPr>
              <w:spacing w:after="0" w:line="151" w:lineRule="exact"/>
              <w:rPr>
                <w:sz w:val="20"/>
                <w:szCs w:val="20"/>
                <w:color w:val="auto"/>
              </w:rPr>
            </w:pPr>
            <w:r>
              <w:rPr>
                <w:rFonts w:ascii="Times New Roman" w:cs="Times New Roman" w:eastAsia="Times New Roman" w:hAnsi="Times New Roman"/>
                <w:sz w:val="14"/>
                <w:szCs w:val="14"/>
                <w:color w:val="0E32E1"/>
              </w:rPr>
              <w:t>Certification of Chief Financial Officer pursuant to</w:t>
            </w:r>
          </w:p>
        </w:tc>
      </w:tr>
      <w:tr>
        <w:trPr>
          <w:trHeight w:val="118"/>
        </w:trPr>
        <w:tc>
          <w:tcPr>
            <w:tcW w:w="900" w:type="dxa"/>
            <w:vAlign w:val="bottom"/>
          </w:tcPr>
          <w:p>
            <w:pPr>
              <w:spacing w:after="0"/>
              <w:rPr>
                <w:sz w:val="10"/>
                <w:szCs w:val="10"/>
                <w:color w:val="auto"/>
              </w:rPr>
            </w:pPr>
          </w:p>
        </w:tc>
        <w:tc>
          <w:tcPr>
            <w:tcW w:w="2900" w:type="dxa"/>
            <w:vAlign w:val="bottom"/>
            <w:tcBorders>
              <w:top w:val="single" w:sz="8" w:color="0E32E1"/>
              <w:bottom w:val="single" w:sz="8" w:color="0E32E1"/>
            </w:tcBorders>
            <w:gridSpan w:val="16"/>
          </w:tcPr>
          <w:p>
            <w:pPr>
              <w:spacing w:after="0" w:line="119" w:lineRule="exact"/>
              <w:rPr>
                <w:sz w:val="20"/>
                <w:szCs w:val="20"/>
                <w:color w:val="auto"/>
              </w:rPr>
            </w:pPr>
            <w:r>
              <w:rPr>
                <w:rFonts w:ascii="Times New Roman" w:cs="Times New Roman" w:eastAsia="Times New Roman" w:hAnsi="Times New Roman"/>
                <w:sz w:val="13"/>
                <w:szCs w:val="13"/>
                <w:color w:val="0E32E1"/>
              </w:rPr>
              <w:t>18 U.S.C. Section 1350, as adopted by Section 906</w:t>
            </w:r>
          </w:p>
        </w:tc>
        <w:tc>
          <w:tcPr>
            <w:tcW w:w="20" w:type="dxa"/>
            <w:vAlign w:val="bottom"/>
            <w:tcBorders>
              <w:bottom w:val="single" w:sz="8" w:color="0E32E1"/>
            </w:tcBorders>
          </w:tcPr>
          <w:p>
            <w:pPr>
              <w:spacing w:after="0"/>
              <w:rPr>
                <w:sz w:val="10"/>
                <w:szCs w:val="10"/>
                <w:color w:val="auto"/>
              </w:rPr>
            </w:pPr>
          </w:p>
        </w:tc>
        <w:tc>
          <w:tcPr>
            <w:tcW w:w="20" w:type="dxa"/>
            <w:vAlign w:val="bottom"/>
          </w:tcPr>
          <w:p>
            <w:pPr>
              <w:spacing w:after="0"/>
              <w:rPr>
                <w:sz w:val="10"/>
                <w:szCs w:val="10"/>
                <w:color w:val="auto"/>
              </w:rPr>
            </w:pPr>
          </w:p>
        </w:tc>
      </w:tr>
      <w:tr>
        <w:trPr>
          <w:trHeight w:val="129"/>
        </w:trPr>
        <w:tc>
          <w:tcPr>
            <w:tcW w:w="900" w:type="dxa"/>
            <w:vAlign w:val="bottom"/>
          </w:tcPr>
          <w:p>
            <w:pPr>
              <w:spacing w:after="0"/>
              <w:rPr>
                <w:sz w:val="11"/>
                <w:szCs w:val="11"/>
                <w:color w:val="auto"/>
              </w:rPr>
            </w:pPr>
          </w:p>
        </w:tc>
        <w:tc>
          <w:tcPr>
            <w:tcW w:w="1980" w:type="dxa"/>
            <w:vAlign w:val="bottom"/>
            <w:tcBorders>
              <w:bottom w:val="single" w:sz="8" w:color="0E32E1"/>
            </w:tcBorders>
            <w:gridSpan w:val="4"/>
          </w:tcPr>
          <w:p>
            <w:pPr>
              <w:spacing w:after="0" w:line="129" w:lineRule="exact"/>
              <w:rPr>
                <w:sz w:val="20"/>
                <w:szCs w:val="20"/>
                <w:color w:val="auto"/>
              </w:rPr>
            </w:pPr>
            <w:r>
              <w:rPr>
                <w:rFonts w:ascii="Times New Roman" w:cs="Times New Roman" w:eastAsia="Times New Roman" w:hAnsi="Times New Roman"/>
                <w:sz w:val="14"/>
                <w:szCs w:val="14"/>
                <w:color w:val="0E32E1"/>
              </w:rPr>
              <w:t>of the Sarbanes-Oxley Act of 2002</w:t>
            </w:r>
          </w:p>
        </w:tc>
        <w:tc>
          <w:tcPr>
            <w:tcW w:w="940" w:type="dxa"/>
            <w:vAlign w:val="bottom"/>
            <w:gridSpan w:val="13"/>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900" w:type="dxa"/>
            <w:vAlign w:val="bottom"/>
          </w:tcPr>
          <w:p>
            <w:pPr>
              <w:jc w:val="center"/>
              <w:ind w:right="429"/>
              <w:spacing w:after="0" w:line="151" w:lineRule="exact"/>
              <w:rPr>
                <w:sz w:val="20"/>
                <w:szCs w:val="20"/>
                <w:color w:val="auto"/>
              </w:rPr>
            </w:pPr>
            <w:r>
              <w:rPr>
                <w:rFonts w:ascii="Times New Roman" w:cs="Times New Roman" w:eastAsia="Times New Roman" w:hAnsi="Times New Roman"/>
                <w:sz w:val="14"/>
                <w:szCs w:val="14"/>
                <w:color w:val="auto"/>
                <w:w w:val="97"/>
              </w:rPr>
              <w:t>97.1</w:t>
            </w:r>
          </w:p>
        </w:tc>
        <w:tc>
          <w:tcPr>
            <w:tcW w:w="2060" w:type="dxa"/>
            <w:vAlign w:val="bottom"/>
            <w:tcBorders>
              <w:bottom w:val="single" w:sz="8" w:color="0E32E1"/>
            </w:tcBorders>
            <w:gridSpan w:val="5"/>
          </w:tcPr>
          <w:p>
            <w:pPr>
              <w:spacing w:after="0" w:line="151" w:lineRule="exact"/>
              <w:rPr>
                <w:rFonts w:ascii="Times New Roman" w:cs="Times New Roman" w:eastAsia="Times New Roman" w:hAnsi="Times New Roman"/>
                <w:sz w:val="14"/>
                <w:szCs w:val="14"/>
                <w:color w:val="0E32E1"/>
              </w:rPr>
            </w:pPr>
            <w:hyperlink r:id="rId179">
              <w:r>
                <w:rPr>
                  <w:rFonts w:ascii="Times New Roman" w:cs="Times New Roman" w:eastAsia="Times New Roman" w:hAnsi="Times New Roman"/>
                  <w:sz w:val="14"/>
                  <w:szCs w:val="14"/>
                  <w:color w:val="0E32E1"/>
                </w:rPr>
                <w:t>Five Star Bancorp Clawback Policy</w:t>
              </w:r>
            </w:hyperlink>
          </w:p>
        </w:tc>
        <w:tc>
          <w:tcPr>
            <w:tcW w:w="880" w:type="dxa"/>
            <w:vAlign w:val="bottom"/>
            <w:gridSpan w:val="13"/>
          </w:tcPr>
          <w:p>
            <w:pPr>
              <w:spacing w:after="0"/>
              <w:rPr>
                <w:sz w:val="14"/>
                <w:szCs w:val="14"/>
                <w:color w:val="auto"/>
              </w:rPr>
            </w:pPr>
          </w:p>
        </w:tc>
      </w:tr>
      <w:tr>
        <w:trPr>
          <w:trHeight w:val="224"/>
        </w:trPr>
        <w:tc>
          <w:tcPr>
            <w:tcW w:w="900" w:type="dxa"/>
            <w:vAlign w:val="bottom"/>
          </w:tcPr>
          <w:p>
            <w:pPr>
              <w:jc w:val="center"/>
              <w:ind w:right="429"/>
              <w:spacing w:after="0"/>
              <w:rPr>
                <w:sz w:val="20"/>
                <w:szCs w:val="20"/>
                <w:color w:val="auto"/>
              </w:rPr>
            </w:pPr>
            <w:r>
              <w:rPr>
                <w:rFonts w:ascii="Times New Roman" w:cs="Times New Roman" w:eastAsia="Times New Roman" w:hAnsi="Times New Roman"/>
                <w:sz w:val="14"/>
                <w:szCs w:val="14"/>
                <w:color w:val="auto"/>
                <w:w w:val="95"/>
              </w:rPr>
              <w:t>101</w:t>
            </w:r>
          </w:p>
        </w:tc>
        <w:tc>
          <w:tcPr>
            <w:tcW w:w="2940" w:type="dxa"/>
            <w:vAlign w:val="bottom"/>
            <w:gridSpan w:val="18"/>
          </w:tcPr>
          <w:p>
            <w:pPr>
              <w:spacing w:after="0"/>
              <w:rPr>
                <w:sz w:val="20"/>
                <w:szCs w:val="20"/>
                <w:color w:val="auto"/>
              </w:rPr>
            </w:pPr>
            <w:r>
              <w:rPr>
                <w:rFonts w:ascii="Times New Roman" w:cs="Times New Roman" w:eastAsia="Times New Roman" w:hAnsi="Times New Roman"/>
                <w:sz w:val="14"/>
                <w:szCs w:val="14"/>
                <w:color w:val="auto"/>
              </w:rPr>
              <w:t>Inline XBRL Interactive Data</w:t>
            </w:r>
          </w:p>
        </w:tc>
      </w:tr>
    </w:tbl>
    <w:p>
      <w:pPr>
        <w:spacing w:after="0" w:line="18" w:lineRule="exact"/>
        <w:rPr>
          <w:sz w:val="20"/>
          <w:szCs w:val="20"/>
          <w:color w:val="auto"/>
        </w:rPr>
      </w:pPr>
    </w:p>
    <w:p>
      <w:pPr>
        <w:ind w:left="1390" w:hanging="809"/>
        <w:spacing w:after="0" w:line="288" w:lineRule="auto"/>
        <w:tabs>
          <w:tab w:leader="none" w:pos="139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in Exhibit 101)</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10-Q</w:t>
            </w:r>
          </w:p>
        </w:tc>
        <w:tc>
          <w:tcPr>
            <w:tcW w:w="16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001-40379</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August 7, 2025</w:t>
            </w:r>
          </w:p>
        </w:tc>
      </w:tr>
      <w:tr>
        <w:trPr>
          <w:trHeight w:val="468"/>
        </w:trPr>
        <w:tc>
          <w:tcPr>
            <w:tcW w:w="76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001-40379</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November 5, 2025</w:t>
            </w:r>
          </w:p>
        </w:tc>
      </w:tr>
      <w:tr>
        <w:trPr>
          <w:trHeight w:val="202"/>
        </w:trPr>
        <w:tc>
          <w:tcPr>
            <w:tcW w:w="760" w:type="dxa"/>
            <w:vAlign w:val="bottom"/>
          </w:tcPr>
          <w:p>
            <w:pPr>
              <w:jc w:val="center"/>
              <w:ind w:right="389"/>
              <w:spacing w:after="0"/>
              <w:rPr>
                <w:sz w:val="20"/>
                <w:szCs w:val="20"/>
                <w:color w:val="auto"/>
              </w:rPr>
            </w:pPr>
            <w:r>
              <w:rPr>
                <w:rFonts w:ascii="Times New Roman" w:cs="Times New Roman" w:eastAsia="Times New Roman" w:hAnsi="Times New Roman"/>
                <w:sz w:val="14"/>
                <w:szCs w:val="14"/>
                <w:color w:val="auto"/>
              </w:rPr>
              <w:t>8-K</w:t>
            </w:r>
          </w:p>
        </w:tc>
        <w:tc>
          <w:tcPr>
            <w:tcW w:w="16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001-40379</w:t>
            </w: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16.1</w:t>
            </w:r>
          </w:p>
        </w:tc>
        <w:tc>
          <w:tcPr>
            <w:tcW w:w="148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rPr>
              <w:t>June 9, 2025</w:t>
            </w:r>
          </w:p>
        </w:tc>
      </w:tr>
    </w:tbl>
    <w:p>
      <w:pPr>
        <w:spacing w:after="0" w:line="200" w:lineRule="exact"/>
        <w:rPr>
          <w:sz w:val="20"/>
          <w:szCs w:val="20"/>
          <w:color w:val="auto"/>
        </w:rPr>
      </w:pPr>
    </w:p>
    <w:p>
      <w:pPr>
        <w:spacing w:after="0" w:line="233"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41"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41"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41"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30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30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307"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307" w:lineRule="exact"/>
        <w:rPr>
          <w:sz w:val="20"/>
          <w:szCs w:val="20"/>
          <w:color w:val="auto"/>
        </w:rPr>
      </w:pPr>
    </w:p>
    <w:p>
      <w:pPr>
        <w:spacing w:after="0"/>
        <w:tabs>
          <w:tab w:leader="none" w:pos="1200" w:val="left"/>
          <w:tab w:leader="none" w:pos="2860" w:val="left"/>
          <w:tab w:leader="none" w:pos="396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001-40379</w:t>
      </w:r>
      <w:r>
        <w:rPr>
          <w:sz w:val="20"/>
          <w:szCs w:val="20"/>
          <w:color w:val="auto"/>
        </w:rPr>
        <w:tab/>
      </w:r>
      <w:r>
        <w:rPr>
          <w:rFonts w:ascii="Times New Roman" w:cs="Times New Roman" w:eastAsia="Times New Roman" w:hAnsi="Times New Roman"/>
          <w:sz w:val="14"/>
          <w:szCs w:val="14"/>
          <w:color w:val="auto"/>
        </w:rPr>
        <w:t>97.1</w:t>
      </w:r>
      <w:r>
        <w:rPr>
          <w:sz w:val="20"/>
          <w:szCs w:val="20"/>
          <w:color w:val="auto"/>
        </w:rPr>
        <w:tab/>
      </w:r>
      <w:r>
        <w:rPr>
          <w:rFonts w:ascii="Times New Roman" w:cs="Times New Roman" w:eastAsia="Times New Roman" w:hAnsi="Times New Roman"/>
          <w:sz w:val="14"/>
          <w:szCs w:val="14"/>
          <w:color w:val="auto"/>
        </w:rPr>
        <w:t>February 23, 2024</w:t>
      </w:r>
    </w:p>
    <w:p>
      <w:pPr>
        <w:spacing w:after="0" w:line="41"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41" w:lineRule="exact"/>
        <w:rPr>
          <w:sz w:val="20"/>
          <w:szCs w:val="20"/>
          <w:color w:val="auto"/>
        </w:rPr>
      </w:pPr>
    </w:p>
    <w:p>
      <w:pPr>
        <w:jc w:val="right"/>
        <w:ind w:right="480"/>
        <w:spacing w:after="0"/>
        <w:rPr>
          <w:sz w:val="20"/>
          <w:szCs w:val="20"/>
          <w:color w:val="auto"/>
        </w:rPr>
      </w:pPr>
      <w:r>
        <w:rPr>
          <w:rFonts w:ascii="Times New Roman" w:cs="Times New Roman" w:eastAsia="Times New Roman" w:hAnsi="Times New Roman"/>
          <w:sz w:val="14"/>
          <w:szCs w:val="14"/>
          <w:color w:val="auto"/>
        </w:rPr>
        <w:t>Filed</w:t>
      </w:r>
    </w:p>
    <w:p>
      <w:pPr>
        <w:spacing w:after="0" w:line="425" w:lineRule="exact"/>
        <w:rPr>
          <w:sz w:val="20"/>
          <w:szCs w:val="20"/>
          <w:color w:val="auto"/>
        </w:rPr>
      </w:pPr>
    </w:p>
    <w:p>
      <w:pPr>
        <w:sectPr>
          <w:pgSz w:w="11920" w:h="16838" w:orient="portrait"/>
          <w:cols w:equalWidth="0" w:num="2">
            <w:col w:w="4310" w:space="500"/>
            <w:col w:w="6500"/>
          </w:cols>
          <w:pgMar w:left="310" w:top="933" w:right="298" w:bottom="1440" w:gutter="0" w:footer="0" w:header="0"/>
        </w:sectPr>
      </w:pPr>
    </w:p>
    <w:p>
      <w:pPr>
        <w:spacing w:after="0" w:line="10" w:lineRule="exact"/>
        <w:rPr>
          <w:sz w:val="20"/>
          <w:szCs w:val="20"/>
          <w:color w:val="auto"/>
        </w:rPr>
      </w:pPr>
    </w:p>
    <w:p>
      <w:pPr>
        <w:ind w:left="390" w:hanging="390"/>
        <w:spacing w:after="0" w:line="264" w:lineRule="auto"/>
        <w:tabs>
          <w:tab w:leader="none" w:pos="39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390" w:hanging="390"/>
        <w:spacing w:after="0"/>
        <w:tabs>
          <w:tab w:leader="none" w:pos="39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contract, or arrangement.</w:t>
      </w:r>
    </w:p>
    <w:p>
      <w:pPr>
        <w:spacing w:after="0" w:line="1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50165</wp:posOffset>
            </wp:positionV>
            <wp:extent cx="72123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212330" cy="38735"/>
                    </a:xfrm>
                    <a:prstGeom prst="rect">
                      <a:avLst/>
                    </a:prstGeom>
                    <a:noFill/>
                  </pic:spPr>
                </pic:pic>
              </a:graphicData>
            </a:graphic>
          </wp:anchor>
        </w:drawing>
      </w:r>
    </w:p>
    <w:p>
      <w:pPr>
        <w:sectPr>
          <w:pgSz w:w="11920" w:h="16838" w:orient="portrait"/>
          <w:cols w:equalWidth="0" w:num="1">
            <w:col w:w="11310"/>
          </w:cols>
          <w:pgMar w:left="310" w:top="933" w:right="298" w:bottom="1440" w:gutter="0" w:footer="0" w:header="0"/>
          <w:type w:val="continuous"/>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2"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FIVE STAR BANCORP</w:t>
            </w:r>
          </w:p>
        </w:tc>
      </w:tr>
      <w:tr>
        <w:trPr>
          <w:trHeight w:val="426"/>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Dated: February 27, 2026</w:t>
            </w:r>
          </w:p>
        </w:tc>
        <w:tc>
          <w:tcPr>
            <w:tcW w:w="2140" w:type="dxa"/>
            <w:vAlign w:val="bottom"/>
          </w:tcPr>
          <w:p>
            <w:pPr>
              <w:spacing w:after="0"/>
              <w:rPr>
                <w:sz w:val="24"/>
                <w:szCs w:val="24"/>
                <w:color w:val="auto"/>
              </w:rPr>
            </w:pPr>
          </w:p>
        </w:tc>
        <w:tc>
          <w:tcPr>
            <w:tcW w:w="5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James E. Beckwith</w:t>
            </w:r>
          </w:p>
        </w:tc>
      </w:tr>
      <w:tr>
        <w:trPr>
          <w:trHeight w:val="182"/>
        </w:trPr>
        <w:tc>
          <w:tcPr>
            <w:tcW w:w="35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E. Beckwith</w:t>
            </w:r>
          </w:p>
        </w:tc>
      </w:tr>
      <w:tr>
        <w:trPr>
          <w:trHeight w:val="202"/>
        </w:trPr>
        <w:tc>
          <w:tcPr>
            <w:tcW w:w="35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r>
        <w:trPr>
          <w:trHeight w:val="735"/>
        </w:trPr>
        <w:tc>
          <w:tcPr>
            <w:tcW w:w="3500" w:type="dxa"/>
            <w:vAlign w:val="bottom"/>
          </w:tcPr>
          <w:p>
            <w:pPr>
              <w:spacing w:after="0"/>
              <w:rPr>
                <w:sz w:val="24"/>
                <w:szCs w:val="24"/>
                <w:color w:val="auto"/>
              </w:rPr>
            </w:pPr>
          </w:p>
        </w:tc>
        <w:tc>
          <w:tcPr>
            <w:tcW w:w="7800" w:type="dxa"/>
            <w:vAlign w:val="bottom"/>
            <w:gridSpan w:val="2"/>
          </w:tcPr>
          <w:p>
            <w:pPr>
              <w:jc w:val="right"/>
              <w:ind w:right="5469"/>
              <w:spacing w:after="0"/>
              <w:rPr>
                <w:sz w:val="20"/>
                <w:szCs w:val="20"/>
                <w:color w:val="auto"/>
              </w:rPr>
            </w:pPr>
            <w:r>
              <w:rPr>
                <w:rFonts w:ascii="Times New Roman" w:cs="Times New Roman" w:eastAsia="Times New Roman" w:hAnsi="Times New Roman"/>
                <w:sz w:val="14"/>
                <w:szCs w:val="14"/>
                <w:color w:val="auto"/>
              </w:rPr>
              <w:t>130</w:t>
            </w:r>
          </w:p>
        </w:tc>
      </w:tr>
      <w:tr>
        <w:trPr>
          <w:trHeight w:val="76"/>
        </w:trPr>
        <w:tc>
          <w:tcPr>
            <w:tcW w:w="350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5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7161530</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-25400</wp:posOffset>
            </wp:positionV>
            <wp:extent cx="3238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20" w:h="16838" w:orient="portrait"/>
          <w:cols w:equalWidth="0" w:num="1">
            <w:col w:w="11300"/>
          </w:cols>
          <w:pgMar w:left="320" w:top="927" w:right="298" w:bottom="1440" w:gutter="0" w:footer="0" w:header="0"/>
        </w:sectPr>
      </w:pPr>
    </w:p>
    <w:bookmarkStart w:id="133" w:name="page134"/>
    <w:bookmarkEnd w:id="133"/>
    <w:p>
      <w:pPr>
        <w:spacing w:after="0" w:line="288"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100" w:type="dxa"/>
            <w:vAlign w:val="bottom"/>
          </w:tcPr>
          <w:p>
            <w:pPr>
              <w:spacing w:after="0"/>
              <w:rPr>
                <w:sz w:val="13"/>
                <w:szCs w:val="13"/>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Title</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w:t>
            </w:r>
          </w:p>
        </w:tc>
      </w:tr>
      <w:tr>
        <w:trPr>
          <w:trHeight w:val="20"/>
        </w:trPr>
        <w:tc>
          <w:tcPr>
            <w:tcW w:w="3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38"/>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James E. Beckwith</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President and Chief Executive Officer and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James E. Beckwith</w:t>
            </w:r>
          </w:p>
        </w:tc>
        <w:tc>
          <w:tcPr>
            <w:tcW w:w="10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6"/>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Heather C. Luck</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Heather C. Luck</w:t>
            </w:r>
          </w:p>
        </w:tc>
        <w:tc>
          <w:tcPr>
            <w:tcW w:w="10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6"/>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Robert T. Perry-Smith</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Chair of the Board and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T. Perry-Smith</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6"/>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Randall E. Reynoso</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Vice Chair of the Board and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Randall E. Reynoso</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6"/>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Larry E. Allbaugh</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Larry E. Allbaugh</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16"/>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Shannon Deary-Bell</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2"/>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Shannon Deary-Bell</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421"/>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Warren P. Kashiwagi</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7"/>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 Kashiwagi</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Donna L. Lucas</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7"/>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Donna L. Lucas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David F. Nickum</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7"/>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David F. Nickum</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21"/>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Kevin F. Ramos</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7"/>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Kevin F. Ramos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410"/>
        </w:trPr>
        <w:tc>
          <w:tcPr>
            <w:tcW w:w="3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/s/ Judson T. Riggs</w:t>
            </w:r>
          </w:p>
        </w:tc>
        <w:tc>
          <w:tcPr>
            <w:tcW w:w="10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27, 2026</w:t>
            </w:r>
          </w:p>
        </w:tc>
      </w:tr>
      <w:tr>
        <w:trPr>
          <w:trHeight w:val="187"/>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Judson T. Riggs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24"/>
        </w:trPr>
        <w:tc>
          <w:tcPr>
            <w:tcW w:w="3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660" w:type="dxa"/>
            <w:vAlign w:val="bottom"/>
            <w:gridSpan w:val="3"/>
          </w:tcPr>
          <w:p>
            <w:pPr>
              <w:jc w:val="right"/>
              <w:ind w:right="3160"/>
              <w:spacing w:after="0"/>
              <w:rPr>
                <w:sz w:val="20"/>
                <w:szCs w:val="20"/>
                <w:color w:val="auto"/>
              </w:rPr>
            </w:pPr>
            <w:r>
              <w:rPr>
                <w:rFonts w:ascii="Times New Roman" w:cs="Times New Roman" w:eastAsia="Times New Roman" w:hAnsi="Times New Roman"/>
                <w:sz w:val="14"/>
                <w:szCs w:val="14"/>
                <w:color w:val="auto"/>
              </w:rPr>
              <w:t>131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20" w:h="16838" w:orient="portrait"/>
          <w:cols w:equalWidth="0" w:num="1">
            <w:col w:w="11300"/>
          </w:cols>
          <w:pgMar w:left="320" w:top="929" w:right="298" w:bottom="1440"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302260</wp:posOffset>
            </wp:positionV>
            <wp:extent cx="7130415" cy="93605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30415" cy="936053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424180</wp:posOffset>
            </wp:positionV>
            <wp:extent cx="7130415" cy="93668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30415" cy="936688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668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30415" cy="936688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424180</wp:posOffset>
            </wp:positionV>
            <wp:extent cx="7130415" cy="93668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30415" cy="936688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668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30415" cy="936688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668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30415" cy="936688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73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30415" cy="9373870"/>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738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30415" cy="9373870"/>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668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30415" cy="936688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302260</wp:posOffset>
            </wp:positionH>
            <wp:positionV relativeFrom="page">
              <wp:posOffset>423545</wp:posOffset>
            </wp:positionV>
            <wp:extent cx="7130415" cy="93605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30415" cy="9360535"/>
                    </a:xfrm>
                    <a:prstGeom prst="rect">
                      <a:avLst/>
                    </a:prstGeom>
                    <a:noFill/>
                  </pic:spPr>
                </pic:pic>
              </a:graphicData>
            </a:graphic>
          </wp:anchor>
        </w:drawing>
      </w:r>
    </w:p>
    <w:p>
      <w:pPr>
        <w:sectPr>
          <w:pgSz w:w="1192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p>
    <w:p>
      <w:pPr>
        <w:sectPr>
          <w:pgSz w:w="1192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p>
      <w:pPr>
        <w:spacing w:after="0" w:line="182"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14"/>
          <w:szCs w:val="14"/>
          <w:color w:val="auto"/>
        </w:rPr>
        <w:t>The following is a list of subsidiaries of Five Star Bancorp, the names under which subsidiaries do business, and the jurisdiction in which each was organized. All subsidiaries are wholly-owned unless otherwise noted.</w:t>
      </w:r>
    </w:p>
    <w:p>
      <w:pPr>
        <w:spacing w:after="0" w:line="200" w:lineRule="exact"/>
        <w:rPr>
          <w:sz w:val="20"/>
          <w:szCs w:val="20"/>
          <w:color w:val="auto"/>
        </w:rPr>
      </w:pP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Subsidiaries of Five Star Bancorp</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Name</w:t>
            </w:r>
          </w:p>
        </w:tc>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w w:val="99"/>
              </w:rPr>
              <w:t>Jurisdiction of Organization</w:t>
            </w:r>
          </w:p>
        </w:tc>
      </w:tr>
      <w:tr>
        <w:trPr>
          <w:trHeight w:val="20"/>
        </w:trPr>
        <w:tc>
          <w:tcPr>
            <w:tcW w:w="3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182"/>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Five Star Bank</w:t>
            </w:r>
          </w:p>
        </w:tc>
        <w:tc>
          <w:tcPr>
            <w:tcW w:w="15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California</w:t>
            </w:r>
          </w:p>
        </w:tc>
      </w:tr>
    </w:tbl>
    <w:p>
      <w:pPr>
        <w:sectPr>
          <w:pgSz w:w="11920" w:h="16838" w:orient="portrait"/>
          <w:cols w:equalWidth="0" w:num="1">
            <w:col w:w="11300"/>
          </w:cols>
          <w:pgMar w:left="320" w:top="1310" w:right="298"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0" w:lineRule="exact"/>
        <w:rPr>
          <w:sz w:val="20"/>
          <w:szCs w:val="20"/>
          <w:color w:val="auto"/>
        </w:rPr>
      </w:pPr>
    </w:p>
    <w:p>
      <w:pPr>
        <w:spacing w:after="0" w:line="34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on Form S-3 (No. 333-293089) and Form S-8 (No. 333-256345) of Five Star Bancorp (the “Company”) of our report dated February 27, 2026, relating to the consolidated financial statements of the Company, appearing in this Annual Report on Form 10-K of the Company for the year ended December 31, 2025.</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Baker Tilly US, LLP</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Everett, Washington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27, 2026</w:t>
      </w:r>
    </w:p>
    <w:p>
      <w:pPr>
        <w:sectPr>
          <w:pgSz w:w="11920" w:h="16838" w:orient="portrait"/>
          <w:cols w:equalWidth="0" w:num="1">
            <w:col w:w="11300"/>
          </w:cols>
          <w:pgMar w:left="320" w:top="1310" w:right="298"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6" w:lineRule="exact"/>
        <w:rPr>
          <w:sz w:val="20"/>
          <w:szCs w:val="20"/>
          <w:color w:val="auto"/>
        </w:rPr>
      </w:pPr>
    </w:p>
    <w:p>
      <w:pPr>
        <w:ind w:left="250"/>
        <w:spacing w:after="0"/>
        <w:rPr>
          <w:sz w:val="20"/>
          <w:szCs w:val="20"/>
          <w:color w:val="auto"/>
        </w:rPr>
      </w:pPr>
      <w:r>
        <w:rPr>
          <w:rFonts w:ascii="Times New Roman" w:cs="Times New Roman" w:eastAsia="Times New Roman" w:hAnsi="Times New Roman"/>
          <w:sz w:val="14"/>
          <w:szCs w:val="14"/>
          <w:color w:val="auto"/>
        </w:rPr>
        <w:t>I, James E. Beckwith, certify that:</w:t>
      </w:r>
    </w:p>
    <w:p>
      <w:pPr>
        <w:spacing w:after="0" w:line="180" w:lineRule="exact"/>
        <w:rPr>
          <w:sz w:val="20"/>
          <w:szCs w:val="20"/>
          <w:color w:val="auto"/>
        </w:rPr>
      </w:pPr>
    </w:p>
    <w:p>
      <w:pPr>
        <w:ind w:left="250" w:hanging="250"/>
        <w:spacing w:after="0"/>
        <w:tabs>
          <w:tab w:leader="none" w:pos="25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 Star Bancorp (the “Registrant”);</w:t>
      </w:r>
    </w:p>
    <w:p>
      <w:pPr>
        <w:spacing w:after="0" w:line="179"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10" w:hanging="254"/>
        <w:spacing w:after="0"/>
        <w:tabs>
          <w:tab w:leader="none" w:pos="51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10"/>
        <w:spacing w:after="0"/>
        <w:tabs>
          <w:tab w:leader="none" w:pos="1949" w:val="left"/>
          <w:tab w:leader="none" w:pos="5269"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27, 2026</w:t>
      </w:r>
      <w:r>
        <w:rPr>
          <w:sz w:val="20"/>
          <w:szCs w:val="20"/>
          <w:color w:val="auto"/>
        </w:rPr>
        <w:tab/>
      </w:r>
      <w:r>
        <w:rPr>
          <w:rFonts w:ascii="Times New Roman" w:cs="Times New Roman" w:eastAsia="Times New Roman" w:hAnsi="Times New Roman"/>
          <w:sz w:val="14"/>
          <w:szCs w:val="14"/>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29845</wp:posOffset>
            </wp:positionV>
            <wp:extent cx="383349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4"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4"/>
          <w:szCs w:val="14"/>
          <w:color w:val="auto"/>
        </w:rPr>
        <w:t>James E. Beckwith</w:t>
      </w:r>
    </w:p>
    <w:p>
      <w:pPr>
        <w:spacing w:after="0" w:line="41"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ectPr>
          <w:pgSz w:w="11920" w:h="16838" w:orient="portrait"/>
          <w:cols w:equalWidth="0" w:num="1">
            <w:col w:w="11310"/>
          </w:cols>
          <w:pgMar w:left="310" w:top="927" w:right="298"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PURSUANT TO RULE 13a-14(a)/15d-14(a), AS ADOPTED</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66" w:lineRule="exact"/>
        <w:rPr>
          <w:sz w:val="20"/>
          <w:szCs w:val="20"/>
          <w:color w:val="auto"/>
        </w:rPr>
      </w:pPr>
    </w:p>
    <w:p>
      <w:pPr>
        <w:ind w:left="250"/>
        <w:spacing w:after="0"/>
        <w:rPr>
          <w:sz w:val="20"/>
          <w:szCs w:val="20"/>
          <w:color w:val="auto"/>
        </w:rPr>
      </w:pPr>
      <w:r>
        <w:rPr>
          <w:rFonts w:ascii="Times New Roman" w:cs="Times New Roman" w:eastAsia="Times New Roman" w:hAnsi="Times New Roman"/>
          <w:sz w:val="14"/>
          <w:szCs w:val="14"/>
          <w:color w:val="auto"/>
        </w:rPr>
        <w:t>I, Heather C. Luck, certify that:</w:t>
      </w:r>
    </w:p>
    <w:p>
      <w:pPr>
        <w:spacing w:after="0" w:line="180" w:lineRule="exact"/>
        <w:rPr>
          <w:sz w:val="20"/>
          <w:szCs w:val="20"/>
          <w:color w:val="auto"/>
        </w:rPr>
      </w:pPr>
    </w:p>
    <w:p>
      <w:pPr>
        <w:ind w:left="250" w:hanging="250"/>
        <w:spacing w:after="0"/>
        <w:tabs>
          <w:tab w:leader="none" w:pos="25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 Star Bancorp (the “Registrant”);</w:t>
      </w:r>
    </w:p>
    <w:p>
      <w:pPr>
        <w:spacing w:after="0" w:line="179"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250" w:hanging="250"/>
        <w:spacing w:after="0" w:line="288" w:lineRule="auto"/>
        <w:tabs>
          <w:tab w:leader="none" w:pos="25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510" w:hanging="254"/>
        <w:spacing w:after="0" w:line="288" w:lineRule="auto"/>
        <w:tabs>
          <w:tab w:leader="none" w:pos="5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510" w:hanging="254"/>
        <w:spacing w:after="0"/>
        <w:tabs>
          <w:tab w:leader="none" w:pos="51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10"/>
        <w:spacing w:after="0"/>
        <w:tabs>
          <w:tab w:leader="none" w:pos="1949" w:val="left"/>
          <w:tab w:leader="none" w:pos="5269"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27, 2026</w:t>
      </w:r>
      <w:r>
        <w:rPr>
          <w:sz w:val="20"/>
          <w:szCs w:val="20"/>
          <w:color w:val="auto"/>
        </w:rPr>
        <w:tab/>
      </w:r>
      <w:r>
        <w:rPr>
          <w:rFonts w:ascii="Times New Roman" w:cs="Times New Roman" w:eastAsia="Times New Roman" w:hAnsi="Times New Roman"/>
          <w:sz w:val="14"/>
          <w:szCs w:val="14"/>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29845</wp:posOffset>
            </wp:positionV>
            <wp:extent cx="383349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4"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4"/>
          <w:szCs w:val="14"/>
          <w:color w:val="auto"/>
        </w:rPr>
        <w:t>Heather C. Luck</w:t>
      </w:r>
    </w:p>
    <w:p>
      <w:pPr>
        <w:spacing w:after="0" w:line="41"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4"/>
          <w:szCs w:val="14"/>
          <w:color w:val="auto"/>
        </w:rPr>
        <w:t>Executive Vice President &amp; Chief Financial Officer</w:t>
      </w:r>
    </w:p>
    <w:p>
      <w:pPr>
        <w:sectPr>
          <w:pgSz w:w="11920" w:h="16838" w:orient="portrait"/>
          <w:cols w:equalWidth="0" w:num="1">
            <w:col w:w="11310"/>
          </w:cols>
          <w:pgMar w:left="310" w:top="927" w:right="298"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connection with the Annual Report on Form 10-K of Five Star Bancorp (the “Registrant”) for the year ended December 31, 2025, as filed with the Securities and Exchange Commission on the date hereof (the “Report”), I, James E. Beckwith, President &amp; Chief Executive Officer of the Registrant, hereby certify pursuant to 18 U.S.C. Section 1350, as adopted pursuant to Section 906 of the Sarbanes-Oxley Act of 2002, that:</w:t>
      </w:r>
    </w:p>
    <w:p>
      <w:pPr>
        <w:spacing w:after="0" w:line="136" w:lineRule="exact"/>
        <w:rPr>
          <w:sz w:val="20"/>
          <w:szCs w:val="20"/>
          <w:color w:val="auto"/>
        </w:rPr>
      </w:pPr>
    </w:p>
    <w:p>
      <w:pPr>
        <w:ind w:left="500" w:hanging="254"/>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9"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10" w:lineRule="exact"/>
        <w:rPr>
          <w:sz w:val="20"/>
          <w:szCs w:val="20"/>
          <w:color w:val="auto"/>
        </w:rPr>
      </w:pPr>
    </w:p>
    <w:p>
      <w:pPr>
        <w:ind w:left="200"/>
        <w:spacing w:after="0"/>
        <w:tabs>
          <w:tab w:leader="none" w:pos="1940" w:val="left"/>
          <w:tab w:leader="none" w:pos="52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27, 2026</w:t>
      </w:r>
      <w:r>
        <w:rPr>
          <w:sz w:val="20"/>
          <w:szCs w:val="20"/>
          <w:color w:val="auto"/>
        </w:rPr>
        <w:tab/>
      </w:r>
      <w:r>
        <w:rPr>
          <w:rFonts w:ascii="Times New Roman" w:cs="Times New Roman" w:eastAsia="Times New Roman" w:hAnsi="Times New Roman"/>
          <w:sz w:val="14"/>
          <w:szCs w:val="14"/>
          <w:i w:val="1"/>
          <w:iCs w:val="1"/>
          <w:color w:val="auto"/>
        </w:rPr>
        <w:t>/s/ James E. Beckwith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29845</wp:posOffset>
            </wp:positionV>
            <wp:extent cx="383349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James E. Beckwith</w:t>
      </w:r>
    </w:p>
    <w:p>
      <w:pPr>
        <w:spacing w:after="0" w:line="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President &amp; Chief Executive Officer</w:t>
      </w:r>
    </w:p>
    <w:p>
      <w:pPr>
        <w:sectPr>
          <w:pgSz w:w="11920" w:h="16838" w:orient="portrait"/>
          <w:cols w:equalWidth="0" w:num="1">
            <w:col w:w="11300"/>
          </w:cols>
          <w:pgMar w:left="320" w:top="756" w:right="298"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connection with the Annual Report on Form 10-K of Five Star Bancorp (the “Registrant”) for the year ended December 31, 2025, as filed with the Securities and Exchange Commission on the date hereof (the “Report”), I, Heather C. Luck, Executive Vice President &amp; Chief Financial Officer of the Registrant, hereby certify pursuant to 18 U.S.C. Section 1350, as adopted pursuant to Section 906 of the Sarbanes-Oxley Act of 2002, that:</w:t>
      </w:r>
    </w:p>
    <w:p>
      <w:pPr>
        <w:spacing w:after="0" w:line="136" w:lineRule="exact"/>
        <w:rPr>
          <w:sz w:val="20"/>
          <w:szCs w:val="20"/>
          <w:color w:val="auto"/>
        </w:rPr>
      </w:pPr>
    </w:p>
    <w:p>
      <w:pPr>
        <w:ind w:left="500" w:hanging="254"/>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79" w:lineRule="exact"/>
        <w:rPr>
          <w:rFonts w:ascii="Times New Roman" w:cs="Times New Roman" w:eastAsia="Times New Roman" w:hAnsi="Times New Roman"/>
          <w:sz w:val="14"/>
          <w:szCs w:val="14"/>
          <w:color w:val="auto"/>
        </w:rPr>
      </w:pPr>
    </w:p>
    <w:p>
      <w:pPr>
        <w:ind w:left="500" w:hanging="254"/>
        <w:spacing w:after="0"/>
        <w:tabs>
          <w:tab w:leader="none" w:pos="5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210" w:lineRule="exact"/>
        <w:rPr>
          <w:sz w:val="20"/>
          <w:szCs w:val="20"/>
          <w:color w:val="auto"/>
        </w:rPr>
      </w:pPr>
    </w:p>
    <w:p>
      <w:pPr>
        <w:ind w:left="200"/>
        <w:spacing w:after="0"/>
        <w:tabs>
          <w:tab w:leader="none" w:pos="1940" w:val="left"/>
          <w:tab w:leader="none" w:pos="52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27, 2026</w:t>
      </w:r>
      <w:r>
        <w:rPr>
          <w:sz w:val="20"/>
          <w:szCs w:val="20"/>
          <w:color w:val="auto"/>
        </w:rPr>
        <w:tab/>
      </w:r>
      <w:r>
        <w:rPr>
          <w:rFonts w:ascii="Times New Roman" w:cs="Times New Roman" w:eastAsia="Times New Roman" w:hAnsi="Times New Roman"/>
          <w:sz w:val="14"/>
          <w:szCs w:val="14"/>
          <w:i w:val="1"/>
          <w:iCs w:val="1"/>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29845</wp:posOffset>
            </wp:positionV>
            <wp:extent cx="383349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3833495" cy="6985"/>
                    </a:xfrm>
                    <a:prstGeom prst="rect">
                      <a:avLst/>
                    </a:prstGeom>
                    <a:noFill/>
                  </pic:spPr>
                </pic:pic>
              </a:graphicData>
            </a:graphic>
          </wp:anchor>
        </w:drawing>
      </w:r>
    </w:p>
    <w:p>
      <w:pPr>
        <w:spacing w:after="0" w:line="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Heather C. Luck</w:t>
      </w:r>
    </w:p>
    <w:p>
      <w:pPr>
        <w:spacing w:after="0" w:line="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Executive Vice President &amp; Chief Financial Officer</w:t>
      </w:r>
    </w:p>
    <w:sectPr>
      <w:pgSz w:w="11920" w:h="16838" w:orient="portrait"/>
      <w:cols w:equalWidth="0" w:num="1">
        <w:col w:w="11300"/>
      </w:cols>
      <w:pgMar w:left="320" w:top="757" w:right="29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bullet"/>
      <w:start w:val="1"/>
    </w:lvl>
  </w:abstractNum>
  <w:abstractNum w:abstractNumId="8">
    <w:nsid w:val="721DA317"/>
    <w:multiLevelType w:val="hybridMultilevel"/>
    <w:lvl w:ilvl="0">
      <w:lvlJc w:val="left"/>
      <w:lvlText w:val="2"/>
      <w:numFmt w:val="bullet"/>
      <w:start w:val="1"/>
    </w:lvl>
  </w:abstractNum>
  <w:abstractNum w:abstractNumId="9">
    <w:nsid w:val="2443A858"/>
    <w:multiLevelType w:val="hybridMultilevel"/>
    <w:lvl w:ilvl="0">
      <w:lvlJc w:val="left"/>
      <w:lvlText w:val="3"/>
      <w:numFmt w:val="bullet"/>
      <w:start w:val="1"/>
    </w:lvl>
  </w:abstractNum>
  <w:abstractNum w:abstractNumId="10">
    <w:nsid w:val="2D1D5AE9"/>
    <w:multiLevelType w:val="hybridMultilevel"/>
    <w:lvl w:ilvl="0">
      <w:lvlJc w:val="left"/>
      <w:lvlText w:val="1"/>
      <w:numFmt w:val="bullet"/>
      <w:start w:val="1"/>
    </w:lvl>
  </w:abstractNum>
  <w:abstractNum w:abstractNumId="11">
    <w:nsid w:val="6763845E"/>
    <w:multiLevelType w:val="hybridMultilevel"/>
    <w:lvl w:ilvl="0">
      <w:lvlJc w:val="left"/>
      <w:lvlText w:val="2"/>
      <w:numFmt w:val="bullet"/>
      <w:start w:val="1"/>
    </w:lvl>
  </w:abstractNum>
  <w:abstractNum w:abstractNumId="12">
    <w:nsid w:val="75A2A8D4"/>
    <w:multiLevelType w:val="hybridMultilevel"/>
    <w:lvl w:ilvl="0">
      <w:lvlJc w:val="left"/>
      <w:lvlText w:val="3"/>
      <w:numFmt w:val="bullet"/>
      <w:start w:val="1"/>
    </w:lvl>
  </w:abstractNum>
  <w:abstractNum w:abstractNumId="13">
    <w:nsid w:val="8EDBDAB"/>
    <w:multiLevelType w:val="hybridMultilevel"/>
    <w:lvl w:ilvl="0">
      <w:lvlJc w:val="left"/>
      <w:lvlText w:val="4"/>
      <w:numFmt w:val="bullet"/>
      <w:start w:val="1"/>
    </w:lvl>
  </w:abstractNum>
  <w:abstractNum w:abstractNumId="14">
    <w:nsid w:val="79838CB2"/>
    <w:multiLevelType w:val="hybridMultilevel"/>
    <w:lvl w:ilvl="0">
      <w:lvlJc w:val="left"/>
      <w:lvlText w:val="5"/>
      <w:numFmt w:val="bullet"/>
      <w:start w:val="1"/>
    </w:lvl>
  </w:abstractNum>
  <w:abstractNum w:abstractNumId="15">
    <w:nsid w:val="4353D0CD"/>
    <w:multiLevelType w:val="hybridMultilevel"/>
    <w:lvl w:ilvl="0">
      <w:lvlJc w:val="left"/>
      <w:lvlText w:val="6"/>
      <w:numFmt w:val="bullet"/>
      <w:start w:val="1"/>
    </w:lvl>
  </w:abstractNum>
  <w:abstractNum w:abstractNumId="16">
    <w:nsid w:val="B03E0C6"/>
    <w:multiLevelType w:val="hybridMultilevel"/>
    <w:lvl w:ilvl="0">
      <w:lvlJc w:val="left"/>
      <w:lvlText w:val="1"/>
      <w:numFmt w:val="bullet"/>
      <w:start w:val="1"/>
    </w:lvl>
  </w:abstractNum>
  <w:abstractNum w:abstractNumId="17">
    <w:nsid w:val="189A769B"/>
    <w:multiLevelType w:val="hybridMultilevel"/>
    <w:lvl w:ilvl="0">
      <w:lvlJc w:val="left"/>
      <w:lvlText w:val="2"/>
      <w:numFmt w:val="bullet"/>
      <w:start w:val="1"/>
    </w:lvl>
  </w:abstractNum>
  <w:abstractNum w:abstractNumId="18">
    <w:nsid w:val="54E49EB4"/>
    <w:multiLevelType w:val="hybridMultilevel"/>
    <w:lvl w:ilvl="0">
      <w:lvlJc w:val="left"/>
      <w:lvlText w:val="1"/>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bullet"/>
      <w:start w:val="1"/>
    </w:lvl>
  </w:abstractNum>
  <w:abstractNum w:abstractNumId="26">
    <w:nsid w:val="7C3DBD3D"/>
    <w:multiLevelType w:val="hybridMultilevel"/>
    <w:lvl w:ilvl="0">
      <w:lvlJc w:val="left"/>
      <w:lvlText w:val="1"/>
      <w:numFmt w:val="bullet"/>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decimal"/>
      <w:start w:val="104"/>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75"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63" Type="http://schemas.openxmlformats.org/officeDocument/2006/relationships/hyperlink" Target="https://www.sec.gov/Archives/edgar/data/1275168/000155278121000525/e21434_ex3-1.htm" TargetMode="External"/><Relationship Id="rId164" Type="http://schemas.openxmlformats.org/officeDocument/2006/relationships/hyperlink" Target="https://www.sec.gov/Archives/edgar/data/1275168/000127516825000106/secondamendedandrestated.htm" TargetMode="External"/><Relationship Id="rId165" Type="http://schemas.openxmlformats.org/officeDocument/2006/relationships/hyperlink" Target="https://www.sec.gov/Archives/edgar/data/1275168/000155278121000243/e21250_ex4-1.htm" TargetMode="External"/><Relationship Id="rId166" Type="http://schemas.openxmlformats.org/officeDocument/2006/relationships/hyperlink" Target="https://www.sec.gov/Archives/edgar/data/1275168/000127516822000028/exhibit101-solaris8xkforme.htm" TargetMode="External"/><Relationship Id="rId167" Type="http://schemas.openxmlformats.org/officeDocument/2006/relationships/hyperlink" Target="https://www.sec.gov/Archives/edgar/data/1275168/000155278122000215/e22095_ex4-4.htm" TargetMode="External"/><Relationship Id="rId168" Type="http://schemas.openxmlformats.org/officeDocument/2006/relationships/hyperlink" Target="https://www.sec.gov/Archives/edgar/data/1275168/000155278121000190/e21201_ex10-1.htm" TargetMode="External"/><Relationship Id="rId169" Type="http://schemas.openxmlformats.org/officeDocument/2006/relationships/hyperlink" Target="https://www.sec.gov/Archives/edgar/data/1275168/000155278121000243/e21250_ex10-4.htm" TargetMode="External"/><Relationship Id="rId170" Type="http://schemas.openxmlformats.org/officeDocument/2006/relationships/hyperlink" Target="https://www.sec.gov/Archives/edgar/data/1275168/000155278121000190/e21201_ex10-5.htm" TargetMode="External"/><Relationship Id="rId171" Type="http://schemas.openxmlformats.org/officeDocument/2006/relationships/hyperlink" Target="https://www.sec.gov/Archives/edgar/data/1275168/000155278122000215/e22095_ex10-4.htm" TargetMode="External"/><Relationship Id="rId172" Type="http://schemas.openxmlformats.org/officeDocument/2006/relationships/hyperlink" Target="https://www.sec.gov/Archives/edgar/data/1275168/000155278122000215/e22095_ex10-5.htm" TargetMode="External"/><Relationship Id="rId173" Type="http://schemas.openxmlformats.org/officeDocument/2006/relationships/hyperlink" Target="https://www.sec.gov/Archives/edgar/data/1275168/000127516822000006/fsbc-20220331xexx101xupdat.htm" TargetMode="External"/><Relationship Id="rId174" Type="http://schemas.openxmlformats.org/officeDocument/2006/relationships/hyperlink" Target="https://www.sec.gov/Archives/edgar/data/1275168/000162828025038796/a2025beckwithemploymenta.htm" TargetMode="External"/><Relationship Id="rId176" Type="http://schemas.openxmlformats.org/officeDocument/2006/relationships/hyperlink" Target="https://www.sec.gov/Archives/edgar/data/1275168/000162828025038796/fivestar-performanceshar.htm" TargetMode="External"/><Relationship Id="rId177" Type="http://schemas.openxmlformats.org/officeDocument/2006/relationships/hyperlink" Target="https://www.sec.gov/Archives/edgar/data/1275168/000162828025049087/fivestar-formchangeincon.htm" TargetMode="External"/><Relationship Id="rId178" Type="http://schemas.openxmlformats.org/officeDocument/2006/relationships/hyperlink" Target="https://www.sec.gov/Archives/edgar/data/1275168/000127516825000114/fivestarbancorp-executio.htm" TargetMode="External"/><Relationship Id="rId179" Type="http://schemas.openxmlformats.org/officeDocument/2006/relationships/hyperlink" Target="https://www.sec.gov/Archives/edgar/data/1275168/000127516824000061/compensationclawbackpo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2026-02-27T14:01:10Z</dcterms:created>
  <dcterms:modified xsi:type="dcterms:W3CDTF">2026-02-27T14:01:10Z</dcterms:modified>
</cp:coreProperties>
</file>