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377190</wp:posOffset>
            </wp:positionV>
            <wp:extent cx="2623185"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318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74" w:lineRule="exact"/>
        <w:rPr>
          <w:sz w:val="24"/>
          <w:szCs w:val="24"/>
          <w:color w:val="auto"/>
        </w:rPr>
      </w:pPr>
    </w:p>
    <w:p>
      <w:pPr>
        <w:jc w:val="center"/>
        <w:ind w:right="-19"/>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QUARTERLY REPORT PURSUANT TO SECTION 13 OR 15(d) OF THE SECURITIES EXCHANGE ACT OF 1934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September 30, 2025</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63" w:lineRule="exact"/>
        <w:rPr>
          <w:sz w:val="24"/>
          <w:szCs w:val="24"/>
          <w:color w:val="auto"/>
        </w:rPr>
      </w:pPr>
    </w:p>
    <w:p>
      <w:pPr>
        <w:jc w:val="center"/>
        <w:ind w:right="-19"/>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SECTION 13 OR 15(d) OF THE SECURITIES EXCHANGE ACT OF 1934</w:t>
      </w:r>
    </w:p>
    <w:p>
      <w:pPr>
        <w:spacing w:after="0" w:line="2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For the transition period from ________ to ________</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001-40379</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FIVE STAR BANCORP</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9" w:lineRule="exact"/>
        <w:rPr>
          <w:sz w:val="24"/>
          <w:szCs w:val="24"/>
          <w:color w:val="auto"/>
        </w:rPr>
      </w:pPr>
    </w:p>
    <w:tbl>
      <w:tblPr>
        <w:tblLayout w:type="fixed"/>
        <w:tblInd w:w="500" w:type="dxa"/>
        <w:tblCellMar>
          <w:top w:w="0" w:type="dxa"/>
          <w:left w:w="0" w:type="dxa"/>
          <w:bottom w:w="0" w:type="dxa"/>
          <w:right w:w="0" w:type="dxa"/>
        </w:tblCellMar>
      </w:tblPr>
      <w:tr>
        <w:trPr>
          <w:trHeight w:val="238"/>
        </w:trPr>
        <w:tc>
          <w:tcPr>
            <w:tcW w:w="698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324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75-3100966</w:t>
            </w:r>
          </w:p>
        </w:tc>
      </w:tr>
      <w:tr>
        <w:trPr>
          <w:trHeight w:val="256"/>
        </w:trPr>
        <w:tc>
          <w:tcPr>
            <w:tcW w:w="698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38"/>
        </w:trPr>
        <w:tc>
          <w:tcPr>
            <w:tcW w:w="2780" w:type="dxa"/>
            <w:vAlign w:val="bottom"/>
          </w:tcPr>
          <w:p>
            <w:pPr>
              <w:spacing w:after="0"/>
              <w:rPr>
                <w:sz w:val="24"/>
                <w:szCs w:val="24"/>
                <w:color w:val="auto"/>
              </w:rPr>
            </w:pPr>
          </w:p>
        </w:tc>
        <w:tc>
          <w:tcPr>
            <w:tcW w:w="7440" w:type="dxa"/>
            <w:vAlign w:val="bottom"/>
            <w:gridSpan w:val="6"/>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3100 Zinfandel Drive, Suite 100 Rancho Cordova, CA 95670</w:t>
            </w:r>
          </w:p>
        </w:tc>
      </w:tr>
      <w:tr>
        <w:trPr>
          <w:trHeight w:val="291"/>
        </w:trPr>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Borders>
              <w:top w:val="single" w:sz="8" w:color="auto"/>
            </w:tcBorders>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(Address of principal executive office) (Zip Code)</w:t>
            </w:r>
          </w:p>
        </w:tc>
        <w:tc>
          <w:tcPr>
            <w:tcW w:w="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9"/>
        </w:trPr>
        <w:tc>
          <w:tcPr>
            <w:tcW w:w="1022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(916) 626-5000</w:t>
            </w:r>
          </w:p>
        </w:tc>
      </w:tr>
      <w:tr>
        <w:trPr>
          <w:trHeight w:val="20"/>
        </w:trPr>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91"/>
        </w:trPr>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rPr>
              <w:t>Securities registered pursuant to 12(b) of the Act:</w:t>
            </w:r>
          </w:p>
        </w:tc>
      </w:tr>
      <w:tr>
        <w:trPr>
          <w:trHeight w:val="270"/>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40" w:type="dxa"/>
            <w:vAlign w:val="bottom"/>
          </w:tcPr>
          <w:p>
            <w:pPr>
              <w:spacing w:after="0"/>
              <w:rPr>
                <w:sz w:val="23"/>
                <w:szCs w:val="23"/>
                <w:color w:val="auto"/>
              </w:rPr>
            </w:pPr>
          </w:p>
        </w:tc>
        <w:tc>
          <w:tcPr>
            <w:tcW w:w="4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Trading symbol</w:t>
            </w:r>
          </w:p>
        </w:tc>
        <w:tc>
          <w:tcPr>
            <w:tcW w:w="3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6"/>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40" w:type="dxa"/>
            <w:vAlign w:val="bottom"/>
          </w:tcPr>
          <w:p>
            <w:pPr>
              <w:spacing w:after="0"/>
              <w:rPr>
                <w:sz w:val="22"/>
                <w:szCs w:val="22"/>
                <w:color w:val="auto"/>
              </w:rPr>
            </w:pPr>
          </w:p>
        </w:tc>
        <w:tc>
          <w:tcPr>
            <w:tcW w:w="4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FSBC</w:t>
            </w:r>
          </w:p>
        </w:tc>
        <w:tc>
          <w:tcPr>
            <w:tcW w:w="460" w:type="dxa"/>
            <w:vAlign w:val="bottom"/>
          </w:tcPr>
          <w:p>
            <w:pPr>
              <w:spacing w:after="0"/>
              <w:rPr>
                <w:sz w:val="22"/>
                <w:szCs w:val="22"/>
                <w:color w:val="auto"/>
              </w:rPr>
            </w:pPr>
          </w:p>
        </w:tc>
        <w:tc>
          <w:tcPr>
            <w:tcW w:w="2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8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w:t>
            </w:r>
          </w:p>
        </w:tc>
        <w:tc>
          <w:tcPr>
            <w:tcW w:w="1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Rule</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12b-2</w:t>
            </w:r>
          </w:p>
        </w:tc>
        <w:tc>
          <w:tcPr>
            <w:tcW w:w="2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of</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Exchange</w:t>
            </w: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1"/>
              </w:rPr>
              <w:t>Act.</w:t>
            </w:r>
          </w:p>
        </w:tc>
      </w:tr>
      <w:tr>
        <w:trPr>
          <w:trHeight w:val="252"/>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860" w:type="dxa"/>
            <w:vAlign w:val="bottom"/>
          </w:tcPr>
          <w:p>
            <w:pPr>
              <w:spacing w:after="0"/>
              <w:rPr>
                <w:sz w:val="21"/>
                <w:szCs w:val="21"/>
                <w:color w:val="auto"/>
              </w:rPr>
            </w:pPr>
          </w:p>
        </w:tc>
        <w:tc>
          <w:tcPr>
            <w:tcW w:w="1860" w:type="dxa"/>
            <w:vAlign w:val="bottom"/>
          </w:tcPr>
          <w:p>
            <w:pPr>
              <w:ind w:left="1440"/>
              <w:spacing w:after="0"/>
              <w:rPr>
                <w:sz w:val="20"/>
                <w:szCs w:val="20"/>
                <w:color w:val="auto"/>
              </w:rPr>
            </w:pPr>
            <w:r>
              <w:rPr>
                <w:rFonts w:ascii="Wingdings" w:cs="Wingdings" w:eastAsia="Wingdings" w:hAnsi="Wingdings"/>
                <w:sz w:val="18"/>
                <w:szCs w:val="18"/>
                <w:b w:val="1"/>
                <w:bCs w:val="1"/>
                <w:color w:val="auto"/>
              </w:rPr>
              <w:t>o</w:t>
            </w:r>
          </w:p>
        </w:tc>
        <w:tc>
          <w:tcPr>
            <w:tcW w:w="880" w:type="dxa"/>
            <w:vAlign w:val="bottom"/>
          </w:tcPr>
          <w:p>
            <w:pPr>
              <w:spacing w:after="0"/>
              <w:rPr>
                <w:sz w:val="21"/>
                <w:szCs w:val="21"/>
                <w:color w:val="auto"/>
              </w:rPr>
            </w:pP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spacing w:after="0"/>
              <w:rPr>
                <w:sz w:val="21"/>
                <w:szCs w:val="21"/>
                <w:color w:val="auto"/>
              </w:rPr>
            </w:pPr>
          </w:p>
        </w:tc>
        <w:tc>
          <w:tcPr>
            <w:tcW w:w="1940" w:type="dxa"/>
            <w:vAlign w:val="bottom"/>
          </w:tcPr>
          <w:p>
            <w:pPr>
              <w:ind w:left="1220"/>
              <w:spacing w:after="0"/>
              <w:rPr>
                <w:sz w:val="20"/>
                <w:szCs w:val="20"/>
                <w:color w:val="auto"/>
              </w:rPr>
            </w:pPr>
            <w:r>
              <w:rPr>
                <w:rFonts w:ascii="Wingdings" w:cs="Wingdings" w:eastAsia="Wingdings" w:hAnsi="Wingdings"/>
                <w:sz w:val="18"/>
                <w:szCs w:val="18"/>
                <w:b w:val="1"/>
                <w:bCs w:val="1"/>
                <w:color w:val="auto"/>
              </w:rPr>
              <w:t>x</w:t>
            </w:r>
          </w:p>
        </w:tc>
        <w:tc>
          <w:tcPr>
            <w:tcW w:w="820" w:type="dxa"/>
            <w:vAlign w:val="bottom"/>
          </w:tcPr>
          <w:p>
            <w:pPr>
              <w:spacing w:after="0"/>
              <w:rPr>
                <w:sz w:val="21"/>
                <w:szCs w:val="21"/>
                <w:color w:val="auto"/>
              </w:rPr>
            </w:pPr>
          </w:p>
        </w:tc>
      </w:tr>
      <w:tr>
        <w:trPr>
          <w:trHeight w:val="257"/>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860" w:type="dxa"/>
            <w:vAlign w:val="bottom"/>
          </w:tcPr>
          <w:p>
            <w:pPr>
              <w:spacing w:after="0"/>
              <w:rPr>
                <w:sz w:val="22"/>
                <w:szCs w:val="22"/>
                <w:color w:val="auto"/>
              </w:rPr>
            </w:pPr>
          </w:p>
        </w:tc>
        <w:tc>
          <w:tcPr>
            <w:tcW w:w="1860" w:type="dxa"/>
            <w:vAlign w:val="bottom"/>
          </w:tcPr>
          <w:p>
            <w:pPr>
              <w:ind w:left="1440"/>
              <w:spacing w:after="0"/>
              <w:rPr>
                <w:sz w:val="20"/>
                <w:szCs w:val="20"/>
                <w:color w:val="auto"/>
              </w:rPr>
            </w:pPr>
            <w:r>
              <w:rPr>
                <w:rFonts w:ascii="Wingdings" w:cs="Wingdings" w:eastAsia="Wingdings" w:hAnsi="Wingdings"/>
                <w:sz w:val="18"/>
                <w:szCs w:val="18"/>
                <w:b w:val="1"/>
                <w:bCs w:val="1"/>
                <w:color w:val="auto"/>
              </w:rPr>
              <w:t>o</w:t>
            </w:r>
          </w:p>
        </w:tc>
        <w:tc>
          <w:tcPr>
            <w:tcW w:w="880" w:type="dxa"/>
            <w:vAlign w:val="bottom"/>
          </w:tcPr>
          <w:p>
            <w:pPr>
              <w:spacing w:after="0"/>
              <w:rPr>
                <w:sz w:val="22"/>
                <w:szCs w:val="22"/>
                <w:color w:val="auto"/>
              </w:rPr>
            </w:pP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spacing w:after="0"/>
              <w:rPr>
                <w:sz w:val="22"/>
                <w:szCs w:val="22"/>
                <w:color w:val="auto"/>
              </w:rPr>
            </w:pPr>
          </w:p>
        </w:tc>
        <w:tc>
          <w:tcPr>
            <w:tcW w:w="1940" w:type="dxa"/>
            <w:vAlign w:val="bottom"/>
          </w:tcPr>
          <w:p>
            <w:pPr>
              <w:ind w:left="1220"/>
              <w:spacing w:after="0"/>
              <w:rPr>
                <w:sz w:val="20"/>
                <w:szCs w:val="20"/>
                <w:color w:val="auto"/>
              </w:rPr>
            </w:pPr>
            <w:r>
              <w:rPr>
                <w:rFonts w:ascii="Wingdings" w:cs="Wingdings" w:eastAsia="Wingdings" w:hAnsi="Wingdings"/>
                <w:sz w:val="18"/>
                <w:szCs w:val="18"/>
                <w:b w:val="1"/>
                <w:bCs w:val="1"/>
                <w:color w:val="auto"/>
              </w:rPr>
              <w:t>o</w:t>
            </w:r>
          </w:p>
        </w:tc>
        <w:tc>
          <w:tcPr>
            <w:tcW w:w="820" w:type="dxa"/>
            <w:vAlign w:val="bottom"/>
          </w:tcPr>
          <w:p>
            <w:pPr>
              <w:spacing w:after="0"/>
              <w:rPr>
                <w:sz w:val="22"/>
                <w:szCs w:val="22"/>
                <w:color w:val="auto"/>
              </w:rPr>
            </w:pPr>
          </w:p>
        </w:tc>
      </w:tr>
      <w:tr>
        <w:trPr>
          <w:trHeight w:val="256"/>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60" w:type="dxa"/>
            <w:vAlign w:val="bottom"/>
          </w:tcPr>
          <w:p>
            <w:pPr>
              <w:ind w:left="1440"/>
              <w:spacing w:after="0"/>
              <w:rPr>
                <w:sz w:val="20"/>
                <w:szCs w:val="20"/>
                <w:color w:val="auto"/>
              </w:rPr>
            </w:pPr>
            <w:r>
              <w:rPr>
                <w:rFonts w:ascii="Wingdings" w:cs="Wingdings" w:eastAsia="Wingdings" w:hAnsi="Wingdings"/>
                <w:sz w:val="18"/>
                <w:szCs w:val="18"/>
                <w:b w:val="1"/>
                <w:bCs w:val="1"/>
                <w:color w:val="auto"/>
              </w:rPr>
              <w:t>x</w:t>
            </w:r>
          </w:p>
        </w:tc>
        <w:tc>
          <w:tcPr>
            <w:tcW w:w="8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2025, there were 21,367,387 shares of the registrant’s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40" w:type="dxa"/>
            <w:vAlign w:val="bottom"/>
            <w:gridSpan w:val="6"/>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20" w:type="dxa"/>
            <w:vAlign w:val="bottom"/>
          </w:tcPr>
          <w:p>
            <w:pPr>
              <w:spacing w:after="0"/>
              <w:rPr>
                <w:sz w:val="20"/>
                <w:szCs w:val="20"/>
                <w:color w:val="auto"/>
              </w:rPr>
            </w:pPr>
          </w:p>
        </w:tc>
      </w:tr>
      <w:tr>
        <w:trPr>
          <w:trHeight w:val="57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gridSpan w:val="9"/>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FIVE STAR BANCORP AND SUBSIDIARY</w:t>
            </w:r>
          </w:p>
        </w:tc>
        <w:tc>
          <w:tcPr>
            <w:tcW w:w="19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20" w:type="dxa"/>
            <w:vAlign w:val="bottom"/>
            <w:gridSpan w:val="7"/>
          </w:tcPr>
          <w:p>
            <w:pPr>
              <w:jc w:val="center"/>
              <w:ind w:right="2360"/>
              <w:spacing w:after="0"/>
              <w:rPr>
                <w:sz w:val="20"/>
                <w:szCs w:val="20"/>
                <w:color w:val="auto"/>
              </w:rPr>
            </w:pPr>
            <w:r>
              <w:rPr>
                <w:rFonts w:ascii="Times New Roman" w:cs="Times New Roman" w:eastAsia="Times New Roman" w:hAnsi="Times New Roman"/>
                <w:sz w:val="18"/>
                <w:szCs w:val="18"/>
                <w:color w:val="auto"/>
                <w:w w:val="99"/>
              </w:rPr>
              <w:t>Quarterly Report on Form 10-Q</w:t>
            </w:r>
          </w:p>
        </w:tc>
        <w:tc>
          <w:tcPr>
            <w:tcW w:w="19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40" w:type="dxa"/>
            <w:vAlign w:val="bottom"/>
            <w:gridSpan w:val="6"/>
          </w:tcPr>
          <w:p>
            <w:pPr>
              <w:jc w:val="center"/>
              <w:ind w:right="266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92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5760" w:type="dxa"/>
            <w:vAlign w:val="bottom"/>
            <w:gridSpan w:val="9"/>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5780" w:type="dxa"/>
            <w:vAlign w:val="bottom"/>
            <w:gridSpan w:val="10"/>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5800" w:type="dxa"/>
            <w:vAlign w:val="bottom"/>
            <w:gridSpan w:val="11"/>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180" w:type="dxa"/>
            <w:vAlign w:val="bottom"/>
            <w:tcBorders>
              <w:top w:val="single" w:sz="8" w:color="0000FF"/>
            </w:tcBorders>
          </w:tcPr>
          <w:p>
            <w:pPr>
              <w:spacing w:after="0"/>
              <w:rPr>
                <w:sz w:val="20"/>
                <w:szCs w:val="20"/>
                <w:color w:val="auto"/>
              </w:rPr>
            </w:pPr>
          </w:p>
        </w:tc>
        <w:tc>
          <w:tcPr>
            <w:tcW w:w="4160" w:type="dxa"/>
            <w:vAlign w:val="bottom"/>
            <w:gridSpan w:val="4"/>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5020" w:type="dxa"/>
            <w:vAlign w:val="bottom"/>
            <w:gridSpan w:val="7"/>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740" w:type="dxa"/>
            <w:vAlign w:val="bottom"/>
            <w:gridSpan w:val="6"/>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2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80" w:type="dxa"/>
            <w:vAlign w:val="bottom"/>
            <w:gridSpan w:val="3"/>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FF"/>
            </w:tcBorders>
            <w:gridSpan w:val="2"/>
          </w:tcPr>
          <w:p>
            <w:pPr>
              <w:spacing w:after="0"/>
              <w:rPr>
                <w:sz w:val="24"/>
                <w:szCs w:val="24"/>
                <w:color w:val="auto"/>
              </w:rPr>
            </w:pPr>
          </w:p>
        </w:tc>
        <w:tc>
          <w:tcPr>
            <w:tcW w:w="6140" w:type="dxa"/>
            <w:vAlign w:val="bottom"/>
            <w:gridSpan w:val="13"/>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20" w:type="dxa"/>
            <w:vAlign w:val="bottom"/>
            <w:gridSpan w:val="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40" w:type="dxa"/>
            <w:vAlign w:val="bottom"/>
            <w:gridSpan w:val="1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4"/>
                <w:szCs w:val="24"/>
                <w:color w:val="auto"/>
              </w:rPr>
            </w:pPr>
          </w:p>
        </w:tc>
        <w:tc>
          <w:tcPr>
            <w:tcW w:w="6400" w:type="dxa"/>
            <w:vAlign w:val="bottom"/>
            <w:gridSpan w:val="14"/>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2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1054"/>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3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Cash and due from financial institutions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44,147</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33,882</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536,300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318,461</w:t>
            </w:r>
          </w:p>
        </w:tc>
        <w:tc>
          <w:tcPr>
            <w:tcW w:w="0" w:type="dxa"/>
            <w:vAlign w:val="bottom"/>
          </w:tcPr>
          <w:p>
            <w:pPr>
              <w:spacing w:after="0"/>
              <w:rPr>
                <w:sz w:val="1"/>
                <w:szCs w:val="1"/>
                <w:color w:val="auto"/>
              </w:rPr>
            </w:pPr>
          </w:p>
        </w:tc>
      </w:tr>
      <w:tr>
        <w:trPr>
          <w:trHeight w:val="207"/>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580,447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352,343</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Time deposits in banks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4,121</w:t>
            </w:r>
          </w:p>
        </w:tc>
        <w:tc>
          <w:tcPr>
            <w:tcW w:w="0" w:type="dxa"/>
            <w:vAlign w:val="bottom"/>
          </w:tcPr>
          <w:p>
            <w:pPr>
              <w:spacing w:after="0"/>
              <w:rPr>
                <w:sz w:val="1"/>
                <w:szCs w:val="1"/>
                <w:color w:val="auto"/>
              </w:rPr>
            </w:pPr>
          </w:p>
        </w:tc>
      </w:tr>
      <w:tr>
        <w:trPr>
          <w:trHeight w:val="162"/>
        </w:trPr>
        <w:tc>
          <w:tcPr>
            <w:tcW w:w="73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Securities available-for-sale, at fair value, net of allowance for credit losses of $0 at September 30, 2025 and</w:t>
            </w: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December 31, 2024 (amortized cost of $109,135 and $115,757 at September 30, 2025 and December 31,</w:t>
            </w:r>
          </w:p>
        </w:tc>
        <w:tc>
          <w:tcPr>
            <w:tcW w:w="18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95,635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98,194</w:t>
            </w: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2024, respectively)</w:t>
            </w:r>
          </w:p>
        </w:tc>
        <w:tc>
          <w:tcPr>
            <w:tcW w:w="18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Securities held-to-maturity, at amortized cost, net of allowance for credit losses of $20 at September 30, 2025</w:t>
            </w:r>
          </w:p>
        </w:tc>
        <w:tc>
          <w:tcPr>
            <w:tcW w:w="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CEEFF"/>
          </w:tcPr>
          <w:p>
            <w:pPr>
              <w:ind w:left="160"/>
              <w:spacing w:after="0" w:line="162" w:lineRule="exact"/>
              <w:rPr>
                <w:sz w:val="20"/>
                <w:szCs w:val="20"/>
                <w:color w:val="auto"/>
              </w:rPr>
            </w:pPr>
            <w:r>
              <w:rPr>
                <w:rFonts w:ascii="Times New Roman" w:cs="Times New Roman" w:eastAsia="Times New Roman" w:hAnsi="Times New Roman"/>
                <w:sz w:val="16"/>
                <w:szCs w:val="16"/>
                <w:color w:val="auto"/>
              </w:rPr>
              <w:t>and December 31, 2024 (fair value of $1,996 and $2,353 at September 30, 2025 and December 31, 2024,</w:t>
            </w:r>
          </w:p>
        </w:tc>
        <w:tc>
          <w:tcPr>
            <w:tcW w:w="18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Loans held for sale</w:t>
            </w:r>
          </w:p>
        </w:tc>
        <w:tc>
          <w:tcPr>
            <w:tcW w:w="1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3,247</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 held for investment</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3,887,259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3,532,686</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(42,061)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(37,791)</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Loans held for investment, net of allowance for credit losses</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3,845,198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3,494,895</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FHLB stock</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leases, right-of-use asset, net</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6,245</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Bank-owned life insurance</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19,375</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Interest receivable and other assets</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68,117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55,554</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4,641,770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4,053,278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Deposits:</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Non-interest-bearing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1,059,082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922,629</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Interest-bearing</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3,044,356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2,635,365</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deposits</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4,103,438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3,557,994</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Borrowings:</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Subordinated notes, net</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73,895</w:t>
            </w: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borrowings</w:t>
            </w:r>
          </w:p>
        </w:tc>
        <w:tc>
          <w:tcPr>
            <w:tcW w:w="1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6,857</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Interest payable and other liabilities</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22,589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17,908</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4,210,462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3,656,654</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Preferred stock, no par value; 10,000,000 shares authorized; zero issued and outstanding at September 30,</w:t>
            </w:r>
          </w:p>
        </w:tc>
        <w:tc>
          <w:tcPr>
            <w:tcW w:w="180" w:type="dxa"/>
            <w:vAlign w:val="bottom"/>
          </w:tcPr>
          <w:p>
            <w:pPr>
              <w:spacing w:after="0"/>
              <w:rPr>
                <w:sz w:val="14"/>
                <w:szCs w:val="14"/>
                <w:color w:val="auto"/>
              </w:rPr>
            </w:pPr>
          </w:p>
        </w:tc>
        <w:tc>
          <w:tcPr>
            <w:tcW w:w="1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2025 and December 31, 2024</w:t>
            </w:r>
          </w:p>
        </w:tc>
        <w:tc>
          <w:tcPr>
            <w:tcW w:w="18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ind w:left="160"/>
              <w:spacing w:after="0" w:line="165" w:lineRule="exact"/>
              <w:rPr>
                <w:sz w:val="20"/>
                <w:szCs w:val="20"/>
                <w:color w:val="auto"/>
              </w:rPr>
            </w:pPr>
            <w:r>
              <w:rPr>
                <w:rFonts w:ascii="Times New Roman" w:cs="Times New Roman" w:eastAsia="Times New Roman" w:hAnsi="Times New Roman"/>
                <w:sz w:val="16"/>
                <w:szCs w:val="16"/>
                <w:color w:val="auto"/>
              </w:rPr>
              <w:t>Common stock, no par value; 100,000,000 shares authorized; 21,367,387 shares issued and outstanding at</w:t>
            </w:r>
          </w:p>
        </w:tc>
        <w:tc>
          <w:tcPr>
            <w:tcW w:w="18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303,571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302,531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September 30, 2025; 21,319,083 shares issued and outstanding at December 31, 2024</w:t>
            </w:r>
          </w:p>
        </w:tc>
        <w:tc>
          <w:tcPr>
            <w:tcW w:w="18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106,464</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 net of taxes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(12,371)</w:t>
            </w:r>
          </w:p>
        </w:tc>
        <w:tc>
          <w:tcPr>
            <w:tcW w:w="0" w:type="dxa"/>
            <w:vAlign w:val="bottom"/>
          </w:tcPr>
          <w:p>
            <w:pPr>
              <w:spacing w:after="0"/>
              <w:rPr>
                <w:sz w:val="1"/>
                <w:szCs w:val="1"/>
                <w:color w:val="auto"/>
              </w:rPr>
            </w:pPr>
          </w:p>
        </w:tc>
      </w:tr>
      <w:tr>
        <w:trPr>
          <w:trHeight w:val="207"/>
        </w:trPr>
        <w:tc>
          <w:tcPr>
            <w:tcW w:w="73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431,308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396,624</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Total liabilities and shareholders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4,641,770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4,053,278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7"/>
                <w:szCs w:val="17"/>
                <w:color w:val="auto"/>
              </w:rPr>
            </w:pPr>
          </w:p>
        </w:tc>
        <w:tc>
          <w:tcPr>
            <w:tcW w:w="2440" w:type="dxa"/>
            <w:vAlign w:val="bottom"/>
            <w:gridSpan w:val="4"/>
          </w:tcPr>
          <w:p>
            <w:pPr>
              <w:jc w:val="center"/>
              <w:ind w:left="43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center"/>
              <w:ind w:right="235"/>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6"/>
        </w:trPr>
        <w:tc>
          <w:tcPr>
            <w:tcW w:w="50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right="29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47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223"/>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and fee income:</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6"/>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Loans, including fees</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59,257</w:t>
            </w:r>
          </w:p>
        </w:tc>
        <w:tc>
          <w:tcPr>
            <w:tcW w:w="100" w:type="dxa"/>
            <w:vAlign w:val="bottom"/>
          </w:tcPr>
          <w:p>
            <w:pPr>
              <w:spacing w:after="0"/>
              <w:rPr>
                <w:sz w:val="19"/>
                <w:szCs w:val="19"/>
                <w:color w:val="auto"/>
              </w:rPr>
            </w:pP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50,390</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168,204</w:t>
            </w:r>
          </w:p>
        </w:tc>
        <w:tc>
          <w:tcPr>
            <w:tcW w:w="10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140,538</w:t>
            </w:r>
          </w:p>
        </w:tc>
      </w:tr>
      <w:tr>
        <w:trPr>
          <w:trHeight w:val="233"/>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Taxable securities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w:t>
            </w:r>
          </w:p>
        </w:tc>
      </w:tr>
      <w:tr>
        <w:trPr>
          <w:trHeight w:val="226"/>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Nontaxable securities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w:t>
            </w:r>
          </w:p>
        </w:tc>
      </w:tr>
      <w:tr>
        <w:trPr>
          <w:trHeight w:val="233"/>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Interest-bearing deposits in banks</w:t>
            </w: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5,009</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12,571</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6,745</w:t>
            </w:r>
          </w:p>
        </w:tc>
      </w:tr>
      <w:tr>
        <w:trPr>
          <w:trHeight w:val="219"/>
        </w:trPr>
        <w:tc>
          <w:tcPr>
            <w:tcW w:w="5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interest and fee income</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64,845</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52,667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182,512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149,206</w:t>
            </w:r>
          </w:p>
        </w:tc>
      </w:tr>
      <w:tr>
        <w:trPr>
          <w:trHeight w:val="200"/>
        </w:trPr>
        <w:tc>
          <w:tcPr>
            <w:tcW w:w="50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8"/>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1"/>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24,336</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21,076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69,188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59,304</w:t>
            </w:r>
          </w:p>
        </w:tc>
      </w:tr>
      <w:tr>
        <w:trPr>
          <w:trHeight w:val="226"/>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Subordinated notes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3,484</w:t>
            </w:r>
          </w:p>
        </w:tc>
      </w:tr>
      <w:tr>
        <w:trPr>
          <w:trHeight w:val="233"/>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borrowings</w:t>
            </w:r>
          </w:p>
        </w:tc>
        <w:tc>
          <w:tcPr>
            <w:tcW w:w="9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r>
      <w:tr>
        <w:trPr>
          <w:trHeight w:val="219"/>
        </w:trPr>
        <w:tc>
          <w:tcPr>
            <w:tcW w:w="5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interest expense</w:t>
            </w:r>
          </w:p>
        </w:tc>
        <w:tc>
          <w:tcPr>
            <w:tcW w:w="9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25,497</w:t>
            </w:r>
          </w:p>
        </w:tc>
        <w:tc>
          <w:tcPr>
            <w:tcW w:w="10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22,281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72,672</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62,984</w:t>
            </w:r>
          </w:p>
        </w:tc>
      </w:tr>
      <w:tr>
        <w:trPr>
          <w:trHeight w:val="200"/>
        </w:trPr>
        <w:tc>
          <w:tcPr>
            <w:tcW w:w="50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6"/>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interest income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39,348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30,386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109,840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86,222</w:t>
            </w:r>
          </w:p>
        </w:tc>
      </w:tr>
      <w:tr>
        <w:trPr>
          <w:trHeight w:val="23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6,900</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5,650</w:t>
            </w:r>
          </w:p>
        </w:tc>
      </w:tr>
      <w:tr>
        <w:trPr>
          <w:trHeight w:val="21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36,848</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27,636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102,940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80,572</w:t>
            </w:r>
          </w:p>
        </w:tc>
      </w:tr>
      <w:tr>
        <w:trPr>
          <w:trHeight w:val="200"/>
        </w:trPr>
        <w:tc>
          <w:tcPr>
            <w:tcW w:w="50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8"/>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Non-interest income:</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1"/>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w:t>
            </w:r>
          </w:p>
        </w:tc>
      </w:tr>
      <w:tr>
        <w:trPr>
          <w:trHeight w:val="226"/>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Gain on sale of loans</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w:t>
            </w:r>
          </w:p>
        </w:tc>
      </w:tr>
      <w:tr>
        <w:trPr>
          <w:trHeight w:val="233"/>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Loan-related fees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w:t>
            </w:r>
          </w:p>
        </w:tc>
      </w:tr>
      <w:tr>
        <w:trPr>
          <w:trHeight w:val="226"/>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FHLB stock dividends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w:t>
            </w:r>
          </w:p>
        </w:tc>
      </w:tr>
      <w:tr>
        <w:trPr>
          <w:trHeight w:val="233"/>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Earnings on BOLI</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w:t>
            </w:r>
          </w:p>
        </w:tc>
      </w:tr>
      <w:tr>
        <w:trPr>
          <w:trHeight w:val="226"/>
        </w:trPr>
        <w:tc>
          <w:tcPr>
            <w:tcW w:w="5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w:t>
            </w:r>
          </w:p>
        </w:tc>
      </w:tr>
      <w:tr>
        <w:trPr>
          <w:trHeight w:val="223"/>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non-interest income</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1,966</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4,787</w:t>
            </w:r>
          </w:p>
        </w:tc>
      </w:tr>
      <w:tr>
        <w:trPr>
          <w:trHeight w:val="200"/>
        </w:trPr>
        <w:tc>
          <w:tcPr>
            <w:tcW w:w="5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Non-interest expense: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6"/>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Salaries and employee benefits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23,349</w:t>
            </w:r>
          </w:p>
        </w:tc>
      </w:tr>
      <w:tr>
        <w:trPr>
          <w:trHeight w:val="233"/>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Occupancy and equipment</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1,898</w:t>
            </w:r>
          </w:p>
        </w:tc>
      </w:tr>
      <w:tr>
        <w:trPr>
          <w:trHeight w:val="226"/>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Data processing and software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3,719</w:t>
            </w:r>
          </w:p>
        </w:tc>
      </w:tr>
      <w:tr>
        <w:trPr>
          <w:trHeight w:val="233"/>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FDIC insurance</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r>
      <w:tr>
        <w:trPr>
          <w:trHeight w:val="226"/>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Professional services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2,304</w:t>
            </w:r>
          </w:p>
        </w:tc>
      </w:tr>
      <w:tr>
        <w:trPr>
          <w:trHeight w:val="233"/>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Advertising and promotional</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w:t>
            </w:r>
          </w:p>
        </w:tc>
      </w:tr>
      <w:tr>
        <w:trPr>
          <w:trHeight w:val="226"/>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Loan-related expenses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w:t>
            </w:r>
          </w:p>
        </w:tc>
      </w:tr>
      <w:tr>
        <w:trPr>
          <w:trHeight w:val="233"/>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operating expenses</w:t>
            </w: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2,053</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5,636</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w:t>
            </w:r>
          </w:p>
        </w:tc>
      </w:tr>
      <w:tr>
        <w:trPr>
          <w:trHeight w:val="219"/>
        </w:trPr>
        <w:tc>
          <w:tcPr>
            <w:tcW w:w="5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16,580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13,776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47,351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40,005</w:t>
            </w:r>
          </w:p>
        </w:tc>
      </w:tr>
      <w:tr>
        <w:trPr>
          <w:trHeight w:val="200"/>
        </w:trPr>
        <w:tc>
          <w:tcPr>
            <w:tcW w:w="50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6"/>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22,234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15,241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45,354</w:t>
            </w:r>
          </w:p>
        </w:tc>
      </w:tr>
      <w:tr>
        <w:trPr>
          <w:trHeight w:val="220"/>
        </w:trPr>
        <w:tc>
          <w:tcPr>
            <w:tcW w:w="50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6"/>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13,000</w:t>
            </w:r>
          </w:p>
        </w:tc>
      </w:tr>
      <w:tr>
        <w:trPr>
          <w:trHeight w:val="220"/>
        </w:trPr>
        <w:tc>
          <w:tcPr>
            <w:tcW w:w="50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16,344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10,941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43,963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32,354</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5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earnings per common share</w:t>
            </w: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9"/>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earnings per common share</w:t>
            </w: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0980"/>
          </w:cols>
          <w:pgMar w:left="460" w:top="1143"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143" w:right="45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7"/>
                <w:szCs w:val="17"/>
                <w:color w:val="auto"/>
              </w:rPr>
            </w:pPr>
          </w:p>
        </w:tc>
        <w:tc>
          <w:tcPr>
            <w:tcW w:w="250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8"/>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32,354</w:t>
            </w:r>
          </w:p>
        </w:tc>
      </w:tr>
    </w:tbl>
    <w:p>
      <w:pPr>
        <w:spacing w:after="0" w:line="200" w:lineRule="exact"/>
        <w:rPr>
          <w:sz w:val="20"/>
          <w:szCs w:val="20"/>
          <w:color w:val="auto"/>
        </w:rPr>
      </w:pPr>
    </w:p>
    <w:p>
      <w:pPr>
        <w:sectPr>
          <w:pgSz w:w="11900" w:h="16838" w:orient="portrait"/>
          <w:cols w:equalWidth="0" w:num="1">
            <w:col w:w="11240"/>
          </w:cols>
          <w:pgMar w:left="320" w:top="1143" w:right="339" w:bottom="1440" w:gutter="0" w:footer="0" w:header="0"/>
        </w:sectPr>
      </w:pPr>
    </w:p>
    <w:p>
      <w:pPr>
        <w:spacing w:after="0" w:line="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Unrealized gain 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520" w:right="440" w:hanging="161"/>
        <w:spacing w:after="0" w:line="234" w:lineRule="auto"/>
        <w:rPr>
          <w:sz w:val="20"/>
          <w:szCs w:val="20"/>
          <w:color w:val="auto"/>
        </w:rPr>
      </w:pPr>
      <w:r>
        <w:rPr>
          <w:rFonts w:ascii="Times New Roman" w:cs="Times New Roman" w:eastAsia="Times New Roman" w:hAnsi="Times New Roman"/>
          <w:sz w:val="18"/>
          <w:szCs w:val="18"/>
          <w:color w:val="auto"/>
        </w:rPr>
        <w:t>Net unrealized holding gain on securities available-for-sale during the period</w:t>
      </w:r>
    </w:p>
    <w:p>
      <w:pPr>
        <w:spacing w:after="0" w:line="10" w:lineRule="exact"/>
        <w:rPr>
          <w:sz w:val="20"/>
          <w:szCs w:val="20"/>
          <w:color w:val="auto"/>
        </w:rPr>
      </w:pPr>
    </w:p>
    <w:p>
      <w:pPr>
        <w:ind w:left="300" w:right="680" w:hanging="161"/>
        <w:spacing w:after="0" w:line="237" w:lineRule="auto"/>
        <w:rPr>
          <w:sz w:val="20"/>
          <w:szCs w:val="20"/>
          <w:color w:val="auto"/>
        </w:rPr>
      </w:pPr>
      <w:r>
        <w:rPr>
          <w:rFonts w:ascii="Times New Roman" w:cs="Times New Roman" w:eastAsia="Times New Roman" w:hAnsi="Times New Roman"/>
          <w:sz w:val="18"/>
          <w:szCs w:val="18"/>
          <w:color w:val="auto"/>
        </w:rPr>
        <w:t>Less: Income tax expense related to items of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2,843</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3,549</w:t>
            </w: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4,063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r>
      <w:tr>
        <w:trPr>
          <w:trHeight w:val="418"/>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763</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1,049</w:t>
            </w: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1,570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r>
    </w:tbl>
    <w:p>
      <w:pPr>
        <w:spacing w:after="0" w:line="1" w:lineRule="exact"/>
        <w:rPr>
          <w:sz w:val="20"/>
          <w:szCs w:val="20"/>
          <w:color w:val="auto"/>
        </w:rPr>
      </w:pPr>
    </w:p>
    <w:p>
      <w:pPr>
        <w:sectPr>
          <w:pgSz w:w="11900" w:h="16838" w:orient="portrait"/>
          <w:cols w:equalWidth="0" w:num="2">
            <w:col w:w="5560" w:space="720"/>
            <w:col w:w="496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w:t>
            </w:r>
          </w:p>
        </w:tc>
      </w:tr>
      <w:tr>
        <w:trPr>
          <w:trHeight w:val="270"/>
        </w:trPr>
        <w:tc>
          <w:tcPr>
            <w:tcW w:w="528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18,424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13,441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46,456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34,389</w:t>
            </w:r>
          </w:p>
        </w:tc>
      </w:tr>
      <w:tr>
        <w:trPr>
          <w:trHeight w:val="20"/>
        </w:trPr>
        <w:tc>
          <w:tcPr>
            <w:tcW w:w="5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2520" w:type="dxa"/>
            <w:vAlign w:val="bottom"/>
            <w:gridSpan w:val="4"/>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67"/>
        </w:trPr>
        <w:tc>
          <w:tcPr>
            <w:tcW w:w="4020" w:type="dxa"/>
            <w:vAlign w:val="bottom"/>
          </w:tcPr>
          <w:p>
            <w:pPr>
              <w:spacing w:after="0"/>
              <w:rPr>
                <w:sz w:val="14"/>
                <w:szCs w:val="14"/>
                <w:color w:val="auto"/>
              </w:rPr>
            </w:pPr>
          </w:p>
        </w:tc>
        <w:tc>
          <w:tcPr>
            <w:tcW w:w="252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74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b w:val="1"/>
                <w:bCs w:val="1"/>
                <w:color w:val="auto"/>
              </w:rPr>
              <w:t>Accumulated Other</w:t>
            </w:r>
          </w:p>
        </w:tc>
        <w:tc>
          <w:tcPr>
            <w:tcW w:w="160" w:type="dxa"/>
            <w:vAlign w:val="bottom"/>
          </w:tcPr>
          <w:p>
            <w:pPr>
              <w:spacing w:after="0"/>
              <w:rPr>
                <w:sz w:val="14"/>
                <w:szCs w:val="14"/>
                <w:color w:val="auto"/>
              </w:rPr>
            </w:pPr>
          </w:p>
        </w:tc>
        <w:tc>
          <w:tcPr>
            <w:tcW w:w="1340" w:type="dxa"/>
            <w:vAlign w:val="bottom"/>
          </w:tcPr>
          <w:p>
            <w:pPr>
              <w:jc w:val="center"/>
              <w:ind w:right="50"/>
              <w:spacing w:after="0" w:line="156" w:lineRule="exact"/>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7"/>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6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21,319,583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380,470</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 ($0.20 per share)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21,319,583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302,251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97,411</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(9,732)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389,930</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21,360,991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125,545</w:t>
            </w:r>
          </w:p>
        </w:tc>
        <w:tc>
          <w:tcPr>
            <w:tcW w:w="10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416,742</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issued under stock award plans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forfeitures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 ($0.20 per share)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21,367,387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431,308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43"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2540" w:type="dxa"/>
            <w:vAlign w:val="bottom"/>
            <w:gridSpan w:val="4"/>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254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760" w:type="dxa"/>
            <w:vAlign w:val="bottom"/>
            <w:gridSpan w:val="3"/>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rPr>
              <w:t>Accumulated Other</w:t>
            </w:r>
          </w:p>
        </w:tc>
        <w:tc>
          <w:tcPr>
            <w:tcW w:w="160" w:type="dxa"/>
            <w:vAlign w:val="bottom"/>
          </w:tcPr>
          <w:p>
            <w:pPr>
              <w:spacing w:after="0"/>
              <w:rPr>
                <w:sz w:val="14"/>
                <w:szCs w:val="14"/>
                <w:color w:val="auto"/>
              </w:rPr>
            </w:pPr>
          </w:p>
        </w:tc>
        <w:tc>
          <w:tcPr>
            <w:tcW w:w="1340" w:type="dxa"/>
            <w:vAlign w:val="bottom"/>
          </w:tcPr>
          <w:p>
            <w:pPr>
              <w:jc w:val="center"/>
              <w:ind w:right="70"/>
              <w:spacing w:after="0" w:line="156" w:lineRule="exact"/>
              <w:rPr>
                <w:sz w:val="20"/>
                <w:szCs w:val="20"/>
                <w:color w:val="auto"/>
              </w:rPr>
            </w:pPr>
            <w:r>
              <w:rPr>
                <w:rFonts w:ascii="Times New Roman" w:cs="Times New Roman" w:eastAsia="Times New Roman" w:hAnsi="Times New Roman"/>
                <w:sz w:val="18"/>
                <w:szCs w:val="18"/>
                <w:b w:val="1"/>
                <w:bCs w:val="1"/>
                <w:color w:val="auto"/>
                <w:w w:val="98"/>
              </w:rPr>
              <w:t>Shareholders’</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6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17,256,989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77,036</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285,774</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32,354</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80,870</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issued under stock award plans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forfeitures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 ($0.60 per share)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21,319,583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389,930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21,319,083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396,624</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43,963</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issued under stock award plans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forfeitures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 ($0.60 per share)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21,367,387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303,571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137,615</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(9,878)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431,308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8"/>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43,963</w:t>
            </w:r>
          </w:p>
        </w:tc>
        <w:tc>
          <w:tcPr>
            <w:tcW w:w="8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32,354</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5,650</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deferred loan fees and costs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of premiums and discounts on securities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subordinated note issuance costs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of low income housing tax credits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Earnings on BOLI</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Deferred tax provision</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Loans originated for sale</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(19,358)</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Gain on sale of loans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Gross proceeds from sale of loans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3,531</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17,572</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Gain on equity investments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changes in:</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6"/>
        </w:trPr>
        <w:tc>
          <w:tcPr>
            <w:tcW w:w="77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Interest receivable and other assets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w:t>
            </w:r>
          </w:p>
        </w:tc>
      </w:tr>
      <w:tr>
        <w:trPr>
          <w:trHeight w:val="233"/>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Interest payable and other liabilities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(4,195)</w:t>
            </w:r>
          </w:p>
        </w:tc>
      </w:tr>
      <w:tr>
        <w:trPr>
          <w:trHeight w:val="226"/>
        </w:trPr>
        <w:tc>
          <w:tcPr>
            <w:tcW w:w="77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w:t>
            </w:r>
          </w:p>
        </w:tc>
      </w:tr>
      <w:tr>
        <w:trPr>
          <w:trHeight w:val="227"/>
        </w:trPr>
        <w:tc>
          <w:tcPr>
            <w:tcW w:w="7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52,055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33,792</w:t>
            </w:r>
          </w:p>
        </w:tc>
      </w:tr>
      <w:tr>
        <w:trPr>
          <w:trHeight w:val="206"/>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Maturities, prepayments, and calls of securities available-for-sale</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6,370</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Purchases of securities available-for-sale</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Capital call for equity investments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(2,802)</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received from equity investments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Low income housing tax credits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(5,381)</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(10,559)</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change in time deposits in banks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1,740</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 originations, net of repayments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(356,230)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(369,697)</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 of premises and equipment</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BOLI</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w:t>
            </w:r>
          </w:p>
        </w:tc>
      </w:tr>
      <w:tr>
        <w:trPr>
          <w:trHeight w:val="226"/>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real estate sale proceeds</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7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(356,583)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(376,490)</w:t>
            </w:r>
          </w:p>
        </w:tc>
      </w:tr>
      <w:tr>
        <w:trPr>
          <w:trHeight w:val="206"/>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change in deposits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545,444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373,083</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issuance of stock, net of issuance costs</w:t>
            </w:r>
          </w:p>
        </w:tc>
        <w:tc>
          <w:tcPr>
            <w:tcW w:w="3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80,870</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Advances (payments) on other borrowings</w:t>
            </w: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(170,000)</w:t>
            </w:r>
          </w:p>
        </w:tc>
      </w:tr>
      <w:tr>
        <w:trPr>
          <w:trHeight w:val="226"/>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Cash dividends paid</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(12,812)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(11,979)</w:t>
            </w:r>
          </w:p>
        </w:tc>
      </w:tr>
      <w:tr>
        <w:trPr>
          <w:trHeight w:val="227"/>
        </w:trPr>
        <w:tc>
          <w:tcPr>
            <w:tcW w:w="7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532,632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271,974</w:t>
            </w:r>
          </w:p>
        </w:tc>
      </w:tr>
      <w:tr>
        <w:trPr>
          <w:trHeight w:val="219"/>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228,104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(70,724)</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352,343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321,576</w:t>
            </w:r>
          </w:p>
        </w:tc>
      </w:tr>
      <w:tr>
        <w:trPr>
          <w:trHeight w:val="227"/>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period</w:t>
            </w: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580,447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250,852</w:t>
            </w:r>
          </w:p>
        </w:tc>
      </w:tr>
      <w:tr>
        <w:trPr>
          <w:trHeight w:val="21"/>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8"/>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paid</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71,925</w:t>
            </w:r>
          </w:p>
        </w:tc>
        <w:tc>
          <w:tcPr>
            <w:tcW w:w="8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65,223</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taxes paid</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18,011</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11,388</w:t>
            </w: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items:</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1"/>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Transfer from loans held for sale to loans held for investment</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11,464</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Unrealized gain on securities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2,889</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lease liabilities exchanged for ROUA</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2,225</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ROUA acquired</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(2,225)</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commitment for low income housing tax credits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Organization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Five Star Bank (the “Bank”) was chartered on October 26, 1999 and began operations on December 20, 1999. Five Star Bancorp (“Bancorp” or the “Company”) was incorporated on September 16, 2002 and subsequently obtained approval from the Federal Reserve to become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the Bank, provides financial services to customers who are predominately small and middle-market businesses, professionals, and individuals residing in the Northern California region. The Company’s primary loan products are commercial real estate loans, land development loans, construction loans, and operating lines of credit, and its primary deposit products are checking accounts, savings accounts, money market accounts, and term certificate accounts. The Bank currently has nine branch offices in Roseville, Natomas, Rancho Cordova, Redding, Elk Grove, Chico, Yuba City, San Francisco, and Walnut Creek.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Basis of Financial Statement Presentation and Consolidation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as contained within the Financial Accounting Standards Board’s (“FASB”) ASC and the rules and regulations of the SEC, including the instructions to Regulation S-X.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of and for the year ended December 31, 2024, and the notes thereto, included in the Company’s Annual Report on Form 10-K (the “2024 Annual Report on Form 10-K”), which was filed with the SEC on February 28, 2025.</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include Bancorp and its wholly owned subsidiary, the Bank. All significant intercompany transactions and balances are eliminated in consolidation.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30, 2025 are not necessarily indicative of the results of operations that may be expected for any other interim period or for the year ending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accounting and reporting policies conform to GAAP and to general practices within the banking industry.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Segments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one reportable operating segment: banking. The banking segment derives its revenues through the Bank, which provides a broad range of banking products and services to customers who are predominantly small to medium-sized businesses, professionals, and individuals primarily in Northern California. The Company manages the business activities on a consolidated basis.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who reviews financial information presented on a consolidated basis. The CODM assesses performance for the operating segment and decides how to allocate resources based on net income that also is reported on the income statement as consolidated net income. The measure of segment assets is reported on the balance sheet as total consolidated assets.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metrics are used by the CODM to make key operating decisions, such as determination of the rate at which the Company seeks to grow, loan and deposit pricing, and the allocation of budget for non-interest expenses. Net income is used to monitor budget versus actual results. Discrete financial information is not available other than on a Company-wide basis.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(d) Emerging Growth Company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qualifies as an emerging growth company as defined in the Jumpstart Our Business Startups Act of 2012, and, as such, may take advantage of specified reduced reporting requirements and deferred adoption dates for accounting standards, and is relieved of other significant requirements that are otherwise generally applicable to other public companies. The Company will remain an emerging growth company for five years after its IPO date of May 5, 2021, unless one of the following occurs: (i) total annual gross revenues are $1.235 billion or more; (ii) the Company issues more than $1.0 billion in non-convertible debt; or (iii) the Company becomes a large accelerated filer with a public float of more than $0.7 billion, as measured at June 30 annually.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Significant Accounting Policies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included in Note 1, Basis of Presentation in the notes to our audited consolidated financial statements included in the 2024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 Recently Issued Accounting Standards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information reflects recent accounting standards that have been adopted or are pending adoption by the Company. The Company qualifies as an emerging growth company and, as such, has elected not to opt out of the extended transition period for complying with new or revised accounting standards and is not subject to the new or revised accounting standards applicable to public companies during the extended transition period. The accounting standards discussed below indicate effective dates for the Company as an emerging growth company using the extended transition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 in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Issued But Not Yet Adopted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the FASB issued ASU No. 2023-06, </w:t>
      </w:r>
      <w:r>
        <w:rPr>
          <w:rFonts w:ascii="Times New Roman" w:cs="Times New Roman" w:eastAsia="Times New Roman" w:hAnsi="Times New Roman"/>
          <w:sz w:val="18"/>
          <w:szCs w:val="18"/>
          <w:i w:val="1"/>
          <w:iCs w:val="1"/>
          <w:color w:val="auto"/>
        </w:rPr>
        <w:t>Disclosure Improvements - Codification Amendments in Response to the SEC’s Disclosure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Simplification Initiative </w:t>
      </w:r>
      <w:r>
        <w:rPr>
          <w:rFonts w:ascii="Times New Roman" w:cs="Times New Roman" w:eastAsia="Times New Roman" w:hAnsi="Times New Roman"/>
          <w:sz w:val="18"/>
          <w:szCs w:val="18"/>
          <w:color w:val="auto"/>
        </w:rPr>
        <w:t>(“ASU 2023-06”), amending disclosure or presentation requirements related to various subtopics in the FASB’s ASC.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2023-06 was issued in response to the SEC’s initiative to update and simplify disclosure requirements. The SEC identified 27 disclosure requirements that were incremental to those in the ASC and referred them to the FASB for potential incorporation into GAAP. To avoid duplication, the SEC intended to eliminate those disclosure requirements from existing SEC regulations as the FASB incorporated them into the relevant ASC subtopics. ASU 2023-06 adds 14 of the 27 identified disclosure or presentation requirements to the ASC. ASU 2023-06 is to be applied prospectively, and early adoption is prohibited. For reporting entities subject to the SEC’s existing disclosure requirements, the effective dates of ASU 2023-06 will be the date on which the SEC’s removal of that related disclosure requirement from Regulation S-X or Regulation S-K becomes effective. If by June 30, 2027, the SEC has not removed the applicable requirement from Regulation S-X or Regulation S-K, the pending content of the related amendment will be removed from the ASC and will not become effective for any entities. ASU 2023-06 is not expected to have a significant impact on the Company’s consolidated financial statements.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xml:space="preserve"> (“ASU 2023-09”), which enhances the transparency and decision usefulness of income tax disclosures. ASU 2023-09 will require disaggregated information about a reporting entity’s effective tax rate reconciliation as well as information on income taxes paid. Entities will also be required to disclose income/(loss) from continuing operations before income tax expense/(benefit) disaggregated between domestic and foreign operations, as well as income tax expense/(benefit) from continuing operations disaggregated by federal, state, and foreign operations. ASU 2023-09 is effective January 1, 2026 for emerging growth companies electing not to opt out of the extended transition period and is not expected to have a significant impact on the Company’s consolidated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 - Amendments to Remove References to the Concepts Statements</w:t>
      </w:r>
      <w:r>
        <w:rPr>
          <w:rFonts w:ascii="Times New Roman" w:cs="Times New Roman" w:eastAsia="Times New Roman" w:hAnsi="Times New Roman"/>
          <w:sz w:val="18"/>
          <w:szCs w:val="18"/>
          <w:color w:val="auto"/>
        </w:rPr>
        <w:t xml:space="preserve"> (“ASU 2024-02”). ASU 2024-02 contains amendments to the ASC that remove references to various Concepts Statements. In most instances, the references are extraneous and not required to understand or apply the guidance. In other instances, the references were used in prior Statements to provide guidance in certain topical areas. FASB Concepts Statements are nonauthoritative. Removing all references to Concepts Statements in the guidance is intended to</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simplify the ASC and draw a distinction between authoritative and nonauthoritative literature. ASU 2024-02 is effective January 1, 2026 for emerging growth companies electing not to opt out of the extended transition period and is not expected to have a significant impact on the Company’s consolidated financial statements.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November 4,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(“Subtopic 220-40”)</w:t>
      </w:r>
      <w:r>
        <w:rPr>
          <w:rFonts w:ascii="Times New Roman" w:cs="Times New Roman" w:eastAsia="Times New Roman" w:hAnsi="Times New Roman"/>
          <w:sz w:val="18"/>
          <w:szCs w:val="18"/>
          <w:i w:val="1"/>
          <w:iCs w:val="1"/>
          <w:color w:val="auto"/>
        </w:rPr>
        <w:t>: Disaggregation of Income Statement Expenses</w:t>
      </w:r>
      <w:r>
        <w:rPr>
          <w:rFonts w:ascii="Times New Roman" w:cs="Times New Roman" w:eastAsia="Times New Roman" w:hAnsi="Times New Roman"/>
          <w:sz w:val="18"/>
          <w:szCs w:val="18"/>
          <w:color w:val="auto"/>
        </w:rPr>
        <w:t xml:space="preserve"> (“ASU 2024-03”) and in January 2025 the FASB issued ASU 2025-01, </w:t>
      </w:r>
      <w:r>
        <w:rPr>
          <w:rFonts w:ascii="Times New Roman" w:cs="Times New Roman" w:eastAsia="Times New Roman" w:hAnsi="Times New Roman"/>
          <w:sz w:val="18"/>
          <w:szCs w:val="18"/>
          <w:i w:val="1"/>
          <w:iCs w:val="1"/>
          <w:color w:val="auto"/>
        </w:rPr>
        <w:t>Clarifying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This standard responds to investor input by requiring public companies to disclose, in interim and annual reporting periods,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expenses in the notes to the financial statements. This standard is effective for all entities that are subject to Subtopic 220-40, for annual periods beginning after December 15, 2026, and interim periods within annual reporting periods beginning after December 15, 2027, but early adoption is permitted. ASU 2024-03 is not expected to have a significant impact on the Company’s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 Reclassifications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amounts reported in previous consolidated financial statements have been reclassified to conform to current period presentation. These reclassifications did not affect previously reported amounts of net income, total assets, or total shareholders’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Fair Value of Assets and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Hierarchy and Fair Value Measurement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Quoted prices (unadjusted) for identical assets or liabilities in active markets that the Company has the ability to access as of the measurement date.</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Significant unobservable inputs that reflect the Company’s own assumptions about the assumptions that market participants would use in pricing an asset or liability.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Table 2.1 summarizes the Company’s assets and liabilities required to be recorded at fair value on a recurring basis.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2.1: Fair Value on a Recurring Basis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60" w:type="dxa"/>
            <w:vAlign w:val="bottom"/>
          </w:tcPr>
          <w:p>
            <w:pPr>
              <w:spacing w:after="0"/>
              <w:rPr>
                <w:sz w:val="17"/>
                <w:szCs w:val="17"/>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8"/>
              </w:rPr>
              <w:t>Significant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Measurement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8"/>
              </w:rPr>
              <w:t>Active Markets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8"/>
              </w:rPr>
              <w:t>Significant</w:t>
            </w:r>
          </w:p>
        </w:tc>
        <w:tc>
          <w:tcPr>
            <w:tcW w:w="1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Categories: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rPr>
              <w:t>for Identical</w:t>
            </w:r>
          </w:p>
        </w:tc>
        <w:tc>
          <w:tcPr>
            <w:tcW w:w="160" w:type="dxa"/>
            <w:vAlign w:val="bottom"/>
          </w:tcPr>
          <w:p>
            <w:pPr>
              <w:spacing w:after="0"/>
              <w:rPr>
                <w:sz w:val="15"/>
                <w:szCs w:val="15"/>
                <w:color w:val="auto"/>
              </w:rPr>
            </w:pPr>
          </w:p>
        </w:tc>
        <w:tc>
          <w:tcPr>
            <w:tcW w:w="11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16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Unobservable</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Changes in Fair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w w:val="99"/>
              </w:rPr>
              <w:t>Carrying</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7"/>
              </w:rPr>
              <w:t>Assets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1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Value Recorded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c>
          <w:tcPr>
            <w:tcW w:w="14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3)</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gridSpan w:val="3"/>
          </w:tcPr>
          <w:p>
            <w:pPr>
              <w:ind w:left="220"/>
              <w:spacing w:after="0" w:line="176" w:lineRule="exact"/>
              <w:rPr>
                <w:sz w:val="20"/>
                <w:szCs w:val="20"/>
                <w:color w:val="auto"/>
              </w:rPr>
            </w:pPr>
            <w:r>
              <w:rPr>
                <w:rFonts w:ascii="Times New Roman" w:cs="Times New Roman" w:eastAsia="Times New Roman" w:hAnsi="Times New Roman"/>
                <w:sz w:val="18"/>
                <w:szCs w:val="18"/>
                <w:color w:val="auto"/>
              </w:rPr>
              <w:t>U.S. government agency securities, mortgage-backed</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00" w:type="dxa"/>
            <w:vAlign w:val="bottom"/>
            <w:gridSpan w:val="3"/>
          </w:tcPr>
          <w:p>
            <w:pPr>
              <w:ind w:left="340"/>
              <w:spacing w:after="0" w:line="184" w:lineRule="exact"/>
              <w:rPr>
                <w:sz w:val="20"/>
                <w:szCs w:val="20"/>
                <w:color w:val="auto"/>
              </w:rPr>
            </w:pPr>
            <w:r>
              <w:rPr>
                <w:rFonts w:ascii="Times New Roman" w:cs="Times New Roman" w:eastAsia="Times New Roman" w:hAnsi="Times New Roman"/>
                <w:sz w:val="18"/>
                <w:szCs w:val="18"/>
                <w:color w:val="auto"/>
              </w:rPr>
              <w:t>securities, obligations of states and political</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gridSpan w:val="3"/>
          </w:tcPr>
          <w:p>
            <w:pPr>
              <w:ind w:left="340"/>
              <w:spacing w:after="0" w:line="181" w:lineRule="exact"/>
              <w:rPr>
                <w:sz w:val="20"/>
                <w:szCs w:val="20"/>
                <w:color w:val="auto"/>
              </w:rPr>
            </w:pPr>
            <w:r>
              <w:rPr>
                <w:rFonts w:ascii="Times New Roman" w:cs="Times New Roman" w:eastAsia="Times New Roman" w:hAnsi="Times New Roman"/>
                <w:sz w:val="18"/>
                <w:szCs w:val="18"/>
                <w:color w:val="auto"/>
              </w:rPr>
              <w:t>subdivisions, collateralized mortgage obligations,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95,635</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95,635</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OCI</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and corporate bonds</w:t>
            </w: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0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300" w:type="dxa"/>
            <w:vAlign w:val="bottom"/>
            <w:gridSpan w:val="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U.S. government agency securities, mortgage-backed</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300" w:type="dxa"/>
            <w:vAlign w:val="bottom"/>
            <w:gridSpan w:val="3"/>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securities, obligations of states and political</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00" w:type="dxa"/>
            <w:vAlign w:val="bottom"/>
            <w:gridSpan w:val="3"/>
            <w:shd w:val="clear" w:color="auto" w:fill="CCEEFF"/>
          </w:tcPr>
          <w:p>
            <w:pPr>
              <w:ind w:left="340"/>
              <w:spacing w:after="0" w:line="181" w:lineRule="exact"/>
              <w:rPr>
                <w:sz w:val="20"/>
                <w:szCs w:val="20"/>
                <w:color w:val="auto"/>
              </w:rPr>
            </w:pPr>
            <w:r>
              <w:rPr>
                <w:rFonts w:ascii="Times New Roman" w:cs="Times New Roman" w:eastAsia="Times New Roman" w:hAnsi="Times New Roman"/>
                <w:sz w:val="18"/>
                <w:szCs w:val="18"/>
                <w:color w:val="auto"/>
              </w:rPr>
              <w:t>subdivisions, collateralized mortgage obligations,</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98,194</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98,194</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OCI</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corporate bonds</w:t>
            </w:r>
          </w:p>
        </w:tc>
        <w:tc>
          <w:tcPr>
            <w:tcW w:w="1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Available-for-sale securities are recorded at fair value on a recurring basis. When available, quoted market prices (Level 1 inputs)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inputs). Level 2 securities include U.S. agencies’ or government-sponsored agencies’ debt securities, mortgage-backed securities, government agency-issued bonds, privately issued collateralized mortgage obligations, and corporate bonds. Level 3 securities are based on unobservable inputs that are supported by little or no market activity. In addition, values use discounted cash flow models and may include significant management judgment and estimation. As of September 30, 2025 and December 31, 2024, there were no Level 1 available-for-sale securities and no transfers between Level 1 and Level 2 classifications for assets or liabilities measured at fair value on a recurring basis.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financial assets may be measured at fair value on a non-recurring basis. These assets are subject to fair value adjustments that result from the application of the lower of cost or fair value accounting or write-downs of individual assets, such as collateral dependent loans and other real estate owned. As of September 30, 2025 and December 31, 2024, the carrying amount of assets measured at fair value on a non-recurring basis was immaterial to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Disclosures about Fair Value of 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Table 2.2 is a summary of fair value estimates for financial instruments as of September 30, 2025 and December 31, 2024. The carrying amounts in Table 2.2 are recorded in the consolidated balance sheets under the indicated captions. Further, management has not disclosed the fair value of financial instruments specifically excluded from disclosure requirements, such as BOLI.</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2.2: Fair Value Estimates for Financial Instruments</w:t>
            </w:r>
          </w:p>
        </w:tc>
        <w:tc>
          <w:tcPr>
            <w:tcW w:w="2380" w:type="dxa"/>
            <w:vAlign w:val="bottom"/>
            <w:gridSpan w:val="6"/>
            <w:vMerge w:val="restart"/>
          </w:tcPr>
          <w:p>
            <w:pPr>
              <w:jc w:val="center"/>
              <w:ind w:left="73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gridSpan w:val="6"/>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rPr>
              <w:t>December 31, 2024</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6"/>
            <w:vMerge w:val="continue"/>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6"/>
            <w:vMerge w:val="continue"/>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Amounts</w:t>
            </w:r>
          </w:p>
        </w:tc>
        <w:tc>
          <w:tcPr>
            <w:tcW w:w="140" w:type="dxa"/>
            <w:vAlign w:val="bottom"/>
          </w:tcPr>
          <w:p>
            <w:pPr>
              <w:spacing w:after="0"/>
              <w:rPr>
                <w:sz w:val="21"/>
                <w:szCs w:val="21"/>
                <w:color w:val="auto"/>
              </w:rPr>
            </w:pPr>
          </w:p>
        </w:tc>
        <w:tc>
          <w:tcPr>
            <w:tcW w:w="11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6"/>
              </w:rPr>
              <w:t>Fair Value</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Hierarchy</w:t>
            </w:r>
          </w:p>
        </w:tc>
        <w:tc>
          <w:tcPr>
            <w:tcW w:w="1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Amounts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6"/>
              </w:rPr>
              <w:t>Fair Value</w:t>
            </w: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Hierarchy</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352,343</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Level 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Time deposits in banks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Level 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98,194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98,194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held-to-maturity</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Loans held for sale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8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Loans held for investment, net of allowance for</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credit losses</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3,845,198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3,786,585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3,494,895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3,412,032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Time deposits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669,078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Subordinated notes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73,895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used the following methods and assumptions to estimate the fair value of its financial instruments at September 30, 2025 and December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Cash and cash equivalents and time deposits in banks</w:t>
      </w:r>
      <w:r>
        <w:rPr>
          <w:rFonts w:ascii="Times New Roman" w:cs="Times New Roman" w:eastAsia="Times New Roman" w:hAnsi="Times New Roman"/>
          <w:sz w:val="18"/>
          <w:szCs w:val="18"/>
          <w:color w:val="auto"/>
        </w:rPr>
        <w:t>: The carrying amount is estimated to be fair value due to the liquid nature of the assets and their short-term maturities.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Investment securities</w:t>
      </w:r>
      <w:r>
        <w:rPr>
          <w:rFonts w:ascii="Times New Roman" w:cs="Times New Roman" w:eastAsia="Times New Roman" w:hAnsi="Times New Roman"/>
          <w:sz w:val="18"/>
          <w:szCs w:val="18"/>
          <w:color w:val="auto"/>
        </w:rPr>
        <w:t>: See discussion above for the methods and assumptions used by the Company to estimate the fair value of available-for-sale investment securities. The fair value of held-to-maturity securities is estimated by calculating the net present value of future cash flows based on observable market data, such as interest rates and yield curves (observable at commonly quoted intervals) as provided by an independent third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The fair value is based on what secondary markets are currently offering for portfolios with similar characteristics.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Loans held for investment, net of allowance for credit losses</w:t>
      </w:r>
      <w:r>
        <w:rPr>
          <w:rFonts w:ascii="Times New Roman" w:cs="Times New Roman" w:eastAsia="Times New Roman" w:hAnsi="Times New Roman"/>
          <w:sz w:val="18"/>
          <w:szCs w:val="18"/>
          <w:color w:val="auto"/>
        </w:rPr>
        <w:t>: For variable rate loans that reprice frequently with no significant change in credit risk, fair values are based on carrying values. Fair values for other loans are estimated using discounted cash flow analyses, which use interest rates being offered at each reporting date for loans with similar terms to borrowers of comparable creditworthiness without considering widening credit spreads due to market illiquidity, which approximates the exit price notion. The allowance for credit losses is considered to be a reasonable estimate of loan discount for credit quality concerns.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Commitments to extend credit</w:t>
      </w:r>
      <w:r>
        <w:rPr>
          <w:rFonts w:ascii="Times New Roman" w:cs="Times New Roman" w:eastAsia="Times New Roman" w:hAnsi="Times New Roman"/>
          <w:sz w:val="18"/>
          <w:szCs w:val="18"/>
          <w:color w:val="auto"/>
        </w:rPr>
        <w:t>: These are primarily for adjustable rate loans, and there are no differences between the committed amounts and their fair values. Commitments to fund fixed rate loans are at rates which approximate fair value at each reporting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Time deposits</w:t>
      </w:r>
      <w:r>
        <w:rPr>
          <w:rFonts w:ascii="Times New Roman" w:cs="Times New Roman" w:eastAsia="Times New Roman" w:hAnsi="Times New Roman"/>
          <w:sz w:val="18"/>
          <w:szCs w:val="18"/>
          <w:color w:val="auto"/>
        </w:rPr>
        <w:t>: The fair value is estimated using a discounted cash flow analysis that uses interest rates offered at each reporting date by the Company for certificates with similar remaining maturities, resulting in a Level 2 classification.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Subordinated notes</w:t>
      </w:r>
      <w:r>
        <w:rPr>
          <w:rFonts w:ascii="Times New Roman" w:cs="Times New Roman" w:eastAsia="Times New Roman" w:hAnsi="Times New Roman"/>
          <w:sz w:val="18"/>
          <w:szCs w:val="18"/>
          <w:color w:val="auto"/>
        </w:rPr>
        <w:t>: The fair value is estimated by discounting the future cash flow using the current three-month CME Term SOFR. The Company’s subordinated notes are not registered securities and were issued through private placements, resulting in a Level 3 classification.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borrowings</w:t>
      </w:r>
      <w:r>
        <w:rPr>
          <w:rFonts w:ascii="Times New Roman" w:cs="Times New Roman" w:eastAsia="Times New Roman" w:hAnsi="Times New Roman"/>
          <w:sz w:val="18"/>
          <w:szCs w:val="18"/>
          <w:color w:val="auto"/>
        </w:rPr>
        <w:t>: The carrying amount is estimated to be fair value.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3: Investment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investment securities portfolio includes obligations of states and political subdivisions, securities issued by U.S. federal government agencies, such as the SBA, and securities issued by U.S. GSEs, such as the FNMA, the FHLMC, and the FHLB. The Company also invests in residential and commercial mortgage-backed securities, collateralized mortgage obligations issued or guaranteed by GSEs, and corporate bonds, as reflected in Tables 3.1 and 3.2.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the amortized cost and fair value related to securities held-to-maturity as of September 30, 2025 and December 31, 2024 is presented in Table 3.1. Securities held-to-maturity, at amortized cost, had a $20.0 thousand allowance for credit losses as of September 30, 2025 and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3.1: Securities Held-to-Maturity</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8"/>
                <w:szCs w:val="18"/>
                <w:color w:val="auto"/>
              </w:rPr>
              <w:t>Gross Unrealized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Amortized Cost</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28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94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held-to-maturity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9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held-to-maturity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securities issued by states and political subdivisions, for purposes of evaluating whether to recognize credit loss expense,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As of September 30, 2025 and December 31, 2024, the allowance for credit losses on held-to-maturity securities, at amortized cost, was $20.0 thousand.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record an allowance for credit losses on available-for-sale securities as of September 30, 2025 or December 31, 2024.</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summary of the amortized cost and fair value related to securities available-for-sale as of September 30, 2025 and December 31, 2024 is presented in Table 3.2. Securities available-for-sale did not have an allowance for credit losses as of September 30, 2025 or December 31,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3.2: Securities Available-for-Sale</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Gross Unrealized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Amortized Cost</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28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94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9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available-for-sale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115,757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(17,722)</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investment securities by contractual maturity at September 30, 2025 and December 31, 2024 are shown in Table 3.3. Expected maturities may differ from contractual maturities if the issuers of the securities have the right to call or prepay obligations with or without call or prepayment penalties.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3.3: Contractual Maturities - Investment Securities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9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tcPr>
          <w:p>
            <w:pPr>
              <w:spacing w:after="0"/>
              <w:rPr>
                <w:sz w:val="21"/>
                <w:szCs w:val="21"/>
                <w:color w:val="auto"/>
              </w:rPr>
            </w:pPr>
          </w:p>
        </w:tc>
        <w:tc>
          <w:tcPr>
            <w:tcW w:w="16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Available-for-Sale</w:t>
            </w:r>
          </w:p>
        </w:tc>
        <w:tc>
          <w:tcPr>
            <w:tcW w:w="180" w:type="dxa"/>
            <w:vAlign w:val="bottom"/>
          </w:tcPr>
          <w:p>
            <w:pPr>
              <w:spacing w:after="0"/>
              <w:rPr>
                <w:sz w:val="21"/>
                <w:szCs w:val="21"/>
                <w:color w:val="auto"/>
              </w:rPr>
            </w:pPr>
          </w:p>
        </w:tc>
        <w:tc>
          <w:tcPr>
            <w:tcW w:w="16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tcPr>
          <w:p>
            <w:pPr>
              <w:spacing w:after="0"/>
              <w:rPr>
                <w:sz w:val="21"/>
                <w:szCs w:val="21"/>
                <w:color w:val="auto"/>
              </w:rPr>
            </w:pPr>
          </w:p>
        </w:tc>
        <w:tc>
          <w:tcPr>
            <w:tcW w:w="16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Available-for-Sale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20" w:type="dxa"/>
            <w:vAlign w:val="bottom"/>
            <w:tcBorders>
              <w:top w:val="single" w:sz="8" w:color="auto"/>
            </w:tcBorders>
            <w:gridSpan w:val="4"/>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1"/>
                <w:szCs w:val="21"/>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Cost</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1"/>
                <w:szCs w:val="21"/>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Cost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one but within five years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Investment securities not due at a single maturity</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one investment security was purchased for $1.0 million, as compared to no securities purchased during the three and nine months ended September 30, 2024. There were no sales of investment securities during the three and nine months ended September 30, 2025 or September 30,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3.4: Pledged Investment Securities</w:t>
            </w: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2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14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 2025</w:t>
            </w:r>
          </w:p>
        </w:tc>
        <w:tc>
          <w:tcPr>
            <w:tcW w:w="220" w:type="dxa"/>
            <w:vAlign w:val="bottom"/>
          </w:tcPr>
          <w:p>
            <w:pPr>
              <w:spacing w:after="0"/>
              <w:rPr>
                <w:sz w:val="21"/>
                <w:szCs w:val="21"/>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0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Pledged to:</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State of California, securing deposits of public funds and borrowings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49,477</w:t>
            </w: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Federal Reserve Discount Window, increasing borrowing capacity</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45,576</w:t>
            </w:r>
          </w:p>
        </w:tc>
      </w:tr>
      <w:tr>
        <w:trPr>
          <w:trHeight w:val="223"/>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pledged investment securities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90,619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95,053</w:t>
            </w: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Table 3.5 details the gross unrealized losses and fair values aggregated by investment category and length of time that individual available-for-sale securities have been in a continuous unrealized loss position at September 30, 2025 and December 31,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Table 3.5: Securities Available-for-Sale in Continuous Unrealized Loss Positions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Less than 12 months</w:t>
            </w:r>
          </w:p>
        </w:tc>
        <w:tc>
          <w:tcPr>
            <w:tcW w:w="44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12 months or more</w:t>
            </w:r>
          </w:p>
        </w:tc>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Total securities in a loss position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rPr>
              <w:t>Unrealized</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8"/>
              </w:rPr>
              <w:t>Unrealized</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Unrealized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1"/>
                <w:szCs w:val="21"/>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Loss</w:t>
            </w:r>
          </w:p>
        </w:tc>
        <w:tc>
          <w:tcPr>
            <w:tcW w:w="16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Loss</w:t>
            </w:r>
          </w:p>
        </w:tc>
        <w:tc>
          <w:tcPr>
            <w:tcW w:w="16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Loss</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(17)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7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3"/>
              </w:rPr>
              <w:t>(11)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7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3"/>
              </w:rPr>
              <w:t>(11)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149 and 147 available-for-sale securities in unrealized loss positions at September 30, 2025 and December 31, 2024, respectively. As of September 30, 2025, the investment portfolio included 140 investment securities that had been in a continuous loss position for twelve months or more and nine investment securities that had been in a loss position for less than twelve months.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one held-to-maturity security in a continuous unrealized loss position at both September 30, 2025 and December 31, 2024, which at December 31, 2024 had been in a continuous loss position for more than twelve months.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Obligations issued or guaranteed by government agencies such as the GNMA and the SBA, or GSEs under conservatorship such as the FNMA and the FHLMC, are guaranteed or sponsored by agencies of the U.S. government and have strong credit profiles. The Company therefore expects to receive all contractual interest payments on time and believes the risk of credit losses on these securities is remote.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 in obligations of states and political subdivisions is deemed credit worthy after management’s comprehensive analysis of the issuers’ latest financial information, credit ratings by major credit agencies, and/or credit enhancements.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Non-Marketable Securities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FHLB capital stock</w:t>
      </w:r>
      <w:r>
        <w:rPr>
          <w:rFonts w:ascii="Times New Roman" w:cs="Times New Roman" w:eastAsia="Times New Roman" w:hAnsi="Times New Roman"/>
          <w:sz w:val="18"/>
          <w:szCs w:val="18"/>
          <w:color w:val="auto"/>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$15.0 million of FHLB stock at both September 30, 2025 and December 31, 2024.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September 30, 2025 or December 31,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Equity investments</w:t>
      </w:r>
      <w:r>
        <w:rPr>
          <w:rFonts w:ascii="Times New Roman" w:cs="Times New Roman" w:eastAsia="Times New Roman" w:hAnsi="Times New Roman"/>
          <w:sz w:val="18"/>
          <w:szCs w:val="18"/>
          <w:color w:val="auto"/>
        </w:rPr>
        <w:t>: The Company is a limited partner in certain venture-backed capital funds. The Company held $11.6 million and $9.3 million of equity investments at September 30, 2025 and December 31, 2024, respectively, included in “Interest receivable and other assets” in the unaudited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4: Loans and Allowance for Credit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loan portfolio is its largest class of earning assets and typically provides higher yields than other types of earning assets. Associated with the higher yields is an inherent amount of credit risk which the Company attempts to mitigate through strong underwriting practices. Table 4.1 presents the balance of each major product type within the Company’s portfolio as of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4.1: Loans Outstanding</w:t>
            </w:r>
          </w:p>
        </w:tc>
        <w:tc>
          <w:tcPr>
            <w:tcW w:w="49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1"/>
                <w:szCs w:val="21"/>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 2025</w:t>
            </w:r>
          </w:p>
        </w:tc>
        <w:tc>
          <w:tcPr>
            <w:tcW w:w="220" w:type="dxa"/>
            <w:vAlign w:val="bottom"/>
          </w:tcPr>
          <w:p>
            <w:pPr>
              <w:spacing w:after="0"/>
              <w:rPr>
                <w:sz w:val="21"/>
                <w:szCs w:val="21"/>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0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3,144,303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2,857,173</w:t>
            </w:r>
          </w:p>
        </w:tc>
      </w:tr>
      <w:tr>
        <w:trPr>
          <w:trHeight w:val="229"/>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r>
      <w:tr>
        <w:trPr>
          <w:trHeight w:val="230"/>
        </w:trPr>
        <w:tc>
          <w:tcPr>
            <w:tcW w:w="20" w:type="dxa"/>
            <w:vAlign w:val="bottom"/>
          </w:tcPr>
          <w:p>
            <w:pPr>
              <w:spacing w:after="0"/>
              <w:rPr>
                <w:sz w:val="19"/>
                <w:szCs w:val="19"/>
                <w:color w:val="auto"/>
              </w:rPr>
            </w:pPr>
          </w:p>
        </w:tc>
        <w:tc>
          <w:tcPr>
            <w:tcW w:w="7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111,318</w:t>
            </w:r>
          </w:p>
        </w:tc>
      </w:tr>
      <w:tr>
        <w:trPr>
          <w:trHeight w:val="229"/>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r>
      <w:tr>
        <w:trPr>
          <w:trHeight w:val="229"/>
        </w:trPr>
        <w:tc>
          <w:tcPr>
            <w:tcW w:w="20" w:type="dxa"/>
            <w:vAlign w:val="bottom"/>
          </w:tcPr>
          <w:p>
            <w:pPr>
              <w:spacing w:after="0"/>
              <w:rPr>
                <w:sz w:val="19"/>
                <w:szCs w:val="19"/>
                <w:color w:val="auto"/>
              </w:rPr>
            </w:pPr>
          </w:p>
        </w:tc>
        <w:tc>
          <w:tcPr>
            <w:tcW w:w="7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32,774</w:t>
            </w: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47,241</w:t>
            </w:r>
          </w:p>
        </w:tc>
      </w:tr>
      <w:tr>
        <w:trPr>
          <w:trHeight w:val="229"/>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170,548</w:t>
            </w:r>
          </w:p>
        </w:tc>
      </w:tr>
      <w:tr>
        <w:trPr>
          <w:trHeight w:val="229"/>
        </w:trPr>
        <w:tc>
          <w:tcPr>
            <w:tcW w:w="20" w:type="dxa"/>
            <w:vAlign w:val="bottom"/>
          </w:tcPr>
          <w:p>
            <w:pPr>
              <w:spacing w:after="0"/>
              <w:rPr>
                <w:sz w:val="19"/>
                <w:szCs w:val="19"/>
                <w:color w:val="auto"/>
              </w:rPr>
            </w:pPr>
          </w:p>
        </w:tc>
        <w:tc>
          <w:tcPr>
            <w:tcW w:w="7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27,558</w:t>
            </w:r>
          </w:p>
        </w:tc>
      </w:tr>
      <w:tr>
        <w:trPr>
          <w:trHeight w:val="229"/>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278,209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279,584</w:t>
            </w:r>
          </w:p>
        </w:tc>
      </w:tr>
      <w:tr>
        <w:trPr>
          <w:trHeight w:val="223"/>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3,889,549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3,534,606</w:t>
            </w:r>
          </w:p>
        </w:tc>
      </w:tr>
      <w:tr>
        <w:trPr>
          <w:trHeight w:val="229"/>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deferred loan fees</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23"/>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3,887,259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3,532,686</w:t>
            </w:r>
          </w:p>
        </w:tc>
      </w:tr>
      <w:tr>
        <w:trPr>
          <w:trHeight w:val="229"/>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(37,791)</w:t>
            </w:r>
          </w:p>
        </w:tc>
      </w:tr>
      <w:tr>
        <w:trPr>
          <w:trHeight w:val="223"/>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 net of allowance for credit losses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3,845,198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3,494,895</w:t>
            </w: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Real estate loans</w:t>
      </w:r>
      <w:r>
        <w:rPr>
          <w:rFonts w:ascii="Times New Roman" w:cs="Times New Roman" w:eastAsia="Times New Roman" w:hAnsi="Times New Roman"/>
          <w:sz w:val="18"/>
          <w:szCs w:val="18"/>
          <w:color w:val="auto"/>
        </w:rPr>
        <w:t>: Real estate loans are subject to underwriting standards and processes similar to those for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 or in the general economy. The properties securing the Company’s commercial real estate portfolio are diverse in terms of type. This diversity helps reduce the Company’s exposure to adverse economic events that affect any single market or industry. Management monitors and evaluates commercial real estate loans based on collateral, geography, and risk grade criteria.</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Construction loans</w:t>
      </w:r>
      <w:r>
        <w:rPr>
          <w:rFonts w:ascii="Times New Roman" w:cs="Times New Roman" w:eastAsia="Times New Roman" w:hAnsi="Times New Roman"/>
          <w:sz w:val="18"/>
          <w:szCs w:val="18"/>
          <w:color w:val="auto"/>
        </w:rPr>
        <w:t>: With respect to construction loans that the Company may originate from time to time, the Company generally requires the borrower to have had an existing relationship with the Company and have a proven record of success. Construction loans may be underwritten utilizing feasibility studies, independent appraisal reviews, sensitivity analysis of absorption and lease rates, and financial analysis of the developers and property owners. Construction loans are generally based upon estimates of costs and value associated with the completed project. These estimates may be inaccurate. Construction loans often involve the disbursement of substantial funds with repayment substantially dependent 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using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Residential real estate loans</w:t>
      </w:r>
      <w:r>
        <w:rPr>
          <w:rFonts w:ascii="Times New Roman" w:cs="Times New Roman" w:eastAsia="Times New Roman" w:hAnsi="Times New Roman"/>
          <w:sz w:val="18"/>
          <w:szCs w:val="18"/>
          <w:color w:val="auto"/>
        </w:rPr>
        <w:t>: Residential real estate loans are underwritten based upon the borrower’s income, credit history, and collateral. To monitor and manage residential loan risk, policies and procedures are developed and modified,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Farmland loans</w:t>
      </w:r>
      <w:r>
        <w:rPr>
          <w:rFonts w:ascii="Times New Roman" w:cs="Times New Roman" w:eastAsia="Times New Roman" w:hAnsi="Times New Roman"/>
          <w:sz w:val="18"/>
          <w:szCs w:val="18"/>
          <w:color w:val="auto"/>
        </w:rPr>
        <w:t>: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changes in business cycles, and adverse weather conditions.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Commercial loans</w:t>
      </w:r>
      <w:r>
        <w:rPr>
          <w:rFonts w:ascii="Times New Roman" w:cs="Times New Roman" w:eastAsia="Times New Roman" w:hAnsi="Times New Roman"/>
          <w:sz w:val="18"/>
          <w:szCs w:val="18"/>
          <w:color w:val="auto"/>
        </w:rPr>
        <w:t>: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Consumer loans</w:t>
      </w:r>
      <w:r>
        <w:rPr>
          <w:rFonts w:ascii="Times New Roman" w:cs="Times New Roman" w:eastAsia="Times New Roman" w:hAnsi="Times New Roman"/>
          <w:sz w:val="18"/>
          <w:szCs w:val="18"/>
          <w:color w:val="auto"/>
        </w:rPr>
        <w:t>: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established a loan risk rating system to measure and monitor the quality of the loan portfolio. All loans are assigned a risk rating from the inception of the loan until the loan is paid off. The primary loan grades are as follows: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Loans rated pass</w:t>
      </w:r>
      <w:r>
        <w:rPr>
          <w:rFonts w:ascii="Times New Roman" w:cs="Times New Roman" w:eastAsia="Times New Roman" w:hAnsi="Times New Roman"/>
          <w:sz w:val="18"/>
          <w:szCs w:val="18"/>
          <w:color w:val="auto"/>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and their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Loans rated watch</w:t>
      </w:r>
      <w:r>
        <w:rPr>
          <w:rFonts w:ascii="Times New Roman" w:cs="Times New Roman" w:eastAsia="Times New Roman" w:hAnsi="Times New Roman"/>
          <w:sz w:val="18"/>
          <w:szCs w:val="18"/>
          <w:color w:val="auto"/>
        </w:rPr>
        <w:t>: These are loans which have deficient loan quality and potentially significant issues, but losses do not appear to be imminent, and the issues may be temporary in nature. The significant issues are typically: (i) a history of losses or events that threaten the borrower’s viability; (ii) a property with significant depreciation and/or marketability concerns; or (iii) poor or deteriorating credit, occasional late payments, and/or limited reserves but the loan is generally kept current. If left uncorrected, these potential weaknesses may result in deterioration of the repayment prospects for the asset or in the Company’s credit position at some future date.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Loans rated substandard</w:t>
      </w:r>
      <w:r>
        <w:rPr>
          <w:rFonts w:ascii="Times New Roman" w:cs="Times New Roman" w:eastAsia="Times New Roman" w:hAnsi="Times New Roman"/>
          <w:sz w:val="18"/>
          <w:szCs w:val="18"/>
          <w:color w:val="auto"/>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Loans rated doubtful</w:t>
      </w:r>
      <w:r>
        <w:rPr>
          <w:rFonts w:ascii="Times New Roman" w:cs="Times New Roman" w:eastAsia="Times New Roman" w:hAnsi="Times New Roman"/>
          <w:sz w:val="18"/>
          <w:szCs w:val="18"/>
          <w:color w:val="auto"/>
        </w:rPr>
        <w:t>: These are loans for which the collection or liquidation of the entire debt is highly questionable or improbable. Typically, the possibility of loss is extremely high. The losses on these loans are deferred until all pending factors have been addressed.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1" w:name="page22"/>
    <w:bookmarkEnd w:id="21"/>
    <w:p>
      <w:pPr>
        <w:ind w:right="20"/>
        <w:spacing w:after="0" w:line="282" w:lineRule="auto"/>
        <w:rPr>
          <w:sz w:val="20"/>
          <w:szCs w:val="20"/>
          <w:color w:val="auto"/>
        </w:rPr>
      </w:pPr>
      <w:r>
        <w:rPr>
          <w:rFonts w:ascii="Times New Roman" w:cs="Times New Roman" w:eastAsia="Times New Roman" w:hAnsi="Times New Roman"/>
          <w:sz w:val="18"/>
          <w:szCs w:val="18"/>
          <w:color w:val="auto"/>
        </w:rPr>
        <w:t>Table 4.2 presents the amortized cost basis of the Company’s loans by origination year, where origination is defined as the later of origination or renewal date, and credit quality indicator as of the periods indicated.</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4.2: Loans by Risk Category and Vintage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980" w:type="dxa"/>
            <w:vAlign w:val="bottom"/>
            <w:gridSpan w:val="13"/>
          </w:tcPr>
          <w:p>
            <w:pPr>
              <w:ind w:left="20"/>
              <w:spacing w:after="0"/>
              <w:rPr>
                <w:sz w:val="20"/>
                <w:szCs w:val="20"/>
                <w:color w:val="auto"/>
              </w:rPr>
            </w:pPr>
            <w:r>
              <w:rPr>
                <w:rFonts w:ascii="Times New Roman" w:cs="Times New Roman" w:eastAsia="Times New Roman" w:hAnsi="Times New Roman"/>
                <w:sz w:val="14"/>
                <w:szCs w:val="14"/>
                <w:color w:val="auto"/>
              </w:rPr>
              <w:t>Amortized Cost Basis by Origination Year as of September 30, 2025</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2"/>
                <w:szCs w:val="2"/>
                <w:color w:val="auto"/>
              </w:rPr>
            </w:pPr>
          </w:p>
        </w:tc>
        <w:tc>
          <w:tcPr>
            <w:tcW w:w="840" w:type="dxa"/>
            <w:vAlign w:val="bottom"/>
            <w:gridSpan w:val="2"/>
            <w:vMerge w:val="restart"/>
          </w:tcPr>
          <w:p>
            <w:pPr>
              <w:jc w:val="center"/>
              <w:ind w:right="200"/>
              <w:spacing w:after="0" w:line="159" w:lineRule="exact"/>
              <w:rPr>
                <w:sz w:val="20"/>
                <w:szCs w:val="20"/>
                <w:color w:val="auto"/>
              </w:rPr>
            </w:pPr>
            <w:r>
              <w:rPr>
                <w:rFonts w:ascii="Times New Roman" w:cs="Times New Roman" w:eastAsia="Times New Roman" w:hAnsi="Times New Roman"/>
                <w:sz w:val="14"/>
                <w:szCs w:val="14"/>
                <w:color w:val="auto"/>
              </w:rPr>
              <w:t>Revolving</w:t>
            </w: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24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Term</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451,963</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850,562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591,702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428,277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3,042,603</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80,403</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18,396</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453,011</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416,082</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303,387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877,997</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615,958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467,407</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3,141,402</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construction</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136,623</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13,728</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25,464</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96,907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136,623</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5,913</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5,913</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35,764</w:t>
            </w:r>
          </w:p>
        </w:tc>
        <w:tc>
          <w:tcPr>
            <w:tcW w:w="0" w:type="dxa"/>
            <w:vAlign w:val="bottom"/>
          </w:tcPr>
          <w:p>
            <w:pPr>
              <w:spacing w:after="0"/>
              <w:rPr>
                <w:sz w:val="1"/>
                <w:szCs w:val="1"/>
                <w:color w:val="auto"/>
              </w:rPr>
            </w:pPr>
          </w:p>
        </w:tc>
      </w:tr>
      <w:tr>
        <w:trPr>
          <w:trHeight w:val="189"/>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4,260</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6,017</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2,814</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7,637</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35,764</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Farmland</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57,535</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57,535</w:t>
            </w:r>
          </w:p>
        </w:tc>
        <w:tc>
          <w:tcPr>
            <w:tcW w:w="0" w:type="dxa"/>
            <w:vAlign w:val="bottom"/>
          </w:tcPr>
          <w:p>
            <w:pPr>
              <w:spacing w:after="0"/>
              <w:rPr>
                <w:sz w:val="1"/>
                <w:szCs w:val="1"/>
                <w:color w:val="auto"/>
              </w:rPr>
            </w:pPr>
          </w:p>
        </w:tc>
      </w:tr>
      <w:tr>
        <w:trPr>
          <w:trHeight w:val="17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Secured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179,585</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12,355</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67,197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192,046</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Unsecured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38,689</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10,852</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8,328</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3,202</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10,086</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38,689</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278,349</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9"/>
        </w:trPr>
        <w:tc>
          <w:tcPr>
            <w:tcW w:w="24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56,013</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187,480</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24,237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5,723</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278,356</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579,889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678,814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446,351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884,415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622,892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480,825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3,775,992</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92,758</w:t>
            </w:r>
          </w:p>
        </w:tc>
        <w:tc>
          <w:tcPr>
            <w:tcW w:w="0" w:type="dxa"/>
            <w:vAlign w:val="bottom"/>
          </w:tcPr>
          <w:p>
            <w:pPr>
              <w:spacing w:after="0"/>
              <w:rPr>
                <w:sz w:val="1"/>
                <w:szCs w:val="1"/>
                <w:color w:val="auto"/>
              </w:rPr>
            </w:pPr>
          </w:p>
        </w:tc>
      </w:tr>
      <w:tr>
        <w:trPr>
          <w:trHeight w:val="196"/>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18,509</w:t>
            </w:r>
          </w:p>
        </w:tc>
        <w:tc>
          <w:tcPr>
            <w:tcW w:w="0" w:type="dxa"/>
            <w:vAlign w:val="bottom"/>
          </w:tcPr>
          <w:p>
            <w:pPr>
              <w:spacing w:after="0"/>
              <w:rPr>
                <w:sz w:val="1"/>
                <w:szCs w:val="1"/>
                <w:color w:val="auto"/>
              </w:rPr>
            </w:pPr>
          </w:p>
        </w:tc>
      </w:tr>
      <w:tr>
        <w:trPr>
          <w:trHeight w:val="228"/>
        </w:trPr>
        <w:tc>
          <w:tcPr>
            <w:tcW w:w="2440" w:type="dxa"/>
            <w:vAlign w:val="bottom"/>
            <w:tcBorders>
              <w:top w:val="single" w:sz="8" w:color="CCEEFF"/>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679,548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918,874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648,946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3,887,259</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u w:val="single" w:color="auto"/>
          <w:color w:val="auto"/>
        </w:rPr>
        <w:t>Table 4.2: Loans by Risk Category and Vintage (continued)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980" w:type="dxa"/>
            <w:vAlign w:val="bottom"/>
            <w:gridSpan w:val="13"/>
          </w:tcPr>
          <w:p>
            <w:pPr>
              <w:ind w:left="40"/>
              <w:spacing w:after="0"/>
              <w:rPr>
                <w:sz w:val="20"/>
                <w:szCs w:val="20"/>
                <w:color w:val="auto"/>
              </w:rPr>
            </w:pPr>
            <w:r>
              <w:rPr>
                <w:rFonts w:ascii="Times New Roman" w:cs="Times New Roman" w:eastAsia="Times New Roman" w:hAnsi="Times New Roman"/>
                <w:sz w:val="14"/>
                <w:szCs w:val="14"/>
                <w:color w:val="auto"/>
              </w:rPr>
              <w:t>Amortized Cost Basis by Origination Year as of December 31, 2024</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2"/>
                <w:szCs w:val="2"/>
                <w:color w:val="auto"/>
              </w:rPr>
            </w:pPr>
          </w:p>
        </w:tc>
        <w:tc>
          <w:tcPr>
            <w:tcW w:w="840" w:type="dxa"/>
            <w:vAlign w:val="bottom"/>
            <w:gridSpan w:val="2"/>
            <w:vMerge w:val="restart"/>
          </w:tcPr>
          <w:p>
            <w:pPr>
              <w:jc w:val="center"/>
              <w:ind w:right="200"/>
              <w:spacing w:after="0" w:line="159" w:lineRule="exact"/>
              <w:rPr>
                <w:sz w:val="20"/>
                <w:szCs w:val="20"/>
                <w:color w:val="auto"/>
              </w:rPr>
            </w:pPr>
            <w:r>
              <w:rPr>
                <w:rFonts w:ascii="Times New Roman" w:cs="Times New Roman" w:eastAsia="Times New Roman" w:hAnsi="Times New Roman"/>
                <w:sz w:val="14"/>
                <w:szCs w:val="14"/>
                <w:color w:val="auto"/>
              </w:rPr>
              <w:t>Revolving</w:t>
            </w: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24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Term</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427,209</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298,408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881,675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618,052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312,622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2,744,010</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107,936</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0" w:type="dxa"/>
            <w:vAlign w:val="bottom"/>
          </w:tcPr>
          <w:p>
            <w:pPr>
              <w:spacing w:after="0"/>
              <w:rPr>
                <w:sz w:val="1"/>
                <w:szCs w:val="1"/>
                <w:color w:val="auto"/>
              </w:rPr>
            </w:pPr>
          </w:p>
        </w:tc>
      </w:tr>
      <w:tr>
        <w:trPr>
          <w:trHeight w:val="189"/>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427,850</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306,601</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924,206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649,947</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219,325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321,523</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5,079</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2,854,531</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3,854</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3,854</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construction</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111,033</w:t>
            </w:r>
          </w:p>
        </w:tc>
        <w:tc>
          <w:tcPr>
            <w:tcW w:w="0" w:type="dxa"/>
            <w:vAlign w:val="bottom"/>
          </w:tcPr>
          <w:p>
            <w:pPr>
              <w:spacing w:after="0"/>
              <w:rPr>
                <w:sz w:val="1"/>
                <w:szCs w:val="1"/>
                <w:color w:val="auto"/>
              </w:rPr>
            </w:pPr>
          </w:p>
        </w:tc>
      </w:tr>
      <w:tr>
        <w:trPr>
          <w:trHeight w:val="189"/>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13,757</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72,933</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13,112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111,033</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4,560</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4,560</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32,796</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6,080</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4,783</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9,483</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32,796</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Farmland</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45,928</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11,467</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17,373</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47,220</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Secured</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157,170</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14,118</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26,536</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20,728</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30,982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12,188</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15,737</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55,914</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171,336</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Unsecured</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27,575</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27,575</w:t>
            </w:r>
          </w:p>
        </w:tc>
        <w:tc>
          <w:tcPr>
            <w:tcW w:w="0" w:type="dxa"/>
            <w:vAlign w:val="bottom"/>
          </w:tcPr>
          <w:p>
            <w:pPr>
              <w:spacing w:after="0"/>
              <w:rPr>
                <w:sz w:val="1"/>
                <w:szCs w:val="1"/>
                <w:color w:val="auto"/>
              </w:rPr>
            </w:pPr>
          </w:p>
        </w:tc>
      </w:tr>
      <w:tr>
        <w:trPr>
          <w:trHeight w:val="17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279,772</w:t>
            </w:r>
          </w:p>
        </w:tc>
        <w:tc>
          <w:tcPr>
            <w:tcW w:w="0" w:type="dxa"/>
            <w:vAlign w:val="bottom"/>
          </w:tcPr>
          <w:p>
            <w:pPr>
              <w:spacing w:after="0"/>
              <w:rPr>
                <w:sz w:val="1"/>
                <w:szCs w:val="1"/>
                <w:color w:val="auto"/>
              </w:rPr>
            </w:pPr>
          </w:p>
        </w:tc>
      </w:tr>
      <w:tr>
        <w:trPr>
          <w:trHeight w:val="196"/>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232,420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279,781</w:t>
            </w:r>
          </w:p>
        </w:tc>
        <w:tc>
          <w:tcPr>
            <w:tcW w:w="0" w:type="dxa"/>
            <w:vAlign w:val="bottom"/>
          </w:tcPr>
          <w:p>
            <w:pPr>
              <w:spacing w:after="0"/>
              <w:rPr>
                <w:sz w:val="1"/>
                <w:szCs w:val="1"/>
                <w:color w:val="auto"/>
              </w:rPr>
            </w:pPr>
          </w:p>
        </w:tc>
      </w:tr>
      <w:tr>
        <w:trPr>
          <w:trHeight w:val="17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721,468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436,545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937,756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657,915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236,895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3,406,698</w:t>
            </w: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123,346</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0" w:type="dxa"/>
            <w:vAlign w:val="bottom"/>
          </w:tcPr>
          <w:p>
            <w:pPr>
              <w:spacing w:after="0"/>
              <w:rPr>
                <w:sz w:val="1"/>
                <w:szCs w:val="1"/>
                <w:color w:val="auto"/>
              </w:rPr>
            </w:pPr>
          </w:p>
        </w:tc>
      </w:tr>
      <w:tr>
        <w:trPr>
          <w:trHeight w:val="196"/>
        </w:trPr>
        <w:tc>
          <w:tcPr>
            <w:tcW w:w="24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722,610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445,039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990,927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692,391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253,971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363,106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64,642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3,532,686</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generally ranging from monthly to annually depending on credit size, risk, and complexity. All commercial borrowers with loans exceeding a certain dollar threshold are usually required to submit financials annually for review, which includes business financial statements, rent rolls, property income statements, and tax returns. Management monitors construction loans monthly and reviews consumer loans based on delinquency. Management also reviews loans graded “watch” or worse, regardless of loan type, no less than quarterly.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Table 4.3 shows the age analysis of past due loans by class as of the dates shown.</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4.3: Age Analysis of Past Due Loans by Class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Past Due</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Greater Than</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Total Loans</w:t>
            </w:r>
          </w:p>
        </w:tc>
        <w:tc>
          <w:tcPr>
            <w:tcW w:w="0" w:type="dxa"/>
            <w:vAlign w:val="bottom"/>
          </w:tcPr>
          <w:p>
            <w:pPr>
              <w:spacing w:after="0"/>
              <w:rPr>
                <w:sz w:val="1"/>
                <w:szCs w:val="1"/>
                <w:color w:val="auto"/>
              </w:rPr>
            </w:pPr>
          </w:p>
        </w:tc>
      </w:tr>
      <w:tr>
        <w:trPr>
          <w:trHeight w:val="243"/>
        </w:trPr>
        <w:tc>
          <w:tcPr>
            <w:tcW w:w="35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30-59 Days</w:t>
            </w:r>
          </w:p>
        </w:tc>
        <w:tc>
          <w:tcPr>
            <w:tcW w:w="120" w:type="dxa"/>
            <w:vAlign w:val="bottom"/>
          </w:tcPr>
          <w:p>
            <w:pPr>
              <w:spacing w:after="0"/>
              <w:rPr>
                <w:sz w:val="21"/>
                <w:szCs w:val="21"/>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60-89 Days</w:t>
            </w: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90 Days</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Past Due</w:t>
            </w:r>
          </w:p>
        </w:tc>
        <w:tc>
          <w:tcPr>
            <w:tcW w:w="260" w:type="dxa"/>
            <w:vAlign w:val="bottom"/>
          </w:tcPr>
          <w:p>
            <w:pPr>
              <w:spacing w:after="0"/>
              <w:rPr>
                <w:sz w:val="21"/>
                <w:szCs w:val="21"/>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Pr>
          <w:p>
            <w:pPr>
              <w:spacing w:after="0"/>
              <w:rPr>
                <w:sz w:val="21"/>
                <w:szCs w:val="21"/>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Receivable</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3,141,402</w:t>
            </w: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136,623</w:t>
            </w: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35,764</w:t>
            </w:r>
          </w:p>
        </w:tc>
        <w:tc>
          <w:tcPr>
            <w:tcW w:w="0" w:type="dxa"/>
            <w:vAlign w:val="bottom"/>
          </w:tcPr>
          <w:p>
            <w:pPr>
              <w:spacing w:after="0"/>
              <w:rPr>
                <w:sz w:val="1"/>
                <w:szCs w:val="1"/>
                <w:color w:val="auto"/>
              </w:rPr>
            </w:pPr>
          </w:p>
        </w:tc>
      </w:tr>
      <w:tr>
        <w:trPr>
          <w:trHeight w:val="229"/>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57,535</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192,046</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38,689</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278,356</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3,885,917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3,887,259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2,854,531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2,854,531</w:t>
            </w:r>
          </w:p>
        </w:tc>
        <w:tc>
          <w:tcPr>
            <w:tcW w:w="0" w:type="dxa"/>
            <w:vAlign w:val="bottom"/>
          </w:tcPr>
          <w:p>
            <w:pPr>
              <w:spacing w:after="0"/>
              <w:rPr>
                <w:sz w:val="1"/>
                <w:szCs w:val="1"/>
                <w:color w:val="auto"/>
              </w:rPr>
            </w:pPr>
          </w:p>
        </w:tc>
      </w:tr>
      <w:tr>
        <w:trPr>
          <w:trHeight w:val="229"/>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111,033</w:t>
            </w: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32,796</w:t>
            </w:r>
          </w:p>
        </w:tc>
        <w:tc>
          <w:tcPr>
            <w:tcW w:w="0" w:type="dxa"/>
            <w:vAlign w:val="bottom"/>
          </w:tcPr>
          <w:p>
            <w:pPr>
              <w:spacing w:after="0"/>
              <w:rPr>
                <w:sz w:val="1"/>
                <w:szCs w:val="1"/>
                <w:color w:val="auto"/>
              </w:rPr>
            </w:pPr>
          </w:p>
        </w:tc>
      </w:tr>
      <w:tr>
        <w:trPr>
          <w:trHeight w:val="229"/>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47,220</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171,336</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27,575</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279,781</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3,531,512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3,532,686</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loans greater than 90 days past due and still accruing interest income as of September 30, 2025 or December 31,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collateral dependent loans were in process of foreclosure at September 30, 2025 or December 31, 2024. The Company had one collateral dependent commercial real estate loan outstanding as of September 30, 2025 and December 31, 2024 in the amount of $1.6 million and $1.8 million, respectively, for which the applicable borrower was experiencing financial difficulty.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Non-accrual loans, segregated by class, as of September 30, 2025 and December 31, 2024 are shown in Table 4.4.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4.4: Non-accrual Loans</w:t>
            </w: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94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21"/>
                <w:szCs w:val="21"/>
                <w:color w:val="auto"/>
              </w:rPr>
            </w:pPr>
          </w:p>
        </w:tc>
        <w:tc>
          <w:tcPr>
            <w:tcW w:w="1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6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non-accrual loans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interest income was recognized on non-accrual loans in the three and nine months ended September 30, 2025 or September 30, 2024. Non-accrual real estate loans did not have an allowance for credit losses as of September 30, 2025. Interest income can be recognized on non-accrual loans in cases where resolution occurs through a sale or full payment is received on the non-accrual loan.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foregone interest income related to non-accrual loans was $42.5 thousand and $112.6 thousand for the three and nine months ended September 30, 2025, respectively, as compared to $37.8 thousand and $115.2 thousand for the three and nine months ended September 30, 2024,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4.5 discloses activity in the allowance for credit losses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4.5: Allowance for Credit Losses</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rPr>
              <w:t>Beginning</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Balance</w:t>
            </w:r>
          </w:p>
        </w:tc>
        <w:tc>
          <w:tcPr>
            <w:tcW w:w="200" w:type="dxa"/>
            <w:vAlign w:val="bottom"/>
          </w:tcPr>
          <w:p>
            <w:pPr>
              <w:spacing w:after="0"/>
              <w:rPr>
                <w:sz w:val="21"/>
                <w:szCs w:val="21"/>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tcPr>
          <w:p>
            <w:pPr>
              <w:spacing w:after="0"/>
              <w:rPr>
                <w:sz w:val="21"/>
                <w:szCs w:val="21"/>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(Benefit)</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Ending Balance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u w:val="single" w:color="auto"/>
          <w:color w:val="auto"/>
        </w:rPr>
        <w:t>Table 4.5: Allowance for Credit Losses (continued)</w:t>
      </w:r>
    </w:p>
    <w:tbl>
      <w:tblPr>
        <w:tblLayout w:type="fixed"/>
        <w:tblInd w:w="0" w:type="dxa"/>
        <w:tblCellMar>
          <w:top w:w="0" w:type="dxa"/>
          <w:left w:w="0" w:type="dxa"/>
          <w:bottom w:w="0" w:type="dxa"/>
          <w:right w:w="0" w:type="dxa"/>
        </w:tblCellMar>
      </w:tblPr>
      <w:tr>
        <w:trPr>
          <w:trHeight w:val="203"/>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7"/>
                <w:szCs w:val="17"/>
                <w:color w:val="auto"/>
              </w:rPr>
            </w:pPr>
          </w:p>
        </w:tc>
        <w:tc>
          <w:tcPr>
            <w:tcW w:w="1280" w:type="dxa"/>
            <w:vAlign w:val="bottom"/>
            <w:gridSpan w:val="2"/>
          </w:tcPr>
          <w:p>
            <w:pPr>
              <w:jc w:val="center"/>
              <w:ind w:right="320"/>
              <w:spacing w:after="0" w:line="203" w:lineRule="exact"/>
              <w:rPr>
                <w:sz w:val="20"/>
                <w:szCs w:val="20"/>
                <w:color w:val="auto"/>
              </w:rPr>
            </w:pPr>
            <w:r>
              <w:rPr>
                <w:rFonts w:ascii="Times New Roman" w:cs="Times New Roman" w:eastAsia="Times New Roman" w:hAnsi="Times New Roman"/>
                <w:sz w:val="18"/>
                <w:szCs w:val="18"/>
                <w:color w:val="auto"/>
              </w:rPr>
              <w:t>Beginning</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8"/>
                <w:szCs w:val="18"/>
                <w:color w:val="auto"/>
              </w:rPr>
              <w:t>Provision</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Balance</w:t>
            </w:r>
          </w:p>
        </w:tc>
        <w:tc>
          <w:tcPr>
            <w:tcW w:w="160" w:type="dxa"/>
            <w:vAlign w:val="bottom"/>
          </w:tcPr>
          <w:p>
            <w:pPr>
              <w:spacing w:after="0"/>
              <w:rPr>
                <w:sz w:val="21"/>
                <w:szCs w:val="21"/>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tcPr>
          <w:p>
            <w:pPr>
              <w:spacing w:after="0"/>
              <w:rPr>
                <w:sz w:val="21"/>
                <w:szCs w:val="21"/>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(Benefit)</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Ending Balance</w:t>
            </w:r>
          </w:p>
        </w:tc>
        <w:tc>
          <w:tcPr>
            <w:tcW w:w="0" w:type="dxa"/>
            <w:vAlign w:val="bottom"/>
          </w:tcPr>
          <w:p>
            <w:pPr>
              <w:spacing w:after="0"/>
              <w:rPr>
                <w:sz w:val="1"/>
                <w:szCs w:val="1"/>
                <w:color w:val="auto"/>
              </w:rPr>
            </w:pPr>
          </w:p>
        </w:tc>
      </w:tr>
      <w:tr>
        <w:trPr>
          <w:trHeight w:val="223"/>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26,217</w:t>
            </w: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2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2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23,473</w:t>
            </w:r>
          </w:p>
        </w:tc>
        <w:tc>
          <w:tcPr>
            <w:tcW w:w="0" w:type="dxa"/>
            <w:vAlign w:val="bottom"/>
          </w:tcPr>
          <w:p>
            <w:pPr>
              <w:spacing w:after="0"/>
              <w:rPr>
                <w:sz w:val="1"/>
                <w:szCs w:val="1"/>
                <w:color w:val="auto"/>
              </w:rPr>
            </w:pPr>
          </w:p>
        </w:tc>
      </w:tr>
      <w:tr>
        <w:trPr>
          <w:trHeight w:val="22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42,061</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26,217</w:t>
            </w: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2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Unfunded Loan Commitment Reserves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Unfunded loan commitment reserves are included in “Interest payable and other liabilities” in the unaudited consolidated balance sheets. Provisions for unfunded loan commitments are included in “Provision for credit losses” in the unaudited consolidated statements of income.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Table 4.6: Unfunded Loan Commitment Reserves</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30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56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1"/>
                <w:szCs w:val="21"/>
                <w:color w:val="auto"/>
              </w:rPr>
            </w:pPr>
          </w:p>
        </w:tc>
        <w:tc>
          <w:tcPr>
            <w:tcW w:w="3880" w:type="dxa"/>
            <w:vAlign w:val="bottom"/>
            <w:gridSpan w:val="4"/>
          </w:tcPr>
          <w:p>
            <w:pPr>
              <w:jc w:val="right"/>
              <w:ind w:right="12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September 30, 2025</w:t>
            </w:r>
          </w:p>
        </w:tc>
        <w:tc>
          <w:tcPr>
            <w:tcW w:w="1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September 30, 2024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2025</w:t>
            </w:r>
          </w:p>
        </w:tc>
        <w:tc>
          <w:tcPr>
            <w:tcW w:w="1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center"/>
              <w:ind w:left="1290"/>
              <w:spacing w:after="0"/>
              <w:rPr>
                <w:sz w:val="20"/>
                <w:szCs w:val="20"/>
                <w:color w:val="auto"/>
              </w:rPr>
            </w:pPr>
            <w:r>
              <w:rPr>
                <w:rFonts w:ascii="Times New Roman" w:cs="Times New Roman" w:eastAsia="Times New Roman" w:hAnsi="Times New Roman"/>
                <w:sz w:val="18"/>
                <w:szCs w:val="18"/>
                <w:color w:val="auto"/>
                <w:w w:val="96"/>
              </w:rPr>
              <w:t>747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30"/>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CEEFF"/>
          </w:tcPr>
          <w:p>
            <w:pPr>
              <w:jc w:val="center"/>
              <w:ind w:left="1290"/>
              <w:spacing w:after="0"/>
              <w:rPr>
                <w:sz w:val="20"/>
                <w:szCs w:val="20"/>
                <w:color w:val="auto"/>
              </w:rPr>
            </w:pPr>
            <w:r>
              <w:rPr>
                <w:rFonts w:ascii="Times New Roman" w:cs="Times New Roman" w:eastAsia="Times New Roman" w:hAnsi="Times New Roman"/>
                <w:sz w:val="18"/>
                <w:szCs w:val="18"/>
                <w:color w:val="auto"/>
                <w:w w:val="96"/>
              </w:rPr>
              <w:t>597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Pledged Loans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FHLB line of credit is secured under terms of a collateral agreement by a pledge of certain qualifying loans with unpaid principal balances of $2.1 billion and $1.9 billion at September 30, 2025 and December 31, 2024, respectively. In addition, the Company pledges eligible tenants in common loans, which totaled $1.3 billion and $1.2 billion at September 30, 2025 and December 31, 2024, respectively, to secure its borrowing capacity with the Federal Reserve Discount Window. See Note 6, Subordinated Notes and Other Borrowings, for further discussion of these borrowings.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Interest-Bearing Deposits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5.1 shows the composition of interest-bearing deposits as of September 30, 2025 and December 31,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5.1: Interest-Bearing Deposits</w:t>
            </w:r>
          </w:p>
        </w:tc>
        <w:tc>
          <w:tcPr>
            <w:tcW w:w="44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1"/>
                <w:szCs w:val="21"/>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21"/>
                <w:szCs w:val="21"/>
                <w:color w:val="auto"/>
              </w:rPr>
            </w:pPr>
          </w:p>
        </w:tc>
        <w:tc>
          <w:tcPr>
            <w:tcW w:w="1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6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315,217</w:t>
            </w:r>
          </w:p>
        </w:tc>
      </w:tr>
      <w:tr>
        <w:trPr>
          <w:trHeight w:val="229"/>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124,702</w:t>
            </w: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1,972,158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1,525,292</w:t>
            </w:r>
          </w:p>
        </w:tc>
      </w:tr>
      <w:tr>
        <w:trPr>
          <w:trHeight w:val="230"/>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accounts, $250 or more</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344,129</w:t>
            </w: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time accounts</w:t>
            </w: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326,025</w:t>
            </w:r>
          </w:p>
        </w:tc>
      </w:tr>
      <w:tr>
        <w:trPr>
          <w:trHeight w:val="223"/>
        </w:trPr>
        <w:tc>
          <w:tcPr>
            <w:tcW w:w="20" w:type="dxa"/>
            <w:vAlign w:val="bottom"/>
          </w:tcPr>
          <w:p>
            <w:pPr>
              <w:spacing w:after="0"/>
              <w:rPr>
                <w:sz w:val="19"/>
                <w:szCs w:val="19"/>
                <w:color w:val="auto"/>
              </w:rPr>
            </w:pPr>
          </w:p>
        </w:tc>
        <w:tc>
          <w:tcPr>
            <w:tcW w:w="7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3,044,356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2,635,365</w:t>
            </w: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Time deposits totaled $625.6 million and $670.2 million as of September 30, 2025 and December 31, 2024, respectively. Scheduled maturities of time deposits as of September 30, 2025 for the next five years are shown in Table 5.2.</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5.2: Scheduled Maturities of Time Deposits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Borders>
              <w:top w:val="single" w:sz="8" w:color="auto"/>
            </w:tcBorders>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2025</w:t>
            </w:r>
          </w:p>
        </w:tc>
        <w:tc>
          <w:tcPr>
            <w:tcW w:w="6420" w:type="dxa"/>
            <w:vAlign w:val="bottom"/>
            <w:tcBorders>
              <w:top w:val="single" w:sz="8" w:color="auto"/>
            </w:tcBorders>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563,810</w:t>
            </w:r>
          </w:p>
        </w:tc>
        <w:tc>
          <w:tcPr>
            <w:tcW w:w="0" w:type="dxa"/>
            <w:vAlign w:val="bottom"/>
          </w:tcPr>
          <w:p>
            <w:pPr>
              <w:spacing w:after="0"/>
              <w:rPr>
                <w:sz w:val="1"/>
                <w:szCs w:val="1"/>
                <w:color w:val="auto"/>
              </w:rPr>
            </w:pPr>
          </w:p>
        </w:tc>
      </w:tr>
      <w:tr>
        <w:trPr>
          <w:trHeight w:val="229"/>
        </w:trPr>
        <w:tc>
          <w:tcPr>
            <w:tcW w:w="354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2026</w:t>
            </w:r>
          </w:p>
        </w:tc>
        <w:tc>
          <w:tcPr>
            <w:tcW w:w="5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60,596</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2027</w:t>
            </w:r>
          </w:p>
        </w:tc>
        <w:tc>
          <w:tcPr>
            <w:tcW w:w="56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30"/>
        </w:trPr>
        <w:tc>
          <w:tcPr>
            <w:tcW w:w="354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2028</w:t>
            </w:r>
          </w:p>
        </w:tc>
        <w:tc>
          <w:tcPr>
            <w:tcW w:w="5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2029</w:t>
            </w:r>
          </w:p>
        </w:tc>
        <w:tc>
          <w:tcPr>
            <w:tcW w:w="56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Total time deposits</w:t>
            </w:r>
          </w:p>
        </w:tc>
        <w:tc>
          <w:tcPr>
            <w:tcW w:w="568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625,580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680" w:type="dxa"/>
            <w:vAlign w:val="bottom"/>
            <w:vMerge w:val="restart"/>
          </w:tcPr>
          <w:p>
            <w:pPr>
              <w:jc w:val="right"/>
              <w:ind w:right="3410"/>
              <w:spacing w:after="0"/>
              <w:rPr>
                <w:sz w:val="20"/>
                <w:szCs w:val="20"/>
                <w:color w:val="auto"/>
              </w:rPr>
            </w:pPr>
            <w:r>
              <w:rPr>
                <w:rFonts w:ascii="Times New Roman" w:cs="Times New Roman" w:eastAsia="Times New Roman" w:hAnsi="Times New Roman"/>
                <w:sz w:val="18"/>
                <w:szCs w:val="18"/>
                <w:color w:val="auto"/>
              </w:rPr>
              <w:t>25</w:t>
            </w: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354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540" w:type="dxa"/>
            <w:vAlign w:val="bottom"/>
            <w:tcBorders>
              <w:bottom w:val="single" w:sz="8" w:color="9A9A9A"/>
            </w:tcBorders>
          </w:tcPr>
          <w:p>
            <w:pPr>
              <w:spacing w:after="0"/>
              <w:rPr>
                <w:sz w:val="8"/>
                <w:szCs w:val="8"/>
                <w:color w:val="auto"/>
              </w:rPr>
            </w:pPr>
          </w:p>
        </w:tc>
        <w:tc>
          <w:tcPr>
            <w:tcW w:w="56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Total deposits include deposits offered through the IntraFi Network that are comprised of Certificate of Deposit Account Registry Service® (“CDARS”) balances included in time deposits and Insured Cash Sweep® (“ICS”) balances included in money market and interest-bearing transaction deposits. Through this network, the Company offers customers access to FDIC-insured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out-of-market brokered deposits. There were no one-way deposits at September 30, 2025 or December 31, 2024. The composition of network deposits as of September 30, 2025 and December 31, 2024 is shown in Table 5.3.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5.3: Network Deposits</w:t>
            </w:r>
          </w:p>
        </w:tc>
        <w:tc>
          <w:tcPr>
            <w:tcW w:w="50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1"/>
                <w:szCs w:val="21"/>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21"/>
                <w:szCs w:val="21"/>
                <w:color w:val="auto"/>
              </w:rPr>
            </w:pPr>
          </w:p>
        </w:tc>
        <w:tc>
          <w:tcPr>
            <w:tcW w:w="1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6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CDARS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19,292</w:t>
            </w:r>
          </w:p>
        </w:tc>
      </w:tr>
      <w:tr>
        <w:trPr>
          <w:trHeight w:val="230"/>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ICS</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903,354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674,453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network deposits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5.4 presents interest expense recognized on interest-bearing deposits for the periods ended September 30, 2025 and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5.4: Interest Expense Recognized on Interest-Bearing Deposits</w:t>
            </w:r>
          </w:p>
        </w:tc>
        <w:tc>
          <w:tcPr>
            <w:tcW w:w="160" w:type="dxa"/>
            <w:vAlign w:val="bottom"/>
          </w:tcPr>
          <w:p>
            <w:pPr>
              <w:spacing w:after="0"/>
              <w:rPr>
                <w:sz w:val="17"/>
                <w:szCs w:val="17"/>
                <w:color w:val="auto"/>
              </w:rPr>
            </w:pPr>
          </w:p>
        </w:tc>
        <w:tc>
          <w:tcPr>
            <w:tcW w:w="2980" w:type="dxa"/>
            <w:vAlign w:val="bottom"/>
            <w:gridSpan w:val="5"/>
            <w:vMerge w:val="restart"/>
          </w:tcPr>
          <w:p>
            <w:pPr>
              <w:ind w:left="620"/>
              <w:spacing w:after="0"/>
              <w:rPr>
                <w:sz w:val="20"/>
                <w:szCs w:val="20"/>
                <w:color w:val="auto"/>
              </w:rPr>
            </w:pPr>
            <w:r>
              <w:rPr>
                <w:rFonts w:ascii="Times New Roman" w:cs="Times New Roman" w:eastAsia="Times New Roman" w:hAnsi="Times New Roman"/>
                <w:sz w:val="18"/>
                <w:szCs w:val="18"/>
                <w:color w:val="auto"/>
              </w:rPr>
              <w:t>Three months ended</w:t>
            </w:r>
          </w:p>
        </w:tc>
        <w:tc>
          <w:tcPr>
            <w:tcW w:w="460" w:type="dxa"/>
            <w:vAlign w:val="bottom"/>
          </w:tcPr>
          <w:p>
            <w:pPr>
              <w:spacing w:after="0"/>
              <w:rPr>
                <w:sz w:val="17"/>
                <w:szCs w:val="17"/>
                <w:color w:val="auto"/>
              </w:rPr>
            </w:pPr>
          </w:p>
        </w:tc>
        <w:tc>
          <w:tcPr>
            <w:tcW w:w="190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color w:val="auto"/>
              </w:rPr>
              <w:t>Nine months ended</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5"/>
            <w:vMerge w:val="continue"/>
          </w:tcPr>
          <w:p>
            <w:pPr>
              <w:spacing w:after="0"/>
              <w:rPr>
                <w:sz w:val="21"/>
                <w:szCs w:val="21"/>
                <w:color w:val="auto"/>
              </w:rPr>
            </w:pPr>
          </w:p>
        </w:tc>
        <w:tc>
          <w:tcPr>
            <w:tcW w:w="460" w:type="dxa"/>
            <w:vAlign w:val="bottom"/>
          </w:tcPr>
          <w:p>
            <w:pPr>
              <w:spacing w:after="0"/>
              <w:rPr>
                <w:sz w:val="21"/>
                <w:szCs w:val="21"/>
                <w:color w:val="auto"/>
              </w:rPr>
            </w:pPr>
          </w:p>
        </w:tc>
        <w:tc>
          <w:tcPr>
            <w:tcW w:w="1900" w:type="dxa"/>
            <w:vAlign w:val="bottom"/>
            <w:gridSpan w:val="3"/>
            <w:vMerge w:val="continue"/>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accounts, $250 or more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time accounts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interest expense on interest-bearing deposits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21,076</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69,188</w:t>
            </w:r>
          </w:p>
        </w:tc>
        <w:tc>
          <w:tcPr>
            <w:tcW w:w="100" w:type="dxa"/>
            <w:vAlign w:val="bottom"/>
          </w:tcPr>
          <w:p>
            <w:pPr>
              <w:spacing w:after="0"/>
              <w:rPr>
                <w:sz w:val="19"/>
                <w:szCs w:val="19"/>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Subordinated Notes and Other Borrowings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Subordinated notes</w:t>
      </w:r>
      <w:r>
        <w:rPr>
          <w:rFonts w:ascii="Times New Roman" w:cs="Times New Roman" w:eastAsia="Times New Roman" w:hAnsi="Times New Roman"/>
          <w:sz w:val="18"/>
          <w:szCs w:val="18"/>
          <w:color w:val="auto"/>
        </w:rPr>
        <w:t>: On August 17, 2022, the Company completed a private placement of $75.0 million of fixed-to-floating rate subordinated notes to certain qualified investors, of which $19.3 million was purchased by existing or former members of the board of directors and their affiliates. The notes will be used for capital management and general corporate purposes, including, without limitation, the redemption of existing subordinated notes. The subordinated notes have a maturity date of September 1, 2032 and bear interest, payable semi-annually, at the rate of 6.00% per annum until September 1, 2027. On that date, the interest rate will be adjusted to float at a rate equal to the three-month Term SOFR plus 329.0 basis points (7.61% as of September 30, 2025) until maturity. The notes include a right of prepayment, on or after August 17, 2027 or,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subordinated notes have been structured to qualify as Tier 2 capital for the Company for regulatory capital purposes. Eligible amounts will be phased out by 20% per year beginning five years before the maturity date of the notes. Debt issuance costs incurred in conjunction with the notes were $1.5 million, of which $0.5 million has been amortized as of September 30, 2025. The Company reflects debt issuance costs as a direct deduction from the face of the note. The debt issuance costs are amortized into interest expense through the maturity period. At September 30, 2025 and December 31, 2024, the carrying value of the Company’s subordinated notes outstanding was $74.0 million and $73.9 million, respectively.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Other borrowings</w:t>
      </w:r>
      <w:r>
        <w:rPr>
          <w:rFonts w:ascii="Times New Roman" w:cs="Times New Roman" w:eastAsia="Times New Roman" w:hAnsi="Times New Roman"/>
          <w:sz w:val="18"/>
          <w:szCs w:val="18"/>
          <w:color w:val="auto"/>
        </w:rPr>
        <w:t>: The Company entered into an agreement with the FHLB which granted the FHLB a blanket lien on certain loans receivable as collateral for a borrowing line. The Company’s total financing availability is based on the dollar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volume of qualifying loan collateral. The Company’s total financing availability with the FHLB is decreased by outstanding borrowings and letters of credit (“LCs”) issued on behalf of the Company, as shown in Table 6.1.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Table 6.1: Financing Availability with the FHLB</w:t>
            </w:r>
          </w:p>
        </w:tc>
        <w:tc>
          <w:tcPr>
            <w:tcW w:w="35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1"/>
                <w:szCs w:val="21"/>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21"/>
                <w:szCs w:val="21"/>
                <w:color w:val="auto"/>
              </w:rPr>
            </w:pPr>
          </w:p>
        </w:tc>
        <w:tc>
          <w:tcPr>
            <w:tcW w:w="1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6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financing ability from the FHLB</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1,420,987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1,212,209</w:t>
            </w:r>
          </w:p>
        </w:tc>
      </w:tr>
      <w:tr>
        <w:trPr>
          <w:trHeight w:val="229"/>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outstanding borrowings</w:t>
            </w:r>
          </w:p>
        </w:tc>
        <w:tc>
          <w:tcPr>
            <w:tcW w:w="2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LCs pledged to secure State of California deposits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281,500</w:t>
            </w:r>
          </w:p>
        </w:tc>
      </w:tr>
      <w:tr>
        <w:trPr>
          <w:trHeight w:val="229"/>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LCs pledged to secure local agency deposits</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420,000</w:t>
            </w: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LCs issued</w:t>
            </w: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701,500</w:t>
            </w:r>
          </w:p>
        </w:tc>
      </w:tr>
      <w:tr>
        <w:trPr>
          <w:trHeight w:val="223"/>
        </w:trPr>
        <w:tc>
          <w:tcPr>
            <w:tcW w:w="20" w:type="dxa"/>
            <w:vAlign w:val="bottom"/>
          </w:tcPr>
          <w:p>
            <w:pPr>
              <w:spacing w:after="0"/>
              <w:rPr>
                <w:sz w:val="19"/>
                <w:szCs w:val="19"/>
                <w:color w:val="auto"/>
              </w:rPr>
            </w:pPr>
          </w:p>
        </w:tc>
        <w:tc>
          <w:tcPr>
            <w:tcW w:w="7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Available borrowing capacity with the FHLB</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658,487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510,709</w:t>
            </w: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the ability to borrow from the Federal Reserve Discount Window. The borrowings were available at an interest rate of 4.25% as of September 30, 2025. At September 30, 2025 and December 31, 2024, the borrowing capacity under this arrangement was $918.4 million and $862.1 million, respectively. There were no amounts outstanding at September 30, 2025 or December 31, 2024. The borrowing line is secured by certain liens on the Company’s loans and certain available-for-sale securities.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2025 the Company had five unsecured federal funds lines of credit totaling $185.0 million with five of its correspondent banks. At December 31, 2024, the Company had five unsecured federal funds lines of credit totaling $175.0 million with five of its correspondent banks. The</w:t>
      </w:r>
    </w:p>
    <w:p>
      <w:pPr>
        <w:sectPr>
          <w:pgSz w:w="11900" w:h="16838" w:orient="portrait"/>
          <w:cols w:equalWidth="0" w:num="1">
            <w:col w:w="11240"/>
          </w:cols>
          <w:pgMar w:left="320" w:top="1147" w:right="339" w:bottom="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borrowings were available at interest rates ranging from 4.25% to 5.45% as of September 30, 2025. There were no amounts outstanding at September 30, 2025 or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EPS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EPS is net income divided by the weighted average number of common shares outstanding during the period less average unvested restricted stock awards (“RSAs”). Diluted EPS includes the dilutive effect of additional potential common shares related to unvested RSAs using the treasury stock method. The Company has two forms of outstanding common stock: common stock and unvested RSAs. Holders of unvested RSAs receive non-forfeitable dividends at the same rate as common shareholders and they both share equally in undistributed earnings, and therefore the RSAs are considered participating securities. However, under the two-class method, the difference in EPS is not significant for these participating securities.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7.1: EPS</w:t>
            </w:r>
          </w:p>
        </w:tc>
        <w:tc>
          <w:tcPr>
            <w:tcW w:w="180" w:type="dxa"/>
            <w:vAlign w:val="bottom"/>
          </w:tcPr>
          <w:p>
            <w:pPr>
              <w:spacing w:after="0"/>
              <w:rPr>
                <w:sz w:val="17"/>
                <w:szCs w:val="17"/>
                <w:color w:val="auto"/>
              </w:rPr>
            </w:pPr>
          </w:p>
        </w:tc>
        <w:tc>
          <w:tcPr>
            <w:tcW w:w="2980" w:type="dxa"/>
            <w:vAlign w:val="bottom"/>
            <w:gridSpan w:val="5"/>
            <w:vMerge w:val="restart"/>
          </w:tcPr>
          <w:p>
            <w:pPr>
              <w:ind w:left="620"/>
              <w:spacing w:after="0"/>
              <w:rPr>
                <w:sz w:val="20"/>
                <w:szCs w:val="20"/>
                <w:color w:val="auto"/>
              </w:rPr>
            </w:pPr>
            <w:r>
              <w:rPr>
                <w:rFonts w:ascii="Times New Roman" w:cs="Times New Roman" w:eastAsia="Times New Roman" w:hAnsi="Times New Roman"/>
                <w:sz w:val="18"/>
                <w:szCs w:val="18"/>
                <w:color w:val="auto"/>
              </w:rPr>
              <w:t>Three months ended</w:t>
            </w:r>
          </w:p>
        </w:tc>
        <w:tc>
          <w:tcPr>
            <w:tcW w:w="360" w:type="dxa"/>
            <w:vAlign w:val="bottom"/>
          </w:tcPr>
          <w:p>
            <w:pPr>
              <w:spacing w:after="0"/>
              <w:rPr>
                <w:sz w:val="17"/>
                <w:szCs w:val="17"/>
                <w:color w:val="auto"/>
              </w:rPr>
            </w:pPr>
          </w:p>
        </w:tc>
        <w:tc>
          <w:tcPr>
            <w:tcW w:w="2700" w:type="dxa"/>
            <w:vAlign w:val="bottom"/>
            <w:gridSpan w:val="4"/>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3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80" w:type="dxa"/>
            <w:vAlign w:val="bottom"/>
            <w:gridSpan w:val="5"/>
            <w:vMerge w:val="continue"/>
          </w:tcPr>
          <w:p>
            <w:pPr>
              <w:spacing w:after="0"/>
              <w:rPr>
                <w:sz w:val="21"/>
                <w:szCs w:val="21"/>
                <w:color w:val="auto"/>
              </w:rPr>
            </w:pPr>
          </w:p>
        </w:tc>
        <w:tc>
          <w:tcPr>
            <w:tcW w:w="360" w:type="dxa"/>
            <w:vAlign w:val="bottom"/>
          </w:tcPr>
          <w:p>
            <w:pPr>
              <w:spacing w:after="0"/>
              <w:rPr>
                <w:sz w:val="21"/>
                <w:szCs w:val="21"/>
                <w:color w:val="auto"/>
              </w:rPr>
            </w:pPr>
          </w:p>
        </w:tc>
        <w:tc>
          <w:tcPr>
            <w:tcW w:w="270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 count and earnings per common share)</w:t>
            </w:r>
          </w:p>
        </w:tc>
        <w:tc>
          <w:tcPr>
            <w:tcW w:w="80" w:type="dxa"/>
            <w:vAlign w:val="bottom"/>
            <w:vMerge w:val="restart"/>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4920" w:type="dxa"/>
            <w:vAlign w:val="bottom"/>
            <w:tcBorders>
              <w:bottom w:val="single" w:sz="8" w:color="auto"/>
            </w:tcBorders>
            <w:gridSpan w:val="2"/>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21,231,563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21,182,143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21,222,504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19,809,298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Add: Dilutive effects of assumed vesting of restricted stock</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dilutive weighted average common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21,281,818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21,232,758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21,268,327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19,859,642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0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50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EPS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Diluted EPS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anti-dilutive shares at September 30, 2025 or September 30,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(b) Dividends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declared on July 17, 2025, and the Company subsequently paid, a cash dividend of $0.20 per share, totaling $4.3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Stock-Based Incentive Arrangement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stock-based compensation consists of RSAs granted under its historical stock-based incentive arrangement (the “Historical Incentive Plan”) and RSAs and performance stock awards (“PSUs”) issued under the Five Star Bancorp 2021 Equity Incentive Plan (the “Equity Incentive Plan”).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Historical Incentive Plan consisted of RSAs for certain executive officers of the Company. The arrangement provided that these executive officers would receive shares of restricted common stock of the Company that vested over three years, with the number of shares granted based upon achieving certain performance objectives. These objectives included, but were not limited to, net income adjusted for the provision for credit losses, deposit growth, efficiency ratio, net interest margin, and asset quality. Compensation expense for RSAs granted under the Historical Incentive Plan is recognized over the service period, which is equal to the vesting period of the shares based on the fair value of the shares at issue date.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its IPO in May 2021, the Company granted RSAs under the Equity Incentive Plan to certain employees, officers, executives, and non-employee directors. Shares granted to non-employee directors vested immediately upon grant, while shares granted to certain employees, officers, and executives vest ratably over three, five, or seven years (as defined in the respective agreements). Since the completion of the IPO, the Company has granted RSAs under the Equity Incentive Plan to certain executives, which vest ratably over three or five years (as defined in the respective agreements), and to directors, which vest over one year. All RSAs were granted at the fair value of common stock at the time of the award. The RSAs are considered fixed awards, as the number of shares and fair value are known at the date of grant and the fair value at the grant date is amortized over the service period.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Beginning in 2025, the Company granted PSUs under the Equity Incentive Plan to certain executives. Performance is measured over a three-year period and cliff vested. Based on the achievement of the pre-established goals, actual payouts can range from 0% to 150% of the target award. As such, the PSUs are considered variable awards, as the number of shares and fair value are not known at the date of grant. An estimate is made of the number of shares expected to vest based on the probability that the performance criteria will be achieved to determine the amount of compensation expense to be recognized. This estimate is re-evaluated quarterly, and total compensation expense is adjusted for any change in the current period. The estimate of the number of shares expected to vest is also used to accrue for dividends to be paid at the end of the vesting period.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$0.4 million and $0.3 million of non-cash stock compensation expense for the three months ended September 30, 2025 and September 30, 2024, respectively. The Company recognized $1.0 million and $0.9 million of non-cash stock compensation expense for the nine months ended September 30, 2025 and September 30, 2024, respectively.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2025, there was approximately $2.5 million of unrecognized compensation expense related to the 135,844 unvested RSAs. The holders of unvested RSAs are entitled to dividends at the same per-share ratio as holders of common stock. Tax benefits for dividends paid on unvested RSAs are recorded as tax benefits in the consolidated statements of income with a corresponding decrease to current taxes payable. Such tax benefits and related expense are expected to be recognized over the weighted average term remaining on the unvested RSAs of 2.85 years as of September 30, 2025. The impact of tax benefits for dividends paid on unvested RSAs on the Company’s unaudited consolidated statements of income for the three and nine months ended September 30, 2025 and September 30, 2024 was immaterial.</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Table 7.2 summarizes activity related to restricted shares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Table 7.2: Unvested Restricted Share Activity</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620" w:type="dxa"/>
            <w:vAlign w:val="bottom"/>
            <w:gridSpan w:val="11"/>
          </w:tcPr>
          <w:p>
            <w:pPr>
              <w:ind w:left="740"/>
              <w:spacing w:after="0"/>
              <w:rPr>
                <w:sz w:val="20"/>
                <w:szCs w:val="20"/>
                <w:color w:val="auto"/>
              </w:rPr>
            </w:pPr>
            <w:r>
              <w:rPr>
                <w:rFonts w:ascii="Times New Roman" w:cs="Times New Roman" w:eastAsia="Times New Roman" w:hAnsi="Times New Roman"/>
                <w:sz w:val="18"/>
                <w:szCs w:val="18"/>
                <w:color w:val="auto"/>
              </w:rPr>
              <w:t>For the three months ended September 30,</w:t>
            </w:r>
          </w:p>
        </w:tc>
        <w:tc>
          <w:tcPr>
            <w:tcW w:w="4580" w:type="dxa"/>
            <w:vAlign w:val="bottom"/>
            <w:gridSpan w:val="9"/>
          </w:tcPr>
          <w:p>
            <w:pPr>
              <w:jc w:val="right"/>
              <w:ind w:right="690"/>
              <w:spacing w:after="0"/>
              <w:rPr>
                <w:sz w:val="20"/>
                <w:szCs w:val="20"/>
                <w:color w:val="auto"/>
              </w:rPr>
            </w:pPr>
            <w:r>
              <w:rPr>
                <w:rFonts w:ascii="Times New Roman" w:cs="Times New Roman" w:eastAsia="Times New Roman" w:hAnsi="Times New Roman"/>
                <w:sz w:val="18"/>
                <w:szCs w:val="18"/>
                <w:color w:val="auto"/>
              </w:rPr>
              <w:t>For the nine months ended September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4"/>
              </w:rPr>
              <w:t>2025</w:t>
            </w: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2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00"/>
              <w:spacing w:after="0" w:line="196" w:lineRule="exact"/>
              <w:rPr>
                <w:sz w:val="20"/>
                <w:szCs w:val="20"/>
                <w:color w:val="auto"/>
              </w:rPr>
            </w:pPr>
            <w:r>
              <w:rPr>
                <w:rFonts w:ascii="Times New Roman" w:cs="Times New Roman" w:eastAsia="Times New Roman" w:hAnsi="Times New Roman"/>
                <w:sz w:val="18"/>
                <w:szCs w:val="18"/>
                <w:color w:val="auto"/>
                <w:w w:val="99"/>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0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Average Grant</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Average Grant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7"/>
              </w:rPr>
              <w:t>Average Grant</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Average Grant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8"/>
                <w:szCs w:val="18"/>
                <w:color w:val="auto"/>
              </w:rPr>
              <w:t>Date Fair</w:t>
            </w: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8"/>
                <w:szCs w:val="18"/>
                <w:color w:val="auto"/>
                <w:w w:val="97"/>
              </w:rPr>
              <w:t>Date Fair</w:t>
            </w: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8"/>
                <w:szCs w:val="18"/>
                <w:color w:val="auto"/>
              </w:rPr>
              <w:t>Date Fair</w:t>
            </w: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Date Fair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Value</w:t>
            </w: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Value</w:t>
            </w: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2"/>
              </w:rPr>
              <w:t>Value</w:t>
            </w: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Beginning of the period</w:t>
            </w: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129,448</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137,457</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120,577</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vested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Shares forfeited</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the period balance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135,844</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137,457</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137,457</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with Off-Balance Sheet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Off-balance sheet risk to loan loss exists up to the face amount of these instruments, although material losses are not anticipated. The Company uses the same credit policies in making commitments to originate loans and lines of credit as it does for on-balance sheet instruments, including obtaining collateral at exercise of the commitment. The contractual amounts of unfunded loan commitments and standby letters of credit not reflected in the unaudited consolidated balance sheets at the dates indicated are presented in Table 8.1.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8.1: Unfunded Loan Commitments and Standby Letters of Credit</w:t>
            </w: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4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21"/>
                <w:szCs w:val="21"/>
                <w:color w:val="auto"/>
              </w:rPr>
            </w:pPr>
          </w:p>
        </w:tc>
        <w:tc>
          <w:tcPr>
            <w:tcW w:w="1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6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lines of credit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230,063</w:t>
            </w:r>
          </w:p>
        </w:tc>
      </w:tr>
      <w:tr>
        <w:trPr>
          <w:trHeight w:val="230"/>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Undisbursed commercial real estate loans</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98,508</w:t>
            </w: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Undisbursed construction loans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74,671</w:t>
            </w:r>
          </w:p>
        </w:tc>
      </w:tr>
      <w:tr>
        <w:trPr>
          <w:trHeight w:val="230"/>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Agricultural lines of credit</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21,155</w:t>
            </w:r>
          </w:p>
        </w:tc>
      </w:tr>
      <w:tr>
        <w:trPr>
          <w:trHeight w:val="229"/>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Undisbursed residential real estate loans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w:t>
            </w:r>
          </w:p>
        </w:tc>
      </w:tr>
      <w:tr>
        <w:trPr>
          <w:trHeight w:val="230"/>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commitments and standby letters of credit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433,595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allowance for credit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credit losses on unfunded commitments totaled $0.6 million as of September 30, 2025 and $0.7 million as of December 31, 2024, which is recorded in “Interest payable and other liabilities” in the unaudited consolidated balance sheets.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Concentrations of credit risk</w:t>
      </w:r>
      <w:r>
        <w:rPr>
          <w:rFonts w:ascii="Times New Roman" w:cs="Times New Roman" w:eastAsia="Times New Roman" w:hAnsi="Times New Roman"/>
          <w:sz w:val="18"/>
          <w:szCs w:val="18"/>
          <w:color w:val="auto"/>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8"/>
          <w:szCs w:val="18"/>
          <w:color w:val="auto"/>
        </w:rPr>
        <w:t>In management’s judgment, a concentration of loans exists in real estate related loans, which represented approximately 86.94% of the Company’s loan portfolio at September 30, 2025 and 86.41% of the Company’s loan portfolio at December 31, 2024.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Deposit concentrations</w:t>
      </w:r>
      <w:r>
        <w:rPr>
          <w:rFonts w:ascii="Times New Roman" w:cs="Times New Roman" w:eastAsia="Times New Roman" w:hAnsi="Times New Roman"/>
          <w:sz w:val="18"/>
          <w:szCs w:val="18"/>
          <w:color w:val="auto"/>
        </w:rPr>
        <w:t>: At September 30, 2025, the Company had 120 deposit relationships that exceeded $5.0 million each, totaling $2.5 billion, or approximately 60.14% of total deposits. The Company’s largest single deposit relationship at September 30, 2025 totaled $290.0 million, or approximately 7.07% of total deposits. Management maintains the Company’s liquidity position and lines of credit with correspondent banks to mitigate the risk of large withdrawals by this group of large depositors.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Contingencies</w:t>
      </w:r>
      <w:r>
        <w:rPr>
          <w:rFonts w:ascii="Times New Roman" w:cs="Times New Roman" w:eastAsia="Times New Roman" w:hAnsi="Times New Roman"/>
          <w:sz w:val="18"/>
          <w:szCs w:val="18"/>
          <w:color w:val="auto"/>
        </w:rPr>
        <w:t>: The Company is subject to legal proceedings and claims which arise in the ordinary course of business. In the opinion of management, the amount of ultimate liability with respect to such actions will not materially adversely affect the consolidated financial position or results of operations of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Correspondent banking agreements</w:t>
      </w:r>
      <w:r>
        <w:rPr>
          <w:rFonts w:ascii="Times New Roman" w:cs="Times New Roman" w:eastAsia="Times New Roman" w:hAnsi="Times New Roman"/>
          <w:sz w:val="18"/>
          <w:szCs w:val="18"/>
          <w:color w:val="auto"/>
        </w:rPr>
        <w:t>: The Company maintains funds on deposit with other FDIC-insured financial institutions under correspondent banking agreements. Uninsured deposits through these agreements totaled approximately $38.5 million and $29.2 million at September 30, 2025 and December 31, 2024,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Equity investments</w:t>
      </w:r>
      <w:r>
        <w:rPr>
          <w:rFonts w:ascii="Times New Roman" w:cs="Times New Roman" w:eastAsia="Times New Roman" w:hAnsi="Times New Roman"/>
          <w:sz w:val="18"/>
          <w:szCs w:val="18"/>
          <w:color w:val="auto"/>
        </w:rPr>
        <w:t>: The Company is a limited partner and has committed to and is invested in a limited number of venture-backed capital funds. As of September 30, 2025 and December 31, 2024, the balance of these investments totaled approximately $11.6 million and $9.3 million, respectively. As of September 30, 2025 and December 31, 2024, the estimated remaining commitment for these funds totaled $14.2 million and $10.8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Matters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legal proceedings and claims which arise in the ordinary course of business. In the opinion of management, the amount of ultimate liability with respect to such actions will not materially adversely affect the consolidated financial position or results of operations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16, 2025, the board of directors of the Company declared a cash dividend of $0.20 per common share, which the Company expects to pay on November 10, 2025 to shareholders of record as of November 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presents management’s perspective on our results of operations and financial condition on a consolidated basis. However, because we conduct all of our material business operations through our bank subsidiary, Five Star Bank (the “Bank”), the discussion and analysis relates to activities primarily conducted by the Bank.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Management’s discussion of the financial condition and results of operations, which is unaudited, should be read in conjunction with the related unaudited consolidated financial statements and accompanying notes in this Quarterly Report on Form 10-Q and the audited consolidated financial statements and accompanying notes included in the 2024 Annual Report on Form 10-K, which was filed with the SEC on February 28, 2025. Average balances, including balances used in calculating certain financial ratios, are generally comprised of average daily balances.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in this report to “we,” “our,” “us,” “the Company,” or “Bancorp” refer to Five Star Bancorp and our consolidated subsidiary. All references to “the Bank” refer to Five Star Bank, our wholly owned subsidiary.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To the extent that this discussion describes prior performance, the descriptions relate only to the periods listed, which may not be indicative of our future financial outcomes.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spacing w:after="0" w:line="138" w:lineRule="exact"/>
        <w:rPr>
          <w:sz w:val="20"/>
          <w:szCs w:val="20"/>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concentration of our business in California, and specifically within Northern California, including risks associated with any downturn in the real estate sector;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that affect the pricing of our loans and deposits, our net interest income, and our borrowers’ ability to repay loans;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economy, including an economic slowdown, recession, inflation, deflation, tariffs, housing prices, employment levels, rate of growth, and general business conditions;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market conditions and economic trends nationally, regionally, and particularly in Northern California and California;</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soundness of other financial institutions and the impacts related to or resulting from bank failures and other economic and industry volatility, including increased regulatory requirements and costs and potential impacts to macroeconomic conditions;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and future legislative and regulatory changes, including changes in banking, securities, and tax laws and regulations and their application by our regulators;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from a wide variety of local, regional, national, and other providers of financial and investment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our loan portfolios, and specifically with our commercial real estate loans;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to maintain capital necessary to fund our growth strategy and operations and to satisfy minimum regulatory capital levels;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strategic focus on lending to small to medium-sized businesses;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the assumptions and estimates we make in establishing reserves for potential credit losses and the value of loan collateral and securities;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nonperforming assets and the costs associated with resolving problem loans, if 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3" w:name="page34"/>
    <w:bookmarkEnd w:id="33"/>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various governmental and regulatory requirements applicable to financial institutions, including supervisory actions by federal and state banking agencies;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monetary and fiscal policies, including the policies of the Federal Reserve;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unauthorized access, cybersecurity breaches, cyber-crime, and other threats and disruptions to data security;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maintain, and improve effective risk management framework, disclosure controls and procedures, and internal controls over financial reporting;</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adopt and successfully integrate new initiatives or technologies into our business in a strategic manner;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executive officers and key employees and their customer and community relationships;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current or any future U.S. federal government shutdown and uncertainty regarding the U.S. federal government’s debt limit and credit rating;</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impact of climate change or natural or man-made disasters or calamities, such as wildfires, droughts, mudslides, floods, and earthquakes, and particularly in California, and specifically Northern California;</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impact of local, regional, and global business, economic, and political conditions and geopolitical events, such as pandemics, civil unrest, wars, and acts of terrorism;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are discussed in the section entitled “Management’s Discussion and Analysis of Financial Condition and Results of Operations.”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foregoing factors could cause results or performance to materially differ from those expressed in our forward-looking statements, should not be considered exhaustive, and should be read together with other cautionary statements that are included in this report and those discussed in the section entitled “Risk Factors” of our 2024 Annual Report on Form 10-K, our Quarterly Reports on Form 10-Q for the three months ended March 31, 2025 and June 30, 2025, and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Quarterly Report on Form 10-Q.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Headquartered in the greater Sacramento metropolitan area of California, Five Star Bancorp is a bank holding company that operates through its wholly owned subsidiary, Five Star Bank, a California state-chartered non-member bank. We provide a broad range of banking products and services to small and medium-sized businesses, professionals, and individuals primarily in Northern California through nine branch offices.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September 30, 2025, we had total assets of $4.6 billion, total loans held for investment of $3.9 billion, and total deposits of $4.1 billion.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instructions to Quarterly Reports on Form 10-Q and, therefore, do not include all footnotes as would be necessary for a fair presentation of financial position, results of operations and comprehensive income, changes in shareholders’ equity, and cash flows in conformity with GAAP as contained within the FASB’s ASC and the rules and regulations of the SEC, including the instructions to Regulation S-X. However,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a basis consistent with, and should be read in conjunction with, the audited consolidated financial statements as filed in our 2024 Annual Report on Form 10-K and the notes thereto.</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most significant accounting policies and our critical accounting estimates are described in greater detail in Note 1, Basis of Presentation, in our audited consolidated financial statements and Item 7. Management’s Discussion and Analysis of Financial Condition and Results of Operations - Critical Accounting Estimates included in our 2024 Annual Report on Form 10-K. We have identified accounting policies and estimates that, due to the difficult, subjective, or complex judgments and assumptions inherent in those policies and estimates and the potential sensitivity of our unaudited consolidated financial statements to those judgments and assumptions, are critical to an understanding of our consolidated financial condition and results of operations.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 With the exception of the changes to the ACL described below, there have been no significant changes concerning our critical accounting estimates as described in our 2024 Annual Report on Form 10-K.</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Jumpstart Our Business Startups Act of 2012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ACL represents the estimated expected credit losses in our loan and investment portfolios and is estimated as of September 30, 2025 using CECL. The ACL is established through a provision for credit losses charged to operations. Loans and investments are charged against the ACL when management believes that the collectability of the principal is unlikely. Subsequent recoveries of previously charged-off amounts, if any, are credited to the ACL.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ACL is evaluated on a regular basis by management in consideration of optimistic, moderate, and pessimistic current conditions, and is based on management’s periodic review of the collectability of the loans in light of historical experience, the nature and volume of the loan portfolio, adverse situations that may affect the borrower’s ability to repay, estimated value of any underlying collateral, prevailing economic conditions specifically impacting each loan type by purpose and by geography, and concentrations within the loan portfolio. This evaluation is inherently subjective, as it requires estimates that are susceptible to significant revision as more information becomes available.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significant amount of the ACL is measured on a collective (pool) basis by loan and investment security type when similar risk characteristics exist. Pools are determined based primarily on regulatory reporting codes as the loans and investment securities within each pool share similar risk characteristics and there is sufficient historical peer loss data from the FFIEC to provide statistically meaningful support in the models developed. Reserves for credit losses identified on a pooled basis are then adjusted for qualitative and other environmental factors to reflect current conditions. The most significant components of the qualitative and environmental factors used to estimate the allowance for credit losses are adjustments relating to prevailing economic conditions, concentrations within the loan portfolio, and external factors. The prevailing economic conditions factor is estimated based on a range of potential economic conditions and is applied at both the portfolio and individual concentration level based on various factors. The factor concerning concentrations within the loan portfolio is estimated based on concentrations at the loan pool level. The external factor is estimated based on current external factors, such as environmental factors, which could impact the loan portfolio.</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income for the three and nine months ended September 30, 2025 totaled $16.3 million and $44.0 million, respectively, as compared to net income of $10.9 million and $32.4 million for the three and nine months ended September 30, 2024,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highlights of our operating and financial performance, and financial condition for the dates and periods presented:</w:t>
      </w:r>
    </w:p>
    <w:p>
      <w:pPr>
        <w:spacing w:after="0" w:line="221" w:lineRule="exact"/>
        <w:rPr>
          <w:sz w:val="20"/>
          <w:szCs w:val="20"/>
          <w:color w:val="auto"/>
        </w:rPr>
      </w:pPr>
    </w:p>
    <w:p>
      <w:pPr>
        <w:jc w:val="both"/>
        <w:ind w:left="66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Deposits. </w:t>
      </w:r>
      <w:r>
        <w:rPr>
          <w:rFonts w:ascii="Times New Roman" w:cs="Times New Roman" w:eastAsia="Times New Roman" w:hAnsi="Times New Roman"/>
          <w:sz w:val="18"/>
          <w:szCs w:val="18"/>
          <w:color w:val="auto"/>
        </w:rPr>
        <w:t>Total deposits increased by $545.4 million, or 15.33%, from $3.6 billion at December 31, 2024 to $4.1 billion at September 30,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Non-wholesale deposits increased by $599.0 million in the first nine months of 2025 to $3.6 billion at September 30, 2025. Wholesale deposits, which the Company defines as brokered deposits and California Time Deposit Program deposits, decreased by $53.6 million in the first nine months of 2025 to $506.4 million. Non-interest-bearing deposits increased by $136.5 million in the first nine months of 2025 to $1.1 billion, and represented 25.81% of total deposits at September 30, 2025, as compared to 25.93% of total deposits at December 31, 2024. Our loan to deposit ratio was 94.73% at September 30, 2025, as compared to 99.38% at December 31, 2024.</w:t>
      </w:r>
    </w:p>
    <w:p>
      <w:pPr>
        <w:spacing w:after="0" w:line="18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Assets. </w:t>
      </w:r>
      <w:r>
        <w:rPr>
          <w:rFonts w:ascii="Times New Roman" w:cs="Times New Roman" w:eastAsia="Times New Roman" w:hAnsi="Times New Roman"/>
          <w:sz w:val="18"/>
          <w:szCs w:val="18"/>
          <w:color w:val="auto"/>
        </w:rPr>
        <w:t>Total assets were $4.6 billion at September 30, 2025, representing a $588.5 million, or 14.52%, increase compared to $4.1 billion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2024.</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Loans. </w:t>
      </w:r>
      <w:r>
        <w:rPr>
          <w:rFonts w:ascii="Times New Roman" w:cs="Times New Roman" w:eastAsia="Times New Roman" w:hAnsi="Times New Roman"/>
          <w:sz w:val="18"/>
          <w:szCs w:val="18"/>
          <w:color w:val="auto"/>
        </w:rPr>
        <w:t>Total loans held for investment were $3.9 billion at September 30, 2025, as compared to $3.5 billion at December 31, 2024, an increase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$354.6 million, or 10.04%. The increase was a result of $931.8 million in loan originations and advances, partially offset by $219.8 million and $357.5 million in loan payoffs and paydowns, respectively. The $354.6 million increase in total loans held for investment included $70.7 million in purchases of loans within the consumer concentration of the loan portfolio.</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Credit Quality. </w:t>
      </w:r>
      <w:r>
        <w:rPr>
          <w:rFonts w:ascii="Times New Roman" w:cs="Times New Roman" w:eastAsia="Times New Roman" w:hAnsi="Times New Roman"/>
          <w:sz w:val="18"/>
          <w:szCs w:val="18"/>
          <w:color w:val="auto"/>
        </w:rPr>
        <w:t>Credit quality remains strong, with non-accrual loans representing $2.1 million, or 0.05% of total loans held for investment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2025, as compared to $1.8 million, or 0.05% of total loans held for investment at December 31, 2024. The ratio of the allowance for credit losses to total loans held for investment was 1.08% at September 30, 2025 and 1.07% at December 31, 2024.</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 Interest Margin. </w:t>
      </w:r>
      <w:r>
        <w:rPr>
          <w:rFonts w:ascii="Times New Roman" w:cs="Times New Roman" w:eastAsia="Times New Roman" w:hAnsi="Times New Roman"/>
          <w:sz w:val="18"/>
          <w:szCs w:val="18"/>
          <w:color w:val="auto"/>
        </w:rPr>
        <w:t>Net interest margin was 3.56% and 3.52%, respectively, for the three and nine months ended September 30, 2025, and 3.37%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3.30%, respectively, for the three and nine months ended September 30, 2024. The increase in net interest margin for the three months ended September 30, 2025 compared to the three months ended September 30, 2024 is primarily due to loan growth and an improvement in the average yield on loans, partially offset by an increase in interest expense driven by deposit growth. The increase in net interest margin for the nine months ended September 30, 2025 compared to the nine months ended September 30, 2024 is primarily due to loan growth and an improvement in the average yield on loans, partially offset by an increase in interest expense driven by deposit growth.</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Efficiency Ratio. </w:t>
      </w:r>
      <w:r>
        <w:rPr>
          <w:rFonts w:ascii="Times New Roman" w:cs="Times New Roman" w:eastAsia="Times New Roman" w:hAnsi="Times New Roman"/>
          <w:sz w:val="18"/>
          <w:szCs w:val="18"/>
          <w:color w:val="auto"/>
        </w:rPr>
        <w:t>Efficiency ratio was 40.13% for the three months ended September 30, 2025, down from 43.37% for the corresponding period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mainly due to a $9.0 million, or 29.49%, increase in net interest income during the same period. Additionally, efficiency ratio was 41.18% for the nine months ended September 30, 2025, down from 43.96% for the corresponding period of 2024, mainly due to a $23.6 million, or 27.39%, increase in net interest income during the same period.</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 Ratios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capital ratios were above well-capitalized regulatory thresholds as of September 30, 2025. The total risk-based capital ratio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was 13.59% at September 30, 2025, as compared to 13.99% at December 31, 2024. The Tier 1 leverage ratio was 9.78% at September 30, 2025, as compared to 10.05% at December 31, 2024. For additional information about the regulatory capital requirements applicable to the Company and the Bank, see the section entitled “—Financial Condition Summary—Capital Adequacy” below.</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board of directors declared a cash dividend of $0.20 per share on July 17,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Highlights of our financial results are presented in the following tables: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1: Highlights of Financial Results</w:t>
            </w:r>
          </w:p>
        </w:tc>
        <w:tc>
          <w:tcPr>
            <w:tcW w:w="39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40" w:type="dxa"/>
            <w:vAlign w:val="bottom"/>
          </w:tcPr>
          <w:p>
            <w:pPr>
              <w:spacing w:after="0"/>
              <w:rPr>
                <w:sz w:val="17"/>
                <w:szCs w:val="17"/>
                <w:color w:val="auto"/>
              </w:rPr>
            </w:pPr>
          </w:p>
        </w:tc>
        <w:tc>
          <w:tcPr>
            <w:tcW w:w="1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tcPr>
          <w:p>
            <w:pPr>
              <w:spacing w:after="0"/>
              <w:rPr>
                <w:sz w:val="21"/>
                <w:szCs w:val="21"/>
                <w:color w:val="auto"/>
              </w:rPr>
            </w:pPr>
          </w:p>
        </w:tc>
        <w:tc>
          <w:tcPr>
            <w:tcW w:w="20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6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financial condition data:</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4,641,770</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4,053,278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3,887,259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3,532,686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Pr>
          <w:p>
            <w:pPr>
              <w:spacing w:after="0"/>
              <w:rPr>
                <w:sz w:val="19"/>
                <w:szCs w:val="19"/>
                <w:color w:val="auto"/>
              </w:rPr>
            </w:pPr>
          </w:p>
        </w:tc>
        <w:tc>
          <w:tcPr>
            <w:tcW w:w="1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4,103,438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3,557,994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subordinated notes, net</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74,004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73,895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Pr>
          <w:p>
            <w:pPr>
              <w:spacing w:after="0"/>
              <w:rPr>
                <w:sz w:val="19"/>
                <w:szCs w:val="19"/>
                <w:color w:val="auto"/>
              </w:rPr>
            </w:pPr>
          </w:p>
        </w:tc>
        <w:tc>
          <w:tcPr>
            <w:tcW w:w="1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431,308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396,624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quality ratios:</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Allowance for credit losses to total loans held for investment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credit losses to nonperforming loans</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1,975.62 %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2,101.78 %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Nonperforming loans to total loans held for investment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ratios:</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Common equity Tier 1 capital (to risk-weighted assets)</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Tier 1 leverage</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shareholders’ equity to total assets</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60" w:type="dxa"/>
            <w:vAlign w:val="bottom"/>
            <w:gridSpan w:val="3"/>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Tangible shareholders’ equity to tangible assets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9.79 %</w:t>
            </w:r>
          </w:p>
        </w:tc>
        <w:tc>
          <w:tcPr>
            <w:tcW w:w="0" w:type="dxa"/>
            <w:vAlign w:val="bottom"/>
          </w:tcPr>
          <w:p>
            <w:pPr>
              <w:spacing w:after="0"/>
              <w:rPr>
                <w:sz w:val="1"/>
                <w:szCs w:val="1"/>
                <w:color w:val="auto"/>
              </w:rPr>
            </w:pP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 Highlights of Financial Results (continued)</w:t>
            </w:r>
          </w:p>
        </w:tc>
        <w:tc>
          <w:tcPr>
            <w:tcW w:w="360" w:type="dxa"/>
            <w:vAlign w:val="bottom"/>
          </w:tcPr>
          <w:p>
            <w:pPr>
              <w:spacing w:after="0"/>
              <w:rPr>
                <w:sz w:val="17"/>
                <w:szCs w:val="17"/>
                <w:color w:val="auto"/>
              </w:rPr>
            </w:pPr>
          </w:p>
        </w:tc>
        <w:tc>
          <w:tcPr>
            <w:tcW w:w="30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60" w:type="dxa"/>
            <w:vAlign w:val="bottom"/>
          </w:tcPr>
          <w:p>
            <w:pPr>
              <w:spacing w:after="0"/>
              <w:rPr>
                <w:sz w:val="17"/>
                <w:szCs w:val="17"/>
                <w:color w:val="auto"/>
              </w:rPr>
            </w:pPr>
          </w:p>
        </w:tc>
        <w:tc>
          <w:tcPr>
            <w:tcW w:w="2940" w:type="dxa"/>
            <w:vAlign w:val="bottom"/>
            <w:gridSpan w:val="4"/>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top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40" w:type="dxa"/>
            <w:vAlign w:val="bottom"/>
            <w:gridSpan w:val="5"/>
            <w:vMerge w:val="continue"/>
          </w:tcPr>
          <w:p>
            <w:pPr>
              <w:spacing w:after="0"/>
              <w:rPr>
                <w:sz w:val="21"/>
                <w:szCs w:val="21"/>
                <w:color w:val="auto"/>
              </w:rPr>
            </w:pPr>
          </w:p>
        </w:tc>
        <w:tc>
          <w:tcPr>
            <w:tcW w:w="360" w:type="dxa"/>
            <w:vAlign w:val="bottom"/>
          </w:tcPr>
          <w:p>
            <w:pPr>
              <w:spacing w:after="0"/>
              <w:rPr>
                <w:sz w:val="21"/>
                <w:szCs w:val="21"/>
                <w:color w:val="auto"/>
              </w:rPr>
            </w:pPr>
          </w:p>
        </w:tc>
        <w:tc>
          <w:tcPr>
            <w:tcW w:w="294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tc>
        <w:tc>
          <w:tcPr>
            <w:tcW w:w="17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80" w:type="dxa"/>
            <w:vAlign w:val="bottom"/>
          </w:tcPr>
          <w:p>
            <w:pPr>
              <w:spacing w:after="0"/>
              <w:rPr>
                <w:sz w:val="19"/>
                <w:szCs w:val="19"/>
                <w:color w:val="auto"/>
              </w:rPr>
            </w:pPr>
          </w:p>
        </w:tc>
        <w:tc>
          <w:tcPr>
            <w:tcW w:w="17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operating data:</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Net interest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39,348</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30,386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109,840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86,222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Non-interest income</w:t>
            </w:r>
          </w:p>
        </w:tc>
        <w:tc>
          <w:tcPr>
            <w:tcW w:w="36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4,787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Non-interest expense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16,580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47,351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16,344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43,963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32,354</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37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0.77</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Book value per share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18.29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Tangible book value per share</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Performance and other financial ratios: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ROAA</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ROAE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15.35 %</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Net interest margin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funds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Efficiency ratio</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40.13 %</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Cash dividend payout ratio on common stock</w:t>
            </w:r>
            <w:r>
              <w:rPr>
                <w:rFonts w:ascii="Times New Roman" w:cs="Times New Roman" w:eastAsia="Times New Roman" w:hAnsi="Times New Roman"/>
                <w:sz w:val="23"/>
                <w:szCs w:val="23"/>
                <w:color w:val="auto"/>
                <w:vertAlign w:val="superscript"/>
              </w:rPr>
              <w:t>3</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25.97 %</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36.81 %</w:t>
            </w:r>
          </w:p>
        </w:tc>
        <w:tc>
          <w:tcPr>
            <w:tcW w:w="0" w:type="dxa"/>
            <w:vAlign w:val="bottom"/>
          </w:tcPr>
          <w:p>
            <w:pPr>
              <w:spacing w:after="0"/>
              <w:rPr>
                <w:sz w:val="1"/>
                <w:szCs w:val="1"/>
                <w:color w:val="auto"/>
              </w:rPr>
            </w:pPr>
          </w:p>
        </w:tc>
      </w:tr>
      <w:tr>
        <w:trPr>
          <w:trHeight w:val="823"/>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jc w:val="both"/>
        <w:ind w:left="332" w:hanging="332"/>
        <w:spacing w:after="0" w:line="243" w:lineRule="auto"/>
        <w:tabs>
          <w:tab w:leader="none" w:pos="323"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Tangible shareholders’ equity to tangible assets is considered a non-GAAP financial measure. See the section entitled “Non-GAAP Financial Measures” for a reconciliation of our non-GAAP financial measures to the most directly comparable GAAP financial measure. 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96" w:lineRule="exact"/>
        <w:rPr>
          <w:sz w:val="20"/>
          <w:szCs w:val="20"/>
          <w:color w:val="auto"/>
        </w:rPr>
      </w:pPr>
    </w:p>
    <w:p>
      <w:pPr>
        <w:jc w:val="both"/>
        <w:ind w:left="332" w:hanging="332"/>
        <w:spacing w:after="0" w:line="241" w:lineRule="auto"/>
        <w:tabs>
          <w:tab w:leader="none" w:pos="323"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Tangible book value per share is considered a non-GAAP financial measure. See the section entitled “Non-GAAP Financial Measures” for a reconciliation of our non-GAAP financial measures to the most directly comparable GAAP financial measure. 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spacing w:after="0" w:line="199" w:lineRule="exact"/>
        <w:rPr>
          <w:sz w:val="20"/>
          <w:szCs w:val="20"/>
          <w:color w:val="auto"/>
        </w:rPr>
      </w:pPr>
    </w:p>
    <w:p>
      <w:pPr>
        <w:ind w:left="5532" w:right="1080" w:hanging="5532"/>
        <w:spacing w:after="0" w:line="825" w:lineRule="auto"/>
        <w:tabs>
          <w:tab w:leader="none" w:pos="321"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dividend payout ratio on common stock is calculated as dividends on common shares divided by basic earnings per common share.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-360680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4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of our results of operations compares the three and nine months ended September 30, 2025 to the three and nine months ended September 30, 2024. The results of operations for the three and nine months ended September 30, 2025 are not necessarily indicative of the results of operations that may be expected for the year ending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is the most significant contributor to our net income. Net interest income represents interest income from interest-earning assets, such as loans and investments, less interest expense on interest-bearing liabilities, such as deposits, subordinated notes, and other borrowings, which are used to fund those assets. In evaluating our net interest income, we measure and monitor yields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September 30, 2025 compared to three months ended September 30, 2024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income increased by $9.0 million, or 29.49%, for the three months ended September 30, 2025 compared to the three months ended September 30, 2024, and our net interest margin increased 19 basis points during the same period. The increase in net interest income is primarily attributable to an increase in interest income driven by loan growth and an improvement in the average yield on loans, partially offset by an increase in interest expense driven by deposit growth. Additional detail relating to net interest margin in each period is provided below.</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9" w:name="page40"/>
    <w:bookmarkEnd w:id="39"/>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Average balance sheet, interest, and yield/rate analysis. </w:t>
      </w:r>
      <w:r>
        <w:rPr>
          <w:rFonts w:ascii="Times New Roman" w:cs="Times New Roman" w:eastAsia="Times New Roman" w:hAnsi="Times New Roman"/>
          <w:sz w:val="18"/>
          <w:szCs w:val="18"/>
          <w:color w:val="auto"/>
        </w:rPr>
        <w:t>Table 3 presents average balance sheet information, interest income, interest expense,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average yield earned or rate paid for each period reported. The average balances are daily averages and include both performing and nonperforming loans.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Table 3: Average Balances, Interest, and Yield/Rate</w:t>
            </w:r>
          </w:p>
        </w:tc>
        <w:tc>
          <w:tcPr>
            <w:tcW w:w="3560" w:type="dxa"/>
            <w:vAlign w:val="bottom"/>
            <w:gridSpan w:val="7"/>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gridSpan w:val="7"/>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gridSpan w:val="7"/>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80" w:type="dxa"/>
            <w:vAlign w:val="bottom"/>
          </w:tcPr>
          <w:p>
            <w:pPr>
              <w:spacing w:after="0"/>
              <w:rPr>
                <w:sz w:val="14"/>
                <w:szCs w:val="14"/>
                <w:color w:val="auto"/>
              </w:rPr>
            </w:pPr>
          </w:p>
        </w:tc>
        <w:tc>
          <w:tcPr>
            <w:tcW w:w="860" w:type="dxa"/>
            <w:vAlign w:val="bottom"/>
          </w:tcPr>
          <w:p>
            <w:pPr>
              <w:jc w:val="right"/>
              <w:ind w:right="130"/>
              <w:spacing w:after="0" w:line="171"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40"/>
              <w:spacing w:after="0" w:line="171"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right"/>
              <w:ind w:right="170"/>
              <w:spacing w:after="0" w:line="171"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150"/>
              <w:spacing w:after="0" w:line="171" w:lineRule="exact"/>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120"/>
              <w:spacing w:after="0" w:line="171"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right"/>
              <w:ind w:right="170"/>
              <w:spacing w:after="0" w:line="171" w:lineRule="exact"/>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Income/Expense</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Income/Expense</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Interest-earning deposits in banks</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451,534</w:t>
            </w:r>
          </w:p>
        </w:tc>
        <w:tc>
          <w:tcPr>
            <w:tcW w:w="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126,266</w:t>
            </w:r>
          </w:p>
        </w:tc>
        <w:tc>
          <w:tcPr>
            <w:tcW w:w="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23"/>
                <w:szCs w:val="23"/>
                <w:color w:val="auto"/>
                <w:vertAlign w:val="superscript"/>
              </w:rPr>
              <w:t>1,2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Loans held for investment and sale</w:t>
            </w:r>
            <w:r>
              <w:rPr>
                <w:rFonts w:ascii="Times New Roman" w:cs="Times New Roman" w:eastAsia="Times New Roman" w:hAnsi="Times New Roman"/>
                <w:sz w:val="23"/>
                <w:szCs w:val="23"/>
                <w:color w:val="auto"/>
                <w:vertAlign w:val="superscript"/>
              </w:rPr>
              <w:t>1,3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3,831,851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59,257</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3,354,050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Total interest-earning assets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4,380,191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64,845</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3,586,572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52,667</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ind w:left="120"/>
              <w:spacing w:after="0" w:line="223" w:lineRule="exact"/>
              <w:rPr>
                <w:sz w:val="20"/>
                <w:szCs w:val="20"/>
                <w:color w:val="auto"/>
              </w:rPr>
            </w:pPr>
            <w:r>
              <w:rPr>
                <w:rFonts w:ascii="Times New Roman" w:cs="Times New Roman" w:eastAsia="Times New Roman" w:hAnsi="Times New Roman"/>
                <w:sz w:val="18"/>
                <w:szCs w:val="18"/>
                <w:color w:val="auto"/>
              </w:rPr>
              <w:t>Interest receivable and other assets, net</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110,118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91,965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4,490,309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3,678,537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Interest-bearing transaction accounts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300,642</w:t>
            </w:r>
          </w:p>
        </w:tc>
        <w:tc>
          <w:tcPr>
            <w:tcW w:w="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302,188</w:t>
            </w:r>
          </w:p>
        </w:tc>
        <w:tc>
          <w:tcPr>
            <w:tcW w:w="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Savings accounts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Money market accounts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1,874,089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1,578,244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Time accounts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639,434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326,640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Subordinated notes and other borrowings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3,019,119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25,497</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2,408,911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Demand accounts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1,016,560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852,872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payable and other liabilities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422,420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384,692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4,490,309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3,678,537</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3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4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Net interest spread</w:t>
            </w:r>
            <w:r>
              <w:rPr>
                <w:rFonts w:ascii="Times New Roman" w:cs="Times New Roman" w:eastAsia="Times New Roman" w:hAnsi="Times New Roman"/>
                <w:sz w:val="22"/>
                <w:szCs w:val="22"/>
                <w:color w:val="auto"/>
                <w:vertAlign w:val="superscript"/>
              </w:rPr>
              <w:t>5</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2.52 %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44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interest income/margin</w:t>
            </w:r>
            <w:r>
              <w:rPr>
                <w:rFonts w:ascii="Times New Roman" w:cs="Times New Roman" w:eastAsia="Times New Roman" w:hAnsi="Times New Roman"/>
                <w:sz w:val="23"/>
                <w:szCs w:val="23"/>
                <w:color w:val="auto"/>
                <w:vertAlign w:val="superscript"/>
              </w:rPr>
              <w:t>6</w:t>
            </w:r>
          </w:p>
        </w:tc>
        <w:tc>
          <w:tcPr>
            <w:tcW w:w="2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gridSpan w:val="2"/>
          </w:tcPr>
          <w:p>
            <w:pPr>
              <w:spacing w:after="0"/>
              <w:rPr>
                <w:sz w:val="17"/>
                <w:szCs w:val="17"/>
                <w:color w:val="auto"/>
              </w:rPr>
            </w:pPr>
          </w:p>
        </w:tc>
        <w:tc>
          <w:tcPr>
            <w:tcW w:w="22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39,348</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3.56 %</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gridSpan w:val="2"/>
          </w:tcPr>
          <w:p>
            <w:pPr>
              <w:spacing w:after="0"/>
              <w:rPr>
                <w:sz w:val="17"/>
                <w:szCs w:val="17"/>
                <w:color w:val="auto"/>
              </w:rPr>
            </w:pPr>
          </w:p>
        </w:tc>
        <w:tc>
          <w:tcPr>
            <w:tcW w:w="2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30,386</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3.37 %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hanging="332"/>
        <w:spacing w:after="0" w:line="229" w:lineRule="auto"/>
        <w:tabs>
          <w:tab w:leader="none" w:pos="331"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income/expense is divided by the actual number of days in the period multiplied by the actual number of days in the year to correspond to stated interest rate terms, where applicable.</w:t>
      </w:r>
    </w:p>
    <w:p>
      <w:pPr>
        <w:spacing w:after="0" w:line="198" w:lineRule="exact"/>
        <w:rPr>
          <w:sz w:val="20"/>
          <w:szCs w:val="20"/>
          <w:color w:val="auto"/>
        </w:rPr>
      </w:pPr>
    </w:p>
    <w:p>
      <w:pPr>
        <w:ind w:left="340" w:hanging="332"/>
        <w:spacing w:after="0" w:line="229" w:lineRule="auto"/>
        <w:tabs>
          <w:tab w:leader="none" w:pos="331"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Yields on available-for-sale securities are calculated based on fair value. Investment security interest is earned monthly on a 30/360 day basis. Yields are not calculated on a tax-equivalent basis.</w:t>
      </w:r>
    </w:p>
    <w:p>
      <w:pPr>
        <w:spacing w:after="0" w:line="198" w:lineRule="exact"/>
        <w:rPr>
          <w:sz w:val="20"/>
          <w:szCs w:val="20"/>
          <w:color w:val="auto"/>
        </w:rPr>
      </w:pPr>
    </w:p>
    <w:p>
      <w:pPr>
        <w:ind w:left="340" w:hanging="332"/>
        <w:spacing w:after="0" w:line="229" w:lineRule="auto"/>
        <w:tabs>
          <w:tab w:leader="none" w:pos="331"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Non-accrual loans are included in total loan balances. No adjustment has been made for these loans in the yield calculations. Interest income on loans includes amortization of deferred loan fees, net of deferred loan costs. Allowance for credit losses is not included in total loan balances.</w:t>
      </w:r>
    </w:p>
    <w:p>
      <w:pPr>
        <w:sectPr>
          <w:pgSz w:w="11900" w:h="16838" w:orient="portrait"/>
          <w:cols w:equalWidth="0" w:num="1">
            <w:col w:w="11240"/>
          </w:cols>
          <w:pgMar w:left="320" w:top="1145" w:right="339" w:bottom="144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is included in interest receivable and other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spread represents the average yield earned on interest-earning assets minus the average rate paid on interest-bearing liabilities.</w:t>
      </w:r>
    </w:p>
    <w:p>
      <w:pPr>
        <w:spacing w:after="0" w:line="225" w:lineRule="exact"/>
        <w:rPr>
          <w:sz w:val="20"/>
          <w:szCs w:val="20"/>
          <w:color w:val="auto"/>
        </w:rPr>
      </w:pPr>
    </w:p>
    <w:p>
      <w:pPr>
        <w:ind w:left="20" w:hanging="8"/>
        <w:spacing w:after="0" w:line="282" w:lineRule="auto"/>
        <w:rPr>
          <w:sz w:val="20"/>
          <w:szCs w:val="20"/>
          <w:color w:val="auto"/>
        </w:rPr>
      </w:pPr>
      <w:r>
        <w:rPr>
          <w:rFonts w:ascii="Times New Roman" w:cs="Times New Roman" w:eastAsia="Times New Roman" w:hAnsi="Times New Roman"/>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200" w:lineRule="exact"/>
        <w:rPr>
          <w:sz w:val="20"/>
          <w:szCs w:val="20"/>
          <w:color w:val="auto"/>
        </w:rPr>
      </w:pPr>
    </w:p>
    <w:p>
      <w:pPr>
        <w:sectPr>
          <w:pgSz w:w="11900" w:h="16838" w:orient="portrait"/>
          <w:cols w:equalWidth="0" w:num="2">
            <w:col w:w="60" w:space="260"/>
            <w:col w:w="10920"/>
          </w:cols>
          <w:pgMar w:left="320" w:top="1145" w:right="339"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40" w:name="page41"/>
    <w:bookmarkEnd w:id="40"/>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Analysis of changes in interest income and expenses. </w:t>
      </w:r>
      <w:r>
        <w:rPr>
          <w:rFonts w:ascii="Times New Roman" w:cs="Times New Roman" w:eastAsia="Times New Roman" w:hAnsi="Times New Roman"/>
          <w:sz w:val="18"/>
          <w:szCs w:val="18"/>
          <w:color w:val="auto"/>
        </w:rPr>
        <w:t>Increases and decreases in interest income and interest expense result from changes in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(volume) of interest-earning assets and interest-bearing liabilities, as well as changes in average yields/rates. Table 4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4: Interest Income and Expense Change Analysis</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gridSpan w:val="6"/>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38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60" w:type="dxa"/>
            <w:vAlign w:val="bottom"/>
            <w:gridSpan w:val="7"/>
          </w:tcPr>
          <w:p>
            <w:pPr>
              <w:jc w:val="center"/>
              <w:ind w:right="210"/>
              <w:spacing w:after="0" w:line="180" w:lineRule="exact"/>
              <w:rPr>
                <w:sz w:val="20"/>
                <w:szCs w:val="20"/>
                <w:color w:val="auto"/>
              </w:rPr>
            </w:pPr>
            <w:r>
              <w:rPr>
                <w:rFonts w:ascii="Times New Roman" w:cs="Times New Roman" w:eastAsia="Times New Roman" w:hAnsi="Times New Roman"/>
                <w:sz w:val="18"/>
                <w:szCs w:val="18"/>
                <w:b w:val="1"/>
                <w:bCs w:val="1"/>
                <w:color w:val="auto"/>
              </w:rPr>
              <w:t>September 30, 2025 compared to</w:t>
            </w:r>
          </w:p>
        </w:tc>
      </w:tr>
      <w:tr>
        <w:trPr>
          <w:trHeight w:val="238"/>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the three months ended September 30, 2024</w:t>
            </w:r>
          </w:p>
        </w:tc>
      </w:tr>
      <w:tr>
        <w:trPr>
          <w:trHeight w:val="201"/>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70"/>
              <w:spacing w:after="0" w:line="201" w:lineRule="exact"/>
              <w:rPr>
                <w:sz w:val="20"/>
                <w:szCs w:val="20"/>
                <w:color w:val="auto"/>
              </w:rPr>
            </w:pPr>
            <w:r>
              <w:rPr>
                <w:rFonts w:ascii="Times New Roman" w:cs="Times New Roman" w:eastAsia="Times New Roman" w:hAnsi="Times New Roman"/>
                <w:sz w:val="18"/>
                <w:szCs w:val="18"/>
                <w:b w:val="1"/>
                <w:bCs w:val="1"/>
                <w:color w:val="auto"/>
                <w:w w:val="99"/>
              </w:rPr>
              <w:t>Total Increase</w:t>
            </w:r>
          </w:p>
        </w:tc>
      </w:tr>
      <w:tr>
        <w:trPr>
          <w:trHeight w:val="245"/>
        </w:trPr>
        <w:tc>
          <w:tcPr>
            <w:tcW w:w="2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Interest-earning deposits in banks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r>
      <w:tr>
        <w:trPr>
          <w:trHeight w:val="250"/>
        </w:trPr>
        <w:tc>
          <w:tcPr>
            <w:tcW w:w="2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 and sale</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8,867</w:t>
            </w:r>
          </w:p>
        </w:tc>
      </w:tr>
      <w:tr>
        <w:trPr>
          <w:trHeight w:val="250"/>
        </w:trPr>
        <w:tc>
          <w:tcPr>
            <w:tcW w:w="20" w:type="dxa"/>
            <w:vAlign w:val="bottom"/>
            <w:tcBorders>
              <w:bottom w:val="single" w:sz="8" w:color="CCEEFF"/>
            </w:tcBorders>
          </w:tcPr>
          <w:p>
            <w:pPr>
              <w:spacing w:after="0"/>
              <w:rPr>
                <w:sz w:val="21"/>
                <w:szCs w:val="21"/>
                <w:color w:val="auto"/>
              </w:rPr>
            </w:pPr>
          </w:p>
        </w:tc>
        <w:tc>
          <w:tcPr>
            <w:tcW w:w="62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12,178</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0"/>
        </w:trPr>
        <w:tc>
          <w:tcPr>
            <w:tcW w:w="2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63"/>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50"/>
        </w:trPr>
        <w:tc>
          <w:tcPr>
            <w:tcW w:w="2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accounts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and other borrowings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50"/>
        </w:trPr>
        <w:tc>
          <w:tcPr>
            <w:tcW w:w="20" w:type="dxa"/>
            <w:vAlign w:val="bottom"/>
            <w:tcBorders>
              <w:bottom w:val="single" w:sz="8" w:color="CCEEFF"/>
            </w:tcBorders>
          </w:tcPr>
          <w:p>
            <w:pPr>
              <w:spacing w:after="0"/>
              <w:rPr>
                <w:sz w:val="21"/>
                <w:szCs w:val="21"/>
                <w:color w:val="auto"/>
              </w:rPr>
            </w:pPr>
          </w:p>
        </w:tc>
        <w:tc>
          <w:tcPr>
            <w:tcW w:w="62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3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w:t>
            </w:r>
          </w:p>
        </w:tc>
      </w:tr>
      <w:tr>
        <w:trPr>
          <w:trHeight w:val="281"/>
        </w:trPr>
        <w:tc>
          <w:tcPr>
            <w:tcW w:w="20" w:type="dxa"/>
            <w:vAlign w:val="bottom"/>
            <w:tcBorders>
              <w:bottom w:val="single" w:sz="8" w:color="CCEEFF"/>
            </w:tcBorders>
            <w:shd w:val="clear" w:color="auto" w:fill="CCEEFF"/>
          </w:tcPr>
          <w:p>
            <w:pPr>
              <w:spacing w:after="0"/>
              <w:rPr>
                <w:sz w:val="24"/>
                <w:szCs w:val="24"/>
                <w:color w:val="auto"/>
              </w:rPr>
            </w:pPr>
          </w:p>
        </w:tc>
        <w:tc>
          <w:tcPr>
            <w:tcW w:w="626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Changes in net interest income/margin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during the three months ended September 30, 2025 increased to $39.3 million compared to $30.4 million during the three months ended September 30, 2024. Net interest margin totaled 3.56% for the three months ended September 30, 2025, compared to 3.37% in the same quarter of the prior year. The increase in net interest income is primarily attributable to an additional $12.2 million in interest income, mainly due to a $477.8 million, or 14.25%, increase in the average balance of loans and a 16 basis point improvement in the average yield on loans during the three months ended September 30, 2025 compared to the same quarter of the prior year. The increase in interest income was partially offset by an additional $3.2 million in interest expense compared to the same quarter of the prior year. The increase in interest expense is mainly attributable to a $776.9 million, or 24.39%, increase in the average balance of deposits at an average rate of 19 basis points lower during the three months ended September 30, 2025 compared to the same quarter of the prior year. In addition, the average balance of non-interest-bearing deposits increased by $163.7 million, or 19.19%, compared to the same period of the prior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Nine months ended September 30, 2025 compared to nine months ended September 30, 2024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income increased by $23.6 million, or 27.39%, for the nine months ended September 30, 2025 compared to the nine months ended September 30, 2024, and our net interest margin increased 22 basis points when compared to the same period in 2024. The increase in net interest income is primarily attributable to an increase in interest income driven by loan growth and an improvement in the average yield on loans, partially offset by an increase in interest expense driven by deposit growth. Additional detail relating to net interest margin in each period is provided below.</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1" w:name="page42"/>
    <w:bookmarkEnd w:id="41"/>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Average balance sheet, interest, and yield/rate analysis. </w:t>
      </w:r>
      <w:r>
        <w:rPr>
          <w:rFonts w:ascii="Times New Roman" w:cs="Times New Roman" w:eastAsia="Times New Roman" w:hAnsi="Times New Roman"/>
          <w:sz w:val="18"/>
          <w:szCs w:val="18"/>
          <w:color w:val="auto"/>
        </w:rPr>
        <w:t>Table 5 presents average balance sheet information, interest income, interest expense,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average yield earned or rate paid for each period reported. The average balances are daily averages and include both performing and nonperforming loans.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Table 5: Average Balances, Interest, and Yield/Rate</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7"/>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4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80" w:type="dxa"/>
            <w:vAlign w:val="bottom"/>
          </w:tcPr>
          <w:p>
            <w:pPr>
              <w:spacing w:after="0"/>
              <w:rPr>
                <w:sz w:val="24"/>
                <w:szCs w:val="24"/>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Income/Expense</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Income/Expense</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Interest-earning deposits in banks</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381,107</w:t>
            </w:r>
          </w:p>
        </w:tc>
        <w:tc>
          <w:tcPr>
            <w:tcW w:w="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169,244</w:t>
            </w:r>
          </w:p>
        </w:tc>
        <w:tc>
          <w:tcPr>
            <w:tcW w:w="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23"/>
                <w:szCs w:val="23"/>
                <w:color w:val="auto"/>
                <w:vertAlign w:val="superscript"/>
              </w:rPr>
              <w:t>1,2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Loans held for investment and sale</w:t>
            </w:r>
            <w:r>
              <w:rPr>
                <w:rFonts w:ascii="Times New Roman" w:cs="Times New Roman" w:eastAsia="Times New Roman" w:hAnsi="Times New Roman"/>
                <w:sz w:val="23"/>
                <w:szCs w:val="23"/>
                <w:color w:val="auto"/>
                <w:vertAlign w:val="superscript"/>
              </w:rPr>
              <w:t>1,3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3,698,120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168,204</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3,211,941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140,538</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Total interest-earning assets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4,177,602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182,512</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3,488,266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149,206</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ind w:left="120"/>
              <w:spacing w:after="0" w:line="223" w:lineRule="exact"/>
              <w:rPr>
                <w:sz w:val="20"/>
                <w:szCs w:val="20"/>
                <w:color w:val="auto"/>
              </w:rPr>
            </w:pPr>
            <w:r>
              <w:rPr>
                <w:rFonts w:ascii="Times New Roman" w:cs="Times New Roman" w:eastAsia="Times New Roman" w:hAnsi="Times New Roman"/>
                <w:sz w:val="18"/>
                <w:szCs w:val="18"/>
                <w:color w:val="auto"/>
              </w:rPr>
              <w:t>Interest receivable and other assets, net</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101,825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89,499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4,279,427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3,577,765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Interest-bearing transaction accounts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295,933</w:t>
            </w:r>
          </w:p>
        </w:tc>
        <w:tc>
          <w:tcPr>
            <w:tcW w:w="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298,010</w:t>
            </w:r>
          </w:p>
        </w:tc>
        <w:tc>
          <w:tcPr>
            <w:tcW w:w="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Savings accounts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123,170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Money market accounts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1,688,753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1,512,349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Time accounts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690,506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342,978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Subordinated notes and other borrowings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2,874,593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72,672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2,355,005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62,984</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Demand accounts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961,903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837,604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payable and other liabilities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411,257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347,779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4,279,427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3,577,765</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3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4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Net interest spread</w:t>
            </w:r>
            <w:r>
              <w:rPr>
                <w:rFonts w:ascii="Times New Roman" w:cs="Times New Roman" w:eastAsia="Times New Roman" w:hAnsi="Times New Roman"/>
                <w:sz w:val="22"/>
                <w:szCs w:val="22"/>
                <w:color w:val="auto"/>
                <w:vertAlign w:val="superscript"/>
              </w:rPr>
              <w:t>5</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2.46 %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2.14 %</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44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interest income/margin</w:t>
            </w:r>
            <w:r>
              <w:rPr>
                <w:rFonts w:ascii="Times New Roman" w:cs="Times New Roman" w:eastAsia="Times New Roman" w:hAnsi="Times New Roman"/>
                <w:sz w:val="23"/>
                <w:szCs w:val="23"/>
                <w:color w:val="auto"/>
                <w:vertAlign w:val="superscript"/>
              </w:rPr>
              <w:t>6</w:t>
            </w:r>
          </w:p>
        </w:tc>
        <w:tc>
          <w:tcPr>
            <w:tcW w:w="2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gridSpan w:val="2"/>
          </w:tcPr>
          <w:p>
            <w:pPr>
              <w:spacing w:after="0"/>
              <w:rPr>
                <w:sz w:val="17"/>
                <w:szCs w:val="17"/>
                <w:color w:val="auto"/>
              </w:rPr>
            </w:pPr>
          </w:p>
        </w:tc>
        <w:tc>
          <w:tcPr>
            <w:tcW w:w="22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109,840</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3.52 %</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gridSpan w:val="2"/>
          </w:tcPr>
          <w:p>
            <w:pPr>
              <w:spacing w:after="0"/>
              <w:rPr>
                <w:sz w:val="17"/>
                <w:szCs w:val="17"/>
                <w:color w:val="auto"/>
              </w:rPr>
            </w:pPr>
          </w:p>
        </w:tc>
        <w:tc>
          <w:tcPr>
            <w:tcW w:w="2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86,222</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hanging="332"/>
        <w:spacing w:after="0" w:line="229" w:lineRule="auto"/>
        <w:tabs>
          <w:tab w:leader="none" w:pos="331"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income/expense is divided by the actual number of days in the period multiplied by the actual number of days in the year to correspond to stated interest rate terms, where applicable.</w:t>
      </w:r>
    </w:p>
    <w:p>
      <w:pPr>
        <w:spacing w:after="0" w:line="198" w:lineRule="exact"/>
        <w:rPr>
          <w:sz w:val="20"/>
          <w:szCs w:val="20"/>
          <w:color w:val="auto"/>
        </w:rPr>
      </w:pPr>
    </w:p>
    <w:p>
      <w:pPr>
        <w:ind w:left="340" w:hanging="332"/>
        <w:spacing w:after="0" w:line="229" w:lineRule="auto"/>
        <w:tabs>
          <w:tab w:leader="none" w:pos="331"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Yields on available-for-sale securities are calculated based on fair value. Investment security interest is earned monthly on a 30/360 day basis. Yields are not calculated on a tax-equivalent basis.</w:t>
      </w:r>
    </w:p>
    <w:p>
      <w:pPr>
        <w:spacing w:after="0" w:line="198" w:lineRule="exact"/>
        <w:rPr>
          <w:sz w:val="20"/>
          <w:szCs w:val="20"/>
          <w:color w:val="auto"/>
        </w:rPr>
      </w:pPr>
    </w:p>
    <w:p>
      <w:pPr>
        <w:ind w:left="340" w:hanging="332"/>
        <w:spacing w:after="0" w:line="229" w:lineRule="auto"/>
        <w:tabs>
          <w:tab w:leader="none" w:pos="331"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Non-accrual loans are included in total loan balances. No adjustment has been made for these loans in the yield calculations. Interest income on loans includes amortization of deferred loan fees, net of deferred loan costs. Allowance for credit losses is not included in total loan balances.</w:t>
      </w:r>
    </w:p>
    <w:p>
      <w:pPr>
        <w:sectPr>
          <w:pgSz w:w="11900" w:h="16838" w:orient="portrait"/>
          <w:cols w:equalWidth="0" w:num="1">
            <w:col w:w="11240"/>
          </w:cols>
          <w:pgMar w:left="320" w:top="1145" w:right="339" w:bottom="144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is included in interest receivable and other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spread represents the average yield earned on interest-earning assets minus the average rate paid on interest-bearing liabilities.</w:t>
      </w:r>
    </w:p>
    <w:p>
      <w:pPr>
        <w:spacing w:after="0" w:line="225" w:lineRule="exact"/>
        <w:rPr>
          <w:sz w:val="20"/>
          <w:szCs w:val="20"/>
          <w:color w:val="auto"/>
        </w:rPr>
      </w:pPr>
    </w:p>
    <w:p>
      <w:pPr>
        <w:ind w:left="20" w:hanging="8"/>
        <w:spacing w:after="0" w:line="282" w:lineRule="auto"/>
        <w:rPr>
          <w:sz w:val="20"/>
          <w:szCs w:val="20"/>
          <w:color w:val="auto"/>
        </w:rPr>
      </w:pPr>
      <w:r>
        <w:rPr>
          <w:rFonts w:ascii="Times New Roman" w:cs="Times New Roman" w:eastAsia="Times New Roman" w:hAnsi="Times New Roman"/>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200" w:lineRule="exact"/>
        <w:rPr>
          <w:sz w:val="20"/>
          <w:szCs w:val="20"/>
          <w:color w:val="auto"/>
        </w:rPr>
      </w:pPr>
    </w:p>
    <w:p>
      <w:pPr>
        <w:sectPr>
          <w:pgSz w:w="11900" w:h="16838" w:orient="portrait"/>
          <w:cols w:equalWidth="0" w:num="2">
            <w:col w:w="60" w:space="260"/>
            <w:col w:w="10920"/>
          </w:cols>
          <w:pgMar w:left="320" w:top="1145" w:right="339"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42" w:name="page43"/>
    <w:bookmarkEnd w:id="42"/>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Analysis of changes in interest income and expenses. </w:t>
      </w:r>
      <w:r>
        <w:rPr>
          <w:rFonts w:ascii="Times New Roman" w:cs="Times New Roman" w:eastAsia="Times New Roman" w:hAnsi="Times New Roman"/>
          <w:sz w:val="18"/>
          <w:szCs w:val="18"/>
          <w:color w:val="auto"/>
        </w:rPr>
        <w:t>Increases and decreases in interest income and interest expense result from changes in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(volume) of interest-earning assets and interest-bearing liabilities, as well as changes in average yields/rates. Table 6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6: Interest Income and Expense Change Analysis</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3980" w:type="dxa"/>
            <w:vAlign w:val="bottom"/>
            <w:tcBorders>
              <w:top w:val="single" w:sz="8" w:color="auto"/>
            </w:tcBorders>
          </w:tcPr>
          <w:p>
            <w:pPr>
              <w:spacing w:after="0"/>
              <w:rPr>
                <w:sz w:val="21"/>
                <w:szCs w:val="21"/>
                <w:color w:val="auto"/>
              </w:rPr>
            </w:pPr>
          </w:p>
        </w:tc>
        <w:tc>
          <w:tcPr>
            <w:tcW w:w="2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60" w:type="dxa"/>
            <w:vAlign w:val="bottom"/>
            <w:gridSpan w:val="6"/>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1400" w:type="dxa"/>
            <w:vAlign w:val="bottom"/>
          </w:tcPr>
          <w:p>
            <w:pPr>
              <w:spacing w:after="0"/>
              <w:rPr>
                <w:sz w:val="21"/>
                <w:szCs w:val="21"/>
                <w:color w:val="auto"/>
              </w:rPr>
            </w:pPr>
          </w:p>
        </w:tc>
      </w:tr>
      <w:tr>
        <w:trPr>
          <w:trHeight w:val="180"/>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60" w:type="dxa"/>
            <w:vAlign w:val="bottom"/>
            <w:gridSpan w:val="7"/>
          </w:tcPr>
          <w:p>
            <w:pPr>
              <w:jc w:val="center"/>
              <w:ind w:right="210"/>
              <w:spacing w:after="0" w:line="180" w:lineRule="exact"/>
              <w:rPr>
                <w:sz w:val="20"/>
                <w:szCs w:val="20"/>
                <w:color w:val="auto"/>
              </w:rPr>
            </w:pPr>
            <w:r>
              <w:rPr>
                <w:rFonts w:ascii="Times New Roman" w:cs="Times New Roman" w:eastAsia="Times New Roman" w:hAnsi="Times New Roman"/>
                <w:sz w:val="18"/>
                <w:szCs w:val="18"/>
                <w:b w:val="1"/>
                <w:bCs w:val="1"/>
                <w:color w:val="auto"/>
              </w:rPr>
              <w:t>September 30, 2025 compared to</w:t>
            </w:r>
          </w:p>
        </w:tc>
      </w:tr>
      <w:tr>
        <w:trPr>
          <w:trHeight w:val="238"/>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the nine months ended September 30, 2024</w:t>
            </w:r>
          </w:p>
        </w:tc>
      </w:tr>
      <w:tr>
        <w:trPr>
          <w:trHeight w:val="201"/>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170"/>
              <w:spacing w:after="0" w:line="201" w:lineRule="exact"/>
              <w:rPr>
                <w:sz w:val="20"/>
                <w:szCs w:val="20"/>
                <w:color w:val="auto"/>
              </w:rPr>
            </w:pPr>
            <w:r>
              <w:rPr>
                <w:rFonts w:ascii="Times New Roman" w:cs="Times New Roman" w:eastAsia="Times New Roman" w:hAnsi="Times New Roman"/>
                <w:sz w:val="18"/>
                <w:szCs w:val="18"/>
                <w:b w:val="1"/>
                <w:bCs w:val="1"/>
                <w:color w:val="auto"/>
              </w:rPr>
              <w:t>Total Increase</w:t>
            </w:r>
          </w:p>
        </w:tc>
      </w:tr>
      <w:tr>
        <w:trPr>
          <w:trHeight w:val="252"/>
        </w:trPr>
        <w:tc>
          <w:tcPr>
            <w:tcW w:w="2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50"/>
        </w:trPr>
        <w:tc>
          <w:tcPr>
            <w:tcW w:w="20" w:type="dxa"/>
            <w:vAlign w:val="bottom"/>
            <w:shd w:val="clear" w:color="auto" w:fill="CCEEFF"/>
          </w:tcPr>
          <w:p>
            <w:pPr>
              <w:spacing w:after="0"/>
              <w:rPr>
                <w:sz w:val="21"/>
                <w:szCs w:val="21"/>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Interest-earning deposits in banks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w:t>
            </w:r>
          </w:p>
        </w:tc>
      </w:tr>
      <w:tr>
        <w:trPr>
          <w:trHeight w:val="250"/>
        </w:trPr>
        <w:tc>
          <w:tcPr>
            <w:tcW w:w="2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 and sale</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27,666</w:t>
            </w:r>
          </w:p>
        </w:tc>
      </w:tr>
      <w:tr>
        <w:trPr>
          <w:trHeight w:val="250"/>
        </w:trPr>
        <w:tc>
          <w:tcPr>
            <w:tcW w:w="20" w:type="dxa"/>
            <w:vAlign w:val="bottom"/>
            <w:tcBorders>
              <w:bottom w:val="single" w:sz="8" w:color="CCEEFF"/>
            </w:tcBorders>
          </w:tcPr>
          <w:p>
            <w:pPr>
              <w:spacing w:after="0"/>
              <w:rPr>
                <w:sz w:val="21"/>
                <w:szCs w:val="21"/>
                <w:color w:val="auto"/>
              </w:rPr>
            </w:pPr>
          </w:p>
        </w:tc>
        <w:tc>
          <w:tcPr>
            <w:tcW w:w="62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33,306</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50"/>
        </w:trPr>
        <w:tc>
          <w:tcPr>
            <w:tcW w:w="2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63"/>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50"/>
        </w:trPr>
        <w:tc>
          <w:tcPr>
            <w:tcW w:w="2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accounts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9,409</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and other borrowings</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50"/>
        </w:trPr>
        <w:tc>
          <w:tcPr>
            <w:tcW w:w="20" w:type="dxa"/>
            <w:vAlign w:val="bottom"/>
            <w:tcBorders>
              <w:bottom w:val="single" w:sz="8" w:color="CCEEFF"/>
            </w:tcBorders>
          </w:tcPr>
          <w:p>
            <w:pPr>
              <w:spacing w:after="0"/>
              <w:rPr>
                <w:sz w:val="21"/>
                <w:szCs w:val="21"/>
                <w:color w:val="auto"/>
              </w:rPr>
            </w:pPr>
          </w:p>
        </w:tc>
        <w:tc>
          <w:tcPr>
            <w:tcW w:w="62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9,688</w:t>
            </w:r>
          </w:p>
        </w:tc>
      </w:tr>
      <w:tr>
        <w:trPr>
          <w:trHeight w:val="282"/>
        </w:trPr>
        <w:tc>
          <w:tcPr>
            <w:tcW w:w="20" w:type="dxa"/>
            <w:vAlign w:val="bottom"/>
            <w:tcBorders>
              <w:bottom w:val="single" w:sz="8" w:color="CCEEFF"/>
            </w:tcBorders>
            <w:shd w:val="clear" w:color="auto" w:fill="CCEEFF"/>
          </w:tcPr>
          <w:p>
            <w:pPr>
              <w:spacing w:after="0"/>
              <w:rPr>
                <w:sz w:val="24"/>
                <w:szCs w:val="24"/>
                <w:color w:val="auto"/>
              </w:rPr>
            </w:pPr>
          </w:p>
        </w:tc>
        <w:tc>
          <w:tcPr>
            <w:tcW w:w="626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Changes in net interest income/margin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during the nine months ended September 30, 2025 increased to $109.8 million compared to $86.2 million during the nine months ended September 30, 2024. Net interest margin totaled 3.52% for the nine months ended September 30, 2025, compared to 3.30% for the same period of the prior year. The increase in net interest income is primarily attributable to an additional $33.3 million in interest income, mainly due to a $486.2 million, or 15.14%, increase in the average balance of loans and a 24 basis point improvement in the average yield on loans during the nine months ended September 30, 2025 compared to the same period of the prior year. The increase in interest income was partially offset by an additional $9.7 million in interest expense compared to the same period of the prior year. The increase in interest expense was primarily due to an increase in the average balance of interest-bearing deposits of $524.1 million, or 23.02%, compared to the same period of the prior year. The cost of interest-bearing deposits decreased 18 basis points. In addition, the average balance of non-interest-bearing deposits increased by $124.3 million, or 14.84%, compared to the same period of the prior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credit losses is based on management’s assessment of the adequacy of our allowance for credit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credit losses is charged against earnings in order to maintain our allowance for credit losses, which reflects management’s best estimate of expected life of loan losses in our loan portfolio at the balance sheet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September 30, 2025 compared to three months ended September 30,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$2.5 million provision for credit losses in the third quarter of 2025, compared to a $2.8 million provision for credit losses for the same period of 2024. The decrease in the provision for credit losses in the third quarter of 2025 is mainly due to loan growth and an overall increase in loss rates related to the annual CECL model refresh. These increases were partially offset by lower net charge-offs recorded in the third quarter of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auto"/>
        </w:rPr>
        <w:t>Nine months ended September 30, 2025 compared to nine months ended September 30,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$6.9 million provision for credit losses in the first nine months of 2025, as compared to a $5.7 million provision for credit losses for the same period of 2024. The increase in the provision for credit losses recorded during the first nine months of 2025 is mainly due to increases in loan growth and an overall increase in loss rates related to the annual CECL model refresh.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income is a secondary contributor to our net income, following interest income. Non-interest income consists of service charges on deposit accounts, net gain on sale of securities, gain on sale of loans, loan-related fees, FHLB stock dividends, earnings on BOLI, and other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September 30, 2025 compared to three months ended September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7 details the components of non-interest income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7: Non-interest Income</w:t>
            </w:r>
          </w:p>
        </w:tc>
        <w:tc>
          <w:tcPr>
            <w:tcW w:w="340" w:type="dxa"/>
            <w:vAlign w:val="bottom"/>
          </w:tcPr>
          <w:p>
            <w:pPr>
              <w:spacing w:after="0"/>
              <w:rPr>
                <w:sz w:val="17"/>
                <w:szCs w:val="17"/>
                <w:color w:val="auto"/>
              </w:rPr>
            </w:pPr>
          </w:p>
        </w:tc>
        <w:tc>
          <w:tcPr>
            <w:tcW w:w="24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20" w:type="dxa"/>
            <w:vAlign w:val="bottom"/>
            <w:tcBorders>
              <w:top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3"/>
            <w:vMerge w:val="continue"/>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on sale of loans</w:t>
            </w:r>
          </w:p>
        </w:tc>
        <w:tc>
          <w:tcPr>
            <w:tcW w:w="3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Loan-related fees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FHLB stock dividends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on BOLI</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3,633.33 %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of loans. </w:t>
      </w:r>
      <w:r>
        <w:rPr>
          <w:rFonts w:ascii="Times New Roman" w:cs="Times New Roman" w:eastAsia="Times New Roman" w:hAnsi="Times New Roman"/>
          <w:sz w:val="18"/>
          <w:szCs w:val="18"/>
          <w:color w:val="auto"/>
        </w:rPr>
        <w:t>The decrease related to an overall decline in the volume of loans sold due to a strategic, intentional reduction in originations of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for sale. During the three months ended September 30, 2025, no loans were sold, as compared to approximately $4.4 million of loans sold with an effective yield of 7.03% during the three months ended September 30, 2024.</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Loan-related fees. </w:t>
      </w:r>
      <w:r>
        <w:rPr>
          <w:rFonts w:ascii="Times New Roman" w:cs="Times New Roman" w:eastAsia="Times New Roman" w:hAnsi="Times New Roman"/>
          <w:sz w:val="18"/>
          <w:szCs w:val="18"/>
          <w:color w:val="auto"/>
        </w:rPr>
        <w:t>The increase resulted primarily from an increase of $0.3 million in swap referral fees recognized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as compared to the three months ended September 30, 2024.</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The increase related primarily to an overall improvement in earnings related to equity investments in venture-backed funds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as compared to the three months ended September 30, 2024.</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7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Nine months ended September 30, 2025 compared to nine months ended September 30, 2024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5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Table 8 details the components of non-interest income for the periods indicated.</w:t>
            </w:r>
          </w:p>
        </w:tc>
        <w:tc>
          <w:tcPr>
            <w:tcW w:w="18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8: Non-interest Income</w:t>
            </w:r>
          </w:p>
        </w:tc>
        <w:tc>
          <w:tcPr>
            <w:tcW w:w="360" w:type="dxa"/>
            <w:vAlign w:val="bottom"/>
          </w:tcPr>
          <w:p>
            <w:pPr>
              <w:spacing w:after="0"/>
              <w:rPr>
                <w:sz w:val="24"/>
                <w:szCs w:val="24"/>
                <w:color w:val="auto"/>
              </w:rPr>
            </w:pPr>
          </w:p>
        </w:tc>
        <w:tc>
          <w:tcPr>
            <w:tcW w:w="2360" w:type="dxa"/>
            <w:vAlign w:val="bottom"/>
            <w:gridSpan w:val="4"/>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20" w:type="dxa"/>
            <w:vAlign w:val="bottom"/>
            <w:tcBorders>
              <w:top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vMerge w:val="continue"/>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on sale of loans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Loan-related fees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FHLB stock dividends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on BOLI</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140.56 %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Gain on sale of loans. </w:t>
      </w:r>
      <w:r>
        <w:rPr>
          <w:rFonts w:ascii="Times New Roman" w:cs="Times New Roman" w:eastAsia="Times New Roman" w:hAnsi="Times New Roman"/>
          <w:sz w:val="18"/>
          <w:szCs w:val="18"/>
          <w:color w:val="auto"/>
        </w:rPr>
        <w:t>The decrease related primarily to an overall decline in the volume of loans sold due to a strategic, intentional reduction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originations of loans held for sale, partially offset by an improvement in the effective yield of loans sold period-over-period. During the nine months ended September 30, 2025, approximately $3.3 million of loans were sold with an effective yield of 7.41%, as compared to approximately $16.4 million of loans sold with an effective yield of 6.87% during the nine months ended September 30,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Loan-related fees</w:t>
      </w:r>
      <w:r>
        <w:rPr>
          <w:rFonts w:ascii="Times New Roman" w:cs="Times New Roman" w:eastAsia="Times New Roman" w:hAnsi="Times New Roman"/>
          <w:sz w:val="18"/>
          <w:szCs w:val="18"/>
          <w:color w:val="auto"/>
        </w:rPr>
        <w:t>. The increase related primarily to a $0.3 million increase in swap fees and a $0.1 million increase in credit card-related fees.</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Earnings on BOLI</w:t>
      </w:r>
      <w:r>
        <w:rPr>
          <w:rFonts w:ascii="Times New Roman" w:cs="Times New Roman" w:eastAsia="Times New Roman" w:hAnsi="Times New Roman"/>
          <w:sz w:val="18"/>
          <w:szCs w:val="18"/>
          <w:color w:val="auto"/>
        </w:rPr>
        <w:t>. The increase related primarily to an increase in BOLI balances between September 30, 2024 and September 30, 2025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of a new policy.</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The increase resulted primarily from a $1.0 million improvement in earnings related to equity investments in venture-backed funds,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a decrease in income received on equity investments in venture-backed funds from a gain of $0.2 million for the nine months ended September 30, 2024 to a loss of $0.1 million for the nine months ended September 30,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expense includes salaries and employee benefits, occupancy and equipment, data processing and software, FDIC insurance, professional services, advertising and promotional, loan-related expenses, and other operating expenses. In evaluating our level of non-interest expense, we closely monitor the Company’s efficiency ratio, which is calculated as non-interest expense divided by the sum of net interest income and non-interest income. We constantly seek to identify ways to streamline our business and operate more efficiently in order to reduce our non-interest expense over time as a percentage of our revenue, while continuing to achieve growth in total loans and assets.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the past several years, we have continued to invest significant resources in personnel, technology, and infrastructure. As we execute initiatives based on growth, we expect non-interest expense to continue to grow. Non-interest expense has increased throughout the periods presented below; however, we expect our efficiency ratio will continue to improve going forward due, in part, to our past investment in infrastructure.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7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Three months ended September 30, 2025 compared to three months ended September 30, 2024</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5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Table 9 details the components of non-interest expense for the periods indicated.</w:t>
            </w:r>
          </w:p>
        </w:tc>
        <w:tc>
          <w:tcPr>
            <w:tcW w:w="3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9: Non-interest Expense</w:t>
            </w:r>
          </w:p>
        </w:tc>
        <w:tc>
          <w:tcPr>
            <w:tcW w:w="340" w:type="dxa"/>
            <w:vAlign w:val="bottom"/>
          </w:tcPr>
          <w:p>
            <w:pPr>
              <w:spacing w:after="0"/>
              <w:rPr>
                <w:sz w:val="24"/>
                <w:szCs w:val="24"/>
                <w:color w:val="auto"/>
              </w:rPr>
            </w:pPr>
          </w:p>
        </w:tc>
        <w:tc>
          <w:tcPr>
            <w:tcW w:w="3020" w:type="dxa"/>
            <w:vAlign w:val="bottom"/>
            <w:gridSpan w:val="6"/>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80" w:type="dxa"/>
            <w:vAlign w:val="bottom"/>
            <w:tcBorders>
              <w:top w:val="single" w:sz="8" w:color="auto"/>
            </w:tcBorders>
          </w:tcPr>
          <w:p>
            <w:pPr>
              <w:spacing w:after="0"/>
              <w:rPr>
                <w:sz w:val="21"/>
                <w:szCs w:val="21"/>
                <w:color w:val="auto"/>
              </w:rPr>
            </w:pPr>
          </w:p>
        </w:tc>
        <w:tc>
          <w:tcPr>
            <w:tcW w:w="2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20" w:type="dxa"/>
            <w:vAlign w:val="bottom"/>
            <w:gridSpan w:val="6"/>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5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Occupancy and equipment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processing and software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FDIC insurance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Advertising and promotional</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Loan-related expenses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Salaries and employee benefits. </w:t>
      </w:r>
      <w:r>
        <w:rPr>
          <w:rFonts w:ascii="Times New Roman" w:cs="Times New Roman" w:eastAsia="Times New Roman" w:hAnsi="Times New Roman"/>
          <w:sz w:val="18"/>
          <w:szCs w:val="18"/>
          <w:color w:val="auto"/>
        </w:rPr>
        <w:t>The increase related primarily to: (i) a $1.7 million increase in salaries, benefits, and bonus expense, mainly related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13.33% increase in headcount between September 30, 2024 and September 30, 2025; and (ii) a $0.5 million increase in commissions paid. This increase was partially offset by a $0.5 million increase in deferred loan origination costs due to a greater number of loan originations, net of purchased consumer loans, period-over-period.</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Data processing and software. </w:t>
      </w:r>
      <w:r>
        <w:rPr>
          <w:rFonts w:ascii="Times New Roman" w:cs="Times New Roman" w:eastAsia="Times New Roman" w:hAnsi="Times New Roman"/>
          <w:sz w:val="18"/>
          <w:szCs w:val="18"/>
          <w:color w:val="auto"/>
        </w:rPr>
        <w:t>The increase was primarily due to: (i) increased usage of our digital banking platform; (ii) higher transaction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increased number of loan and deposit accounts; and (iii) an increased number of licenses required for new users on our loan origination and documentation system.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The increase was primarily due to a $0.1 million increase in fees paid for business development consulting services.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Advertising and promotional. </w:t>
      </w:r>
      <w:r>
        <w:rPr>
          <w:rFonts w:ascii="Times New Roman" w:cs="Times New Roman" w:eastAsia="Times New Roman" w:hAnsi="Times New Roman"/>
          <w:sz w:val="18"/>
          <w:szCs w:val="18"/>
          <w:color w:val="auto"/>
        </w:rPr>
        <w:t>The increase related primarily to additional expenses incurred to support the expansion of the Bank’s business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teams, including a $0.1 million increase in expenses related to sponsored events and partnerships and a $0.1 million increase related to client and prospective client development expenses.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expenses. </w:t>
      </w:r>
      <w:r>
        <w:rPr>
          <w:rFonts w:ascii="Times New Roman" w:cs="Times New Roman" w:eastAsia="Times New Roman" w:hAnsi="Times New Roman"/>
          <w:sz w:val="18"/>
          <w:szCs w:val="18"/>
          <w:color w:val="auto"/>
        </w:rPr>
        <w:t>The increase was primarily due to: (i) a $0.1 million increase in administrative charges, including subscription services and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(ii) a $0.1 million increase in IntraFi Network fees resulting from an overall increase in balances carried in the network; and (iii) a $0.1 million increase in armored car and courier expenses.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75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Nine months ended September 30, 2025 compared to nine months ended September 30, 2024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5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Table 10 details the components of non-interest expense for the periods indicated.</w:t>
            </w:r>
          </w:p>
        </w:tc>
        <w:tc>
          <w:tcPr>
            <w:tcW w:w="18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10: Non-interest Expense</w:t>
            </w:r>
          </w:p>
        </w:tc>
        <w:tc>
          <w:tcPr>
            <w:tcW w:w="360" w:type="dxa"/>
            <w:vAlign w:val="bottom"/>
          </w:tcPr>
          <w:p>
            <w:pPr>
              <w:spacing w:after="0"/>
              <w:rPr>
                <w:sz w:val="24"/>
                <w:szCs w:val="24"/>
                <w:color w:val="auto"/>
              </w:rPr>
            </w:pPr>
          </w:p>
        </w:tc>
        <w:tc>
          <w:tcPr>
            <w:tcW w:w="2320" w:type="dxa"/>
            <w:vAlign w:val="bottom"/>
            <w:gridSpan w:val="4"/>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80" w:type="dxa"/>
            <w:vAlign w:val="bottom"/>
            <w:tcBorders>
              <w:top w:val="single" w:sz="8" w:color="auto"/>
            </w:tcBorders>
          </w:tcPr>
          <w:p>
            <w:pPr>
              <w:spacing w:after="0"/>
              <w:rPr>
                <w:sz w:val="21"/>
                <w:szCs w:val="21"/>
                <w:color w:val="auto"/>
              </w:rPr>
            </w:pPr>
          </w:p>
        </w:tc>
        <w:tc>
          <w:tcPr>
            <w:tcW w:w="2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vMerge w:val="continue"/>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23,349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Occupancy and equipment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processing and software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FDIC insurance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Advertising and promotional</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Loan-related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Salaries and employee benefits. </w:t>
      </w:r>
      <w:r>
        <w:rPr>
          <w:rFonts w:ascii="Times New Roman" w:cs="Times New Roman" w:eastAsia="Times New Roman" w:hAnsi="Times New Roman"/>
          <w:sz w:val="18"/>
          <w:szCs w:val="18"/>
          <w:color w:val="auto"/>
        </w:rPr>
        <w:t>The increase was primarily a result of: (i) a $4.6 million increase in salaries, benefits, and bonus expense, mainly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13.33% increase in headcount between September 30, 2024 and September 30, 2025; and (ii) a $0.7 million increase in commission expense. This increase was partially offset by a $0.9 million increase in deferred loan origination costs due to greater loan originations, net of purchased consumer loans, period-over-period.</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Data processing and software. </w:t>
      </w:r>
      <w:r>
        <w:rPr>
          <w:rFonts w:ascii="Times New Roman" w:cs="Times New Roman" w:eastAsia="Times New Roman" w:hAnsi="Times New Roman"/>
          <w:sz w:val="18"/>
          <w:szCs w:val="18"/>
          <w:color w:val="auto"/>
        </w:rPr>
        <w:t>The increase was primarily due to: (i) increased usage of our digital banking platform; (ii) higher transaction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increased number of loan and deposit accounts; and (iii) an increased number of licenses required for new users on our loan origination and documentation system.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FDIC insurance. </w:t>
      </w:r>
      <w:r>
        <w:rPr>
          <w:rFonts w:ascii="Times New Roman" w:cs="Times New Roman" w:eastAsia="Times New Roman" w:hAnsi="Times New Roman"/>
          <w:sz w:val="18"/>
          <w:szCs w:val="18"/>
          <w:color w:val="auto"/>
        </w:rPr>
        <w:t>The increase was primarily due to a $0.8 million increase in the assessment base period-over-period.</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The increase was primarily due to $0.1 million in fees paid for compensation consulting services that did not occur during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of 2024 and a $0.2 million increase in expenses related to business development consulting services.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Advertising and promotional. </w:t>
      </w:r>
      <w:r>
        <w:rPr>
          <w:rFonts w:ascii="Times New Roman" w:cs="Times New Roman" w:eastAsia="Times New Roman" w:hAnsi="Times New Roman"/>
          <w:sz w:val="18"/>
          <w:szCs w:val="18"/>
          <w:color w:val="auto"/>
        </w:rPr>
        <w:t>The increase was primarily due to a $0.3 million increase in expenses related to business development and a $0.1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expenses related to sponsored events and partnerships.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Loan-related expenses. </w:t>
      </w:r>
      <w:r>
        <w:rPr>
          <w:rFonts w:ascii="Times New Roman" w:cs="Times New Roman" w:eastAsia="Times New Roman" w:hAnsi="Times New Roman"/>
          <w:sz w:val="18"/>
          <w:szCs w:val="18"/>
          <w:color w:val="auto"/>
        </w:rPr>
        <w:t>The increase was primarily related to a $0.1 million increase in loan legal fees and a $0.1 million increase in expenses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inspections.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expenses. </w:t>
      </w:r>
      <w:r>
        <w:rPr>
          <w:rFonts w:ascii="Times New Roman" w:cs="Times New Roman" w:eastAsia="Times New Roman" w:hAnsi="Times New Roman"/>
          <w:sz w:val="18"/>
          <w:szCs w:val="18"/>
          <w:color w:val="auto"/>
        </w:rPr>
        <w:t>The increase was primarily due to: (i) a $0.2 million increase in travel expense; (ii) a $0.1 million increase in expenses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conferences, training, and professional association membership; (iii) a $0.1 million increase in administrative expenses, including subscription services and bank charges; (iv) a $0.1 million increase in armored car and courier services; and (v) a $0.1 million increase in IntraFi Network fees resulting from an overall increase in balances carried in the network.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the President signed H.R. 1, the “One Big Beautiful Bill Act,”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The Act also made certain changes to the deductibility of the cost of meals and charitable contributions that are effective for tax years beginning after December 31, 2025. These changes were not reflected in the income tax provision for the period ended September 30, 2025. The Company evaluated the impact on future periods and the legislation is not expected to have a significant impact on the Company's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auto"/>
        </w:rPr>
        <w:t>Three months ended September 30, 2025 compared to three months ended September 30,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was $5.9 million for the three months ended September 30, 2025, a $1.6 million increase from the three months ended September 30, 2024. This increase was primarily driven by an increase in taxable income. The effective tax rates were 26.49% and 28.21% for the three months ended September 30, 2025 and September 30,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Nine months ended September 30, 2025 compared to nine months ended September 30, 2024</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provision for income taxes was $16.8 million for the nine months ended September 30, 2025, as compared to $13.0 million for the nine months ended September 30, 2024. The increase was primarily due to an overall increase in pre-tax income period-over-period. This increase was partially offset by a net $0.2 million reduction to the provision recorded during the six months ended June 30, 2025. This adjustment related to a tax law change for the state of California effective as of June 30, 2025, which requires a transition from a three-factor apportionment formula to a single-sales-factor formula for determining state income tax. As such, the Company recorded a net benefit of approximately $0.9 million relating to the current year provision, which was partially offset by a $0.7 million expense relating to the remeasuring of the deferred tax assets and liabilities as of June 30, 2025. No such adjustment was recorded during the nine months ended September 30, 2024. The effective tax rates for the nine months ended September 30, 2025 and 2024 were 27.60% and 28.66%,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SUMMARY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compares our financial condition as of September 30, 2025 to our financial condition as of December 31, 2024. Table 11 summarizes selected components of our unaudited consolidated balance sheets as of September 30, 2025 and December 31,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11: Selected Components of Consolidated Balance Sheets (Unaudited)</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66"/>
        </w:trPr>
        <w:tc>
          <w:tcPr>
            <w:tcW w:w="20" w:type="dxa"/>
            <w:vAlign w:val="bottom"/>
          </w:tcPr>
          <w:p>
            <w:pPr>
              <w:spacing w:after="0"/>
              <w:rPr>
                <w:sz w:val="24"/>
                <w:szCs w:val="24"/>
                <w:color w:val="auto"/>
              </w:rPr>
            </w:pPr>
          </w:p>
        </w:tc>
        <w:tc>
          <w:tcPr>
            <w:tcW w:w="5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5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24"/>
                <w:szCs w:val="24"/>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6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4,641,770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4,053,278</w:t>
            </w:r>
          </w:p>
        </w:tc>
      </w:tr>
      <w:tr>
        <w:trPr>
          <w:trHeight w:val="230"/>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352,343</w:t>
            </w: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100,914</w:t>
            </w:r>
          </w:p>
        </w:tc>
      </w:tr>
      <w:tr>
        <w:trPr>
          <w:trHeight w:val="229"/>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3,887,259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3,532,686</w:t>
            </w: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4,103,438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3,557,994</w:t>
            </w:r>
          </w:p>
        </w:tc>
      </w:tr>
      <w:tr>
        <w:trPr>
          <w:trHeight w:val="230"/>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Subordinated notes, net</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73,895</w:t>
            </w: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396,624</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2025, total assets were $4.6 billion, an increase of $588.5 million from $4.1 billion at December 31, 2024. The increase was primarily comprised of a $354.6 million increase in total loans held for investment and a $228.1 million increase in cash and cash equivalents. The $354.6 million increase in total loans held for investment between December 31, 2024 and September 30, 2025 was a result of $931.8 million in loan originations and advances, partially offset by $219.8 million and $357.5 million in loan payoffs and paydowns, respectively. The $354.6 million increase in total loans held for investment included $70.7 million in purchases of loans within the consumer concentration of the loan portfolio.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cash and cash equivalents were $580.4 million at September 30, 2025, an increase of $228.1 million from $352.3 million at December 31, 2024. The increase in cash and cash equivalents primarily resulted from a $217.8 million increase in interest-bearing deposits in banks.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investment portfolio is primarily comprised of U.S. government agency securities, mortgage-backed securities, and obligations of states and political subdivisions, which are high-quality liquid investments. We manage our investment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8"/>
          <w:szCs w:val="18"/>
          <w:color w:val="auto"/>
        </w:rPr>
        <w:t>portfolio according to written investment policies approved by our board of directors. Our investment strategy is designed to maximize earnings while maintaining liquidity with minimal credit and interest rate risk. Most of our securities are classified as available-for-sale, although we have one long-term, fixed rate municipal security classified as held-to-maturity.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total securities available-for-sale and held-to-maturity amounted to $97.8 million at September 30, 2025 and $100.9 million at December 31, 2024, representing a decrease of $3.1 million during the same period. The decrease to available-for-sale securities was primarily due to maturities, prepayments, and calls of $7.6 million, partially offset by a purchase of a $1.0 million security and an unrealized gain on securities of $4.1 million, with the remainder of the change due to amortization of premiums. For the nine months ended September 30, 2025, other comprehensive gain was $2.5 million, primarily due to rate changes and other market conditions on securities during that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12 presents the carrying value of our investment portfolio as of the dates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12: Carrying Value of Investment Securities</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gridSpan w:val="5"/>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Borders>
              <w:top w:val="single" w:sz="8" w:color="auto"/>
            </w:tcBorders>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5"/>
            <w:vMerge w:val="continue"/>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Pr>
          <w:p>
            <w:pPr>
              <w:spacing w:after="0"/>
              <w:rPr>
                <w:sz w:val="19"/>
                <w:szCs w:val="19"/>
                <w:color w:val="auto"/>
              </w:rPr>
            </w:pPr>
          </w:p>
        </w:tc>
        <w:tc>
          <w:tcPr>
            <w:tcW w:w="300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5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5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(at fair value):</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7.85 %</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available-for-sale</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95,635</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98,194</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 (at amortized cost):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9" w:name="page50"/>
    <w:bookmarkEnd w:id="49"/>
    <w:p>
      <w:pPr>
        <w:spacing w:after="0" w:line="282" w:lineRule="auto"/>
        <w:rPr>
          <w:sz w:val="20"/>
          <w:szCs w:val="20"/>
          <w:color w:val="auto"/>
        </w:rPr>
      </w:pPr>
      <w:r>
        <w:rPr>
          <w:rFonts w:ascii="Times New Roman" w:cs="Times New Roman" w:eastAsia="Times New Roman" w:hAnsi="Times New Roman"/>
          <w:sz w:val="18"/>
          <w:szCs w:val="18"/>
          <w:color w:val="auto"/>
        </w:rPr>
        <w:t>Table 13 presents the carrying value of our securities by their stated maturities, as well as the weighted average yields for each maturity range, as of the dates shown.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Table 13: Stated Maturities and Weighted Average Yields - Investment Securities</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6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Due in one year or less</w:t>
            </w:r>
          </w:p>
        </w:tc>
        <w:tc>
          <w:tcPr>
            <w:tcW w:w="140" w:type="dxa"/>
            <w:vAlign w:val="bottom"/>
          </w:tcPr>
          <w:p>
            <w:pPr>
              <w:spacing w:after="0"/>
              <w:rPr>
                <w:sz w:val="18"/>
                <w:szCs w:val="18"/>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Due after one year</w:t>
            </w:r>
          </w:p>
        </w:tc>
        <w:tc>
          <w:tcPr>
            <w:tcW w:w="120" w:type="dxa"/>
            <w:vAlign w:val="bottom"/>
          </w:tcPr>
          <w:p>
            <w:pPr>
              <w:spacing w:after="0"/>
              <w:rPr>
                <w:sz w:val="18"/>
                <w:szCs w:val="18"/>
                <w:color w:val="auto"/>
              </w:rPr>
            </w:pPr>
          </w:p>
        </w:tc>
        <w:tc>
          <w:tcPr>
            <w:tcW w:w="17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Due after five years</w:t>
            </w:r>
          </w:p>
        </w:tc>
        <w:tc>
          <w:tcPr>
            <w:tcW w:w="140" w:type="dxa"/>
            <w:vAlign w:val="bottom"/>
          </w:tcPr>
          <w:p>
            <w:pPr>
              <w:spacing w:after="0"/>
              <w:rPr>
                <w:sz w:val="18"/>
                <w:szCs w:val="18"/>
                <w:color w:val="auto"/>
              </w:rPr>
            </w:pPr>
          </w:p>
        </w:tc>
        <w:tc>
          <w:tcPr>
            <w:tcW w:w="176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Due after ten years</w:t>
            </w:r>
          </w:p>
        </w:tc>
        <w:tc>
          <w:tcPr>
            <w:tcW w:w="100" w:type="dxa"/>
            <w:vAlign w:val="bottom"/>
          </w:tcPr>
          <w:p>
            <w:pPr>
              <w:spacing w:after="0"/>
              <w:rPr>
                <w:sz w:val="18"/>
                <w:szCs w:val="18"/>
                <w:color w:val="auto"/>
              </w:rPr>
            </w:pPr>
          </w:p>
        </w:tc>
        <w:tc>
          <w:tcPr>
            <w:tcW w:w="1700" w:type="dxa"/>
            <w:vAlign w:val="bottom"/>
            <w:gridSpan w:val="3"/>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gridSpan w:val="5"/>
            <w:vMerge w:val="continue"/>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through five years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through ten years</w:t>
            </w:r>
          </w:p>
        </w:tc>
        <w:tc>
          <w:tcPr>
            <w:tcW w:w="140" w:type="dxa"/>
            <w:vAlign w:val="bottom"/>
          </w:tcPr>
          <w:p>
            <w:pPr>
              <w:spacing w:after="0"/>
              <w:rPr>
                <w:sz w:val="21"/>
                <w:szCs w:val="21"/>
                <w:color w:val="auto"/>
              </w:rPr>
            </w:pPr>
          </w:p>
        </w:tc>
        <w:tc>
          <w:tcPr>
            <w:tcW w:w="1760" w:type="dxa"/>
            <w:vAlign w:val="bottom"/>
            <w:gridSpan w:val="4"/>
            <w:vMerge w:val="continue"/>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vMerge w:val="restart"/>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7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460"/>
        </w:trPr>
        <w:tc>
          <w:tcPr>
            <w:tcW w:w="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agency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Mortgage-backed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Collateralized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mortgage</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20" w:type="dxa"/>
            <w:vAlign w:val="bottom"/>
            <w:gridSpan w:val="2"/>
          </w:tcPr>
          <w:p>
            <w:pPr>
              <w:ind w:left="340"/>
              <w:spacing w:after="0" w:line="191" w:lineRule="exact"/>
              <w:rPr>
                <w:sz w:val="20"/>
                <w:szCs w:val="20"/>
                <w:color w:val="auto"/>
              </w:rPr>
            </w:pPr>
            <w:r>
              <w:rPr>
                <w:rFonts w:ascii="Times New Roman" w:cs="Times New Roman" w:eastAsia="Times New Roman" w:hAnsi="Times New Roman"/>
                <w:sz w:val="18"/>
                <w:szCs w:val="18"/>
                <w:color w:val="auto"/>
              </w:rPr>
              <w:t>Total available-for-</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sale</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95,635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tcPr>
          <w:p>
            <w:pPr>
              <w:spacing w:after="0"/>
              <w:rPr>
                <w:sz w:val="22"/>
                <w:szCs w:val="22"/>
                <w:color w:val="auto"/>
              </w:rPr>
            </w:pPr>
          </w:p>
        </w:tc>
        <w:tc>
          <w:tcPr>
            <w:tcW w:w="1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81"/>
        </w:trPr>
        <w:tc>
          <w:tcPr>
            <w:tcW w:w="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U.S. government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5.65 %</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agency securities</w:t>
            </w:r>
          </w:p>
        </w:tc>
        <w:tc>
          <w:tcPr>
            <w:tcW w:w="16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660" w:type="dxa"/>
            <w:vAlign w:val="bottom"/>
            <w:gridSpan w:val="2"/>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Mortgage-backed</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50,062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50,570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ind w:left="160"/>
              <w:spacing w:after="0" w:line="180" w:lineRule="exact"/>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37,137</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Collateralized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2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mortgage</w:t>
            </w:r>
          </w:p>
        </w:tc>
        <w:tc>
          <w:tcPr>
            <w:tcW w:w="1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6"/>
                <w:szCs w:val="16"/>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20" w:type="dxa"/>
            <w:vAlign w:val="bottom"/>
            <w:gridSpan w:val="2"/>
          </w:tcPr>
          <w:p>
            <w:pPr>
              <w:ind w:left="340"/>
              <w:spacing w:after="0" w:line="156" w:lineRule="exact"/>
              <w:rPr>
                <w:sz w:val="20"/>
                <w:szCs w:val="20"/>
                <w:color w:val="auto"/>
              </w:rPr>
            </w:pPr>
            <w:r>
              <w:rPr>
                <w:rFonts w:ascii="Times New Roman" w:cs="Times New Roman" w:eastAsia="Times New Roman" w:hAnsi="Times New Roman"/>
                <w:sz w:val="18"/>
                <w:szCs w:val="18"/>
                <w:color w:val="auto"/>
              </w:rPr>
              <w:t>Total available-for-</w:t>
            </w: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3"/>
                <w:szCs w:val="13"/>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84,778</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98,194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sale</w:t>
            </w: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2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100,914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Weighted average yield for securities available-for-sale is the projected yield to maturity given current cash flow projections for U.S. government agency securities, mortgage-backed securities, and collateralized mortgage obligations. For callable municipal securities and corporate bonds, weighted average yield is a yield to worst. Weighted average yield for securities held-to-maturity is the stated coupon of the bond.</w:t>
      </w:r>
    </w:p>
    <w:p>
      <w:pPr>
        <w:sectPr>
          <w:pgSz w:w="11900" w:h="16838" w:orient="portrait"/>
          <w:cols w:equalWidth="0" w:num="1">
            <w:col w:w="11240"/>
          </w:cols>
          <w:pgMar w:left="320" w:top="1147" w:right="33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Loan Portfolio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loan portfolio is our largest class of interest-earning assets and typically provides higher yields than other types of interest-earning assets. Associated with the higher yields is an inherent amount of credit risk, which we attempt to mitigate with strong underwriting standards. As of September 30, 2025 and December 31, 2024, our total loans amounted to $3.9 billion and $3.5 billion, respectively. Table 14 presents the balance and associated percentage of each major product type within our portfolio as of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14: Loans Outstanding</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57"/>
        </w:trPr>
        <w:tc>
          <w:tcPr>
            <w:tcW w:w="20" w:type="dxa"/>
            <w:vAlign w:val="bottom"/>
            <w:tcBorders>
              <w:bottom w:val="single" w:sz="8" w:color="auto"/>
            </w:tcBorders>
          </w:tcPr>
          <w:p>
            <w:pPr>
              <w:spacing w:after="0"/>
              <w:rPr>
                <w:sz w:val="22"/>
                <w:szCs w:val="22"/>
                <w:color w:val="auto"/>
              </w:rPr>
            </w:pPr>
          </w:p>
        </w:tc>
        <w:tc>
          <w:tcPr>
            <w:tcW w:w="4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of Loans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of Loans</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3,144,303</w:t>
            </w:r>
          </w:p>
        </w:tc>
        <w:tc>
          <w:tcPr>
            <w:tcW w:w="2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80.86 %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2,857,173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construction</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136,988</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111,318</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Farmland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Secured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191,170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Unsecured</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38,658</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27,558</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484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Consumer and other</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278,209</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279,584</w:t>
            </w:r>
          </w:p>
        </w:tc>
        <w:tc>
          <w:tcPr>
            <w:tcW w:w="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7.90 %</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 gross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3,889,549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3,534,606</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484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 gross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3,889,549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3,537,853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8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Net deferred loan fees</w:t>
            </w: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Borders>
              <w:bottom w:val="single" w:sz="8" w:color="CCEEFF"/>
            </w:tcBorders>
            <w:vMerge w:val="continue"/>
          </w:tcPr>
          <w:p>
            <w:pPr>
              <w:spacing w:after="0"/>
              <w:rPr>
                <w:sz w:val="17"/>
                <w:szCs w:val="17"/>
                <w:color w:val="auto"/>
              </w:rPr>
            </w:pPr>
          </w:p>
        </w:tc>
        <w:tc>
          <w:tcPr>
            <w:tcW w:w="4840" w:type="dxa"/>
            <w:vAlign w:val="bottom"/>
            <w:tcBorders>
              <w:bottom w:val="single" w:sz="8" w:color="CCEEFF"/>
            </w:tcBorders>
            <w:gridSpan w:val="3"/>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loans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3,887,259</w:t>
            </w:r>
          </w:p>
        </w:tc>
        <w:tc>
          <w:tcPr>
            <w:tcW w:w="2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3,535,933</w:t>
            </w: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real estate loans consist of term loans secured by a mortgage lien on the real property, such as office and industrial buildings, manufactured home communities, self-storage facilities, hospitality properties, faith-based properties, retail shopping centers, and apartment buildings, as well as commercial real estate construction loans that are offered to builders and developers.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land and development and commercial construction loans consist of loans made to fund commercial land acquisition and development and commercial construction, respectively. The real estate purchased with these loans is generally located in or near our market.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Residential real estate and construction real estate loans consist of loans secured by single-family and multifamily residential properties, which are both owner-occupied and investor-owned.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Farmland loans consist of loans used to purchase, refinance, or improve farmland secured by farming properties themselves. The farmland is generally located in or near our market.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Consumer and other loans consist primarily of loans purchased in a loan purchase program with a non-bank lender, generally made to professionals for the purpose of large personal or household purchases. The loans are unsecured, fixed rate loans. Consumer and other loans also include loans purchased or originated through financing partnerships which are no longer active.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Table 15 presents the commercial real estate loan balance, associated percentage of commercial real estate concentrations, estimated real estate collateral values, and related loan-to-value (“LTV”) ranges by collateral type as of the dates indicated. Revolving lines of credit with zero balance and 0.00% LTV are excluded from this table. Collateral values are determined at origination using third-party real estate appraisals or evaluations. Updated appraisals, which are included in Table 15, may be obtained for loans that are downgraded to watch or substandard. Loans over $2.0 million are reviewed annually, at which time an internal assessment of collateral values is completed.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15: Commercial Real Estate Loans</w:t>
            </w:r>
          </w:p>
        </w:tc>
        <w:tc>
          <w:tcPr>
            <w:tcW w:w="2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of Commercial</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Loan Balance</w:t>
            </w:r>
          </w:p>
        </w:tc>
        <w:tc>
          <w:tcPr>
            <w:tcW w:w="100" w:type="dxa"/>
            <w:vAlign w:val="bottom"/>
            <w:vMerge w:val="restart"/>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Collateral Value</w:t>
            </w:r>
          </w:p>
        </w:tc>
        <w:tc>
          <w:tcPr>
            <w:tcW w:w="100" w:type="dxa"/>
            <w:vAlign w:val="bottom"/>
          </w:tcPr>
          <w:p>
            <w:pPr>
              <w:spacing w:after="0"/>
              <w:rPr>
                <w:sz w:val="17"/>
                <w:szCs w:val="17"/>
                <w:color w:val="auto"/>
              </w:rPr>
            </w:pPr>
          </w:p>
        </w:tc>
        <w:tc>
          <w:tcPr>
            <w:tcW w:w="15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Minimum LTV</w:t>
            </w:r>
          </w:p>
        </w:tc>
        <w:tc>
          <w:tcPr>
            <w:tcW w:w="100" w:type="dxa"/>
            <w:vAlign w:val="bottom"/>
            <w:vMerge w:val="restart"/>
          </w:tcPr>
          <w:p>
            <w:pPr>
              <w:spacing w:after="0"/>
              <w:rPr>
                <w:sz w:val="17"/>
                <w:szCs w:val="17"/>
                <w:color w:val="auto"/>
              </w:rPr>
            </w:pPr>
          </w:p>
        </w:tc>
        <w:tc>
          <w:tcPr>
            <w:tcW w:w="15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Maximum LTV</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Manufactured home community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980,499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31.18 %</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1,732,112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16.24 %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RV Park</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384,290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693,932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303,509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622,971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243,585</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555,875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240,777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521,088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11.74 %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79.49 %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 storage</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190,342</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381,810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Faith-based</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189,371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506,973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161,482</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375,374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73.64 %</w:t>
            </w: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gridSpan w:val="3"/>
          </w:tcPr>
          <w:p>
            <w:pPr>
              <w:spacing w:after="0" w:line="256" w:lineRule="exact"/>
              <w:rPr>
                <w:sz w:val="20"/>
                <w:szCs w:val="20"/>
                <w:color w:val="auto"/>
              </w:rPr>
            </w:pPr>
            <w:r>
              <w:rPr>
                <w:rFonts w:ascii="Times New Roman" w:cs="Times New Roman" w:eastAsia="Times New Roman" w:hAnsi="Times New Roman"/>
                <w:sz w:val="18"/>
                <w:szCs w:val="18"/>
                <w:color w:val="auto"/>
              </w:rPr>
              <w:t>All other types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450,448</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14.33 %</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949,198</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134.65 %</w:t>
            </w:r>
          </w:p>
        </w:tc>
        <w:tc>
          <w:tcPr>
            <w:tcW w:w="0" w:type="dxa"/>
            <w:vAlign w:val="bottom"/>
          </w:tcPr>
          <w:p>
            <w:pPr>
              <w:spacing w:after="0"/>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3240" w:type="dxa"/>
            <w:vAlign w:val="bottom"/>
            <w:tcBorders>
              <w:bottom w:val="single" w:sz="8" w:color="CCEEFF"/>
            </w:tcBorders>
            <w:gridSpan w:val="3"/>
            <w:shd w:val="clear" w:color="auto" w:fill="CCEEFF"/>
          </w:tcPr>
          <w:p>
            <w:pPr>
              <w:ind w:left="160"/>
              <w:spacing w:after="0" w:line="250"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3,144,303</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6,339,333</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Manufactured home community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891,935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31.22 %</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1,586,109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RV Park</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371,733</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648,272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283,394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569,677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224,860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500,307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Faith-based</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184,151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492,030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9.35 %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 storage</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177,854</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361,437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172,592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371,634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14.35 %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145,986</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338,474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73.64 %</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gridSpan w:val="3"/>
          </w:tcPr>
          <w:p>
            <w:pPr>
              <w:spacing w:after="0" w:line="256" w:lineRule="exact"/>
              <w:rPr>
                <w:sz w:val="20"/>
                <w:szCs w:val="20"/>
                <w:color w:val="auto"/>
              </w:rPr>
            </w:pPr>
            <w:r>
              <w:rPr>
                <w:rFonts w:ascii="Times New Roman" w:cs="Times New Roman" w:eastAsia="Times New Roman" w:hAnsi="Times New Roman"/>
                <w:sz w:val="18"/>
                <w:szCs w:val="18"/>
                <w:color w:val="auto"/>
              </w:rPr>
              <w:t>All other types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404,668</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14.16 %</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855,084</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112.07 %</w:t>
            </w:r>
          </w:p>
        </w:tc>
        <w:tc>
          <w:tcPr>
            <w:tcW w:w="0" w:type="dxa"/>
            <w:vAlign w:val="bottom"/>
          </w:tcPr>
          <w:p>
            <w:pPr>
              <w:spacing w:after="0"/>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3240" w:type="dxa"/>
            <w:vAlign w:val="bottom"/>
            <w:tcBorders>
              <w:bottom w:val="single" w:sz="8" w:color="CCEEFF"/>
            </w:tcBorders>
            <w:gridSpan w:val="3"/>
            <w:shd w:val="clear" w:color="auto" w:fill="CCEEFF"/>
          </w:tcPr>
          <w:p>
            <w:pPr>
              <w:ind w:left="160"/>
              <w:spacing w:after="0" w:line="250"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2,857,173</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5,723,024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7" w:right="339" w:bottom="1440" w:gutter="0" w:footer="0" w:header="0"/>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Types of collateral in the “all other types” category are those that individually make up less than 5.00% of the commercial real estate concentration.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LTV and maximum LTV not shown for aggregated totals, as such values are meaningful only when presented by specific category.</w:t>
      </w:r>
    </w:p>
    <w:p>
      <w:pPr>
        <w:spacing w:after="0" w:line="200" w:lineRule="exact"/>
        <w:rPr>
          <w:sz w:val="20"/>
          <w:szCs w:val="20"/>
          <w:color w:val="auto"/>
        </w:rPr>
      </w:pPr>
    </w:p>
    <w:p>
      <w:pPr>
        <w:sectPr>
          <w:pgSz w:w="11900" w:h="16838" w:orient="portrait"/>
          <w:cols w:equalWidth="0" w:num="2">
            <w:col w:w="60" w:space="260"/>
            <w:col w:w="10920"/>
          </w:cols>
          <w:pgMar w:left="320" w:top="1147" w:right="339" w:bottom="1440" w:gutter="0" w:footer="0" w:header="0"/>
          <w:type w:val="continuous"/>
        </w:sectPr>
      </w:pP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 past several years, we have experienced significant growth in our loan portfolio, although the relative composition of the portfolio has not changed materially. Our primary focus remains commercial real estate lending (including commercial, commercial land and development, and commercial construction), which constitutes 84.40% of loans held for investment at September 30, 2025. Commercial secured lending represents 4.91% of loans held for investment at September 30, 2025. We sell the guaranteed portion of all SBA 7(a) loans in the secondary market and will continue to do so as long as market conditions continue to be favorable.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that our commercial real estate loan concentration is significant within our balance sheet. Commercial real estate loan balances as a percentage of risk-based capital were 589.24% and 571.91% as of September 30, 2025 and December 31, 2024, respectively. We have established internal concentration limits in the loan portfolio for commercial real estate loans by sector (e.g., manufactured home communities, self-storage, hospitality, etc.). All loan sectors were within our established limits as of September 30, 2025. Additionally, our loans are geographically concentrated with borrowers and collateralized properties primarily in California.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16 sets forth the contractual maturities of our loan portfolio as of the dates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16: Contractual Maturities - Gross Loans</w:t>
            </w: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Due in 1 year or</w:t>
            </w:r>
          </w:p>
        </w:tc>
        <w:tc>
          <w:tcPr>
            <w:tcW w:w="120" w:type="dxa"/>
            <w:vAlign w:val="bottom"/>
          </w:tcPr>
          <w:p>
            <w:pPr>
              <w:spacing w:after="0"/>
              <w:rPr>
                <w:sz w:val="17"/>
                <w:szCs w:val="17"/>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Due after 1 year</w:t>
            </w:r>
          </w:p>
        </w:tc>
        <w:tc>
          <w:tcPr>
            <w:tcW w:w="120" w:type="dxa"/>
            <w:vAlign w:val="bottom"/>
          </w:tcPr>
          <w:p>
            <w:pPr>
              <w:spacing w:after="0"/>
              <w:rPr>
                <w:sz w:val="17"/>
                <w:szCs w:val="17"/>
                <w:color w:val="auto"/>
              </w:rPr>
            </w:pPr>
          </w:p>
        </w:tc>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Due after 5 years</w:t>
            </w:r>
          </w:p>
        </w:tc>
        <w:tc>
          <w:tcPr>
            <w:tcW w:w="140" w:type="dxa"/>
            <w:vAlign w:val="bottom"/>
          </w:tcPr>
          <w:p>
            <w:pPr>
              <w:spacing w:after="0"/>
              <w:rPr>
                <w:sz w:val="17"/>
                <w:szCs w:val="17"/>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Due after 15</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less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through 5 years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through 15 years</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0" w:type="dxa"/>
            <w:vAlign w:val="bottom"/>
            <w:tcBorders>
              <w:bottom w:val="single" w:sz="8" w:color="CCEEFF"/>
            </w:tcBorders>
            <w:shd w:val="clear" w:color="auto" w:fill="CCEEFF"/>
          </w:tcPr>
          <w:p>
            <w:pPr>
              <w:spacing w:after="0"/>
              <w:rPr>
                <w:sz w:val="24"/>
                <w:szCs w:val="24"/>
                <w:color w:val="auto"/>
              </w:rPr>
            </w:pPr>
          </w:p>
        </w:tc>
        <w:tc>
          <w:tcPr>
            <w:tcW w:w="37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2,528,442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3,144,303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57,572</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191,170</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263,604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278,209</w:t>
            </w:r>
          </w:p>
        </w:tc>
        <w:tc>
          <w:tcPr>
            <w:tcW w:w="0" w:type="dxa"/>
            <w:vAlign w:val="bottom"/>
          </w:tcPr>
          <w:p>
            <w:pPr>
              <w:spacing w:after="0"/>
              <w:rPr>
                <w:sz w:val="1"/>
                <w:szCs w:val="1"/>
                <w:color w:val="auto"/>
              </w:rPr>
            </w:pPr>
          </w:p>
        </w:tc>
      </w:tr>
      <w:tr>
        <w:trPr>
          <w:trHeight w:val="282"/>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37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677,215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2,982,030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3,889,549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Borders>
              <w:bottom w:val="single" w:sz="8" w:color="CCEEFF"/>
            </w:tcBorders>
            <w:shd w:val="clear" w:color="auto" w:fill="CCEEFF"/>
          </w:tcPr>
          <w:p>
            <w:pPr>
              <w:spacing w:after="0"/>
              <w:rPr>
                <w:sz w:val="24"/>
                <w:szCs w:val="24"/>
                <w:color w:val="auto"/>
              </w:rPr>
            </w:pPr>
          </w:p>
        </w:tc>
        <w:tc>
          <w:tcPr>
            <w:tcW w:w="37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362,077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2,383,655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2,857,173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3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47,241</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173,795</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265,459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279,584</w:t>
            </w:r>
          </w:p>
        </w:tc>
        <w:tc>
          <w:tcPr>
            <w:tcW w:w="0" w:type="dxa"/>
            <w:vAlign w:val="bottom"/>
          </w:tcPr>
          <w:p>
            <w:pPr>
              <w:spacing w:after="0"/>
              <w:rPr>
                <w:sz w:val="1"/>
                <w:szCs w:val="1"/>
                <w:color w:val="auto"/>
              </w:rPr>
            </w:pPr>
          </w:p>
        </w:tc>
      </w:tr>
      <w:tr>
        <w:trPr>
          <w:trHeight w:val="281"/>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37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515,529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2,834,820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3,537,853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Table 17 sets forth the sensitivity to interest rate changes of our loan portfolio as of the dates shown.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17: Sensitivity to Interest Rates - Gross Loans</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Floating or Adjustable</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74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Fixed Interest Rates</w:t>
            </w:r>
          </w:p>
        </w:tc>
        <w:tc>
          <w:tcPr>
            <w:tcW w:w="100" w:type="dxa"/>
            <w:vAlign w:val="bottom"/>
            <w:vMerge w:val="restart"/>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vMerge w:val="continue"/>
          </w:tcPr>
          <w:p>
            <w:pPr>
              <w:spacing w:after="0"/>
              <w:rPr>
                <w:sz w:val="21"/>
                <w:szCs w:val="21"/>
                <w:color w:val="auto"/>
              </w:rPr>
            </w:pPr>
          </w:p>
        </w:tc>
        <w:tc>
          <w:tcPr>
            <w:tcW w:w="17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0" w:type="dxa"/>
            <w:vAlign w:val="bottom"/>
            <w:tcBorders>
              <w:bottom w:val="single" w:sz="8" w:color="CCEEFF"/>
            </w:tcBorders>
            <w:shd w:val="clear" w:color="auto" w:fill="CCEEFF"/>
          </w:tcPr>
          <w:p>
            <w:pPr>
              <w:spacing w:after="0"/>
              <w:rPr>
                <w:sz w:val="24"/>
                <w:szCs w:val="24"/>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657,581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2,486,722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3,144,303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tcPr>
          <w:p>
            <w:pPr>
              <w:spacing w:after="0"/>
              <w:rPr>
                <w:sz w:val="22"/>
                <w:szCs w:val="22"/>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57,572</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141,585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191,170</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38,658</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56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278,022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278,209</w:t>
            </w:r>
          </w:p>
        </w:tc>
        <w:tc>
          <w:tcPr>
            <w:tcW w:w="0" w:type="dxa"/>
            <w:vAlign w:val="bottom"/>
          </w:tcPr>
          <w:p>
            <w:pPr>
              <w:spacing w:after="0"/>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2,864,309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3,889,549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Borders>
              <w:bottom w:val="single" w:sz="8" w:color="CCEEFF"/>
            </w:tcBorders>
            <w:shd w:val="clear" w:color="auto" w:fill="CCEEFF"/>
          </w:tcPr>
          <w:p>
            <w:pPr>
              <w:spacing w:after="0"/>
              <w:rPr>
                <w:sz w:val="24"/>
                <w:szCs w:val="24"/>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587,825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2,269,348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2,857,173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tcPr>
          <w:p>
            <w:pPr>
              <w:spacing w:after="0"/>
              <w:rPr>
                <w:sz w:val="21"/>
                <w:szCs w:val="21"/>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47,241</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173,795</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27,558</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6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279,458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279,584</w:t>
            </w:r>
          </w:p>
        </w:tc>
        <w:tc>
          <w:tcPr>
            <w:tcW w:w="0" w:type="dxa"/>
            <w:vAlign w:val="bottom"/>
          </w:tcPr>
          <w:p>
            <w:pPr>
              <w:spacing w:after="0"/>
              <w:rPr>
                <w:sz w:val="1"/>
                <w:szCs w:val="1"/>
                <w:color w:val="auto"/>
              </w:rPr>
            </w:pPr>
          </w:p>
        </w:tc>
      </w:tr>
      <w:tr>
        <w:trPr>
          <w:trHeight w:val="282"/>
        </w:trPr>
        <w:tc>
          <w:tcPr>
            <w:tcW w:w="20" w:type="dxa"/>
            <w:vAlign w:val="bottom"/>
            <w:tcBorders>
              <w:bottom w:val="single" w:sz="8" w:color="CCEEFF"/>
            </w:tcBorders>
            <w:shd w:val="clear" w:color="auto" w:fill="CCEEFF"/>
          </w:tcPr>
          <w:p>
            <w:pPr>
              <w:spacing w:after="0"/>
              <w:rPr>
                <w:sz w:val="24"/>
                <w:szCs w:val="24"/>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946,642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2,591,211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3,537,853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These metrics directly impact our evaluation of the adequacy of our allowance for credit losses.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primary objective is to maintain a high level of asset quality in our loan portfolio. We believe our underwriting policies and practices, executed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management’s assessment of the adequacy of our ACL. We periodically employ the use of an independent consulting firm to evaluate our underwriting and risk assessment process. Like other financial institutions, we are subject to</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54" w:name="page55"/>
    <w:bookmarkEnd w:id="54"/>
    <w:p>
      <w:pPr>
        <w:jc w:val="both"/>
        <w:spacing w:after="0" w:line="282" w:lineRule="auto"/>
        <w:rPr>
          <w:sz w:val="20"/>
          <w:szCs w:val="20"/>
          <w:color w:val="auto"/>
        </w:rPr>
      </w:pPr>
      <w:r>
        <w:rPr>
          <w:rFonts w:ascii="Times New Roman" w:cs="Times New Roman" w:eastAsia="Times New Roman" w:hAnsi="Times New Roman"/>
          <w:sz w:val="18"/>
          <w:szCs w:val="18"/>
          <w:color w:val="auto"/>
        </w:rPr>
        <w:t>the risk that our loan portfolio will be exposed to increasing pressures from deteriorating borrower credit due to general economic conditions and rising interest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Nonperforming Assets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SBA Loans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did not sell any SBA 7(a) loans. During the nine months ended September 30, 2025, the Company sold ten SBA 7(a) loans with government-guaranteed portions totaling approximately $3.3 million. The Company received gross proceeds of $3.5 million on the loans sold during the nine months ended September 30, 2025, resulting in the recognition of a net gain on sale of $0.2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18 provides details of our nonperforming and restructured assets and certain other related information as of the dates presented.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18: Nonperforming and Restructured Assets</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84"/>
        </w:trPr>
        <w:tc>
          <w:tcPr>
            <w:tcW w:w="20" w:type="dxa"/>
            <w:vAlign w:val="bottom"/>
          </w:tcPr>
          <w:p>
            <w:pPr>
              <w:spacing w:after="0"/>
              <w:rPr>
                <w:sz w:val="24"/>
                <w:szCs w:val="24"/>
                <w:color w:val="auto"/>
              </w:rPr>
            </w:pPr>
          </w:p>
        </w:tc>
        <w:tc>
          <w:tcPr>
            <w:tcW w:w="362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00" w:type="dxa"/>
            <w:vAlign w:val="bottom"/>
            <w:tcBorders>
              <w:bottom w:val="single" w:sz="8" w:color="auto"/>
            </w:tcBorders>
          </w:tcPr>
          <w:p>
            <w:pPr>
              <w:spacing w:after="0"/>
              <w:rPr>
                <w:sz w:val="24"/>
                <w:szCs w:val="24"/>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6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50"/>
        </w:trPr>
        <w:tc>
          <w:tcPr>
            <w:tcW w:w="20" w:type="dxa"/>
            <w:vAlign w:val="bottom"/>
            <w:shd w:val="clear" w:color="auto" w:fill="CCEEFF"/>
          </w:tcPr>
          <w:p>
            <w:pPr>
              <w:spacing w:after="0"/>
              <w:rPr>
                <w:sz w:val="21"/>
                <w:szCs w:val="21"/>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2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68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1,750</w:t>
            </w:r>
          </w:p>
        </w:tc>
      </w:tr>
      <w:tr>
        <w:trPr>
          <w:trHeight w:val="250"/>
        </w:trPr>
        <w:tc>
          <w:tcPr>
            <w:tcW w:w="20" w:type="dxa"/>
            <w:vAlign w:val="bottom"/>
          </w:tcPr>
          <w:p>
            <w:pPr>
              <w:spacing w:after="0"/>
              <w:rPr>
                <w:sz w:val="21"/>
                <w:szCs w:val="21"/>
                <w:color w:val="auto"/>
              </w:rPr>
            </w:pP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57"/>
        </w:trPr>
        <w:tc>
          <w:tcPr>
            <w:tcW w:w="20" w:type="dxa"/>
            <w:vAlign w:val="bottom"/>
            <w:shd w:val="clear" w:color="auto" w:fill="CCEEFF"/>
          </w:tcPr>
          <w:p>
            <w:pPr>
              <w:spacing w:after="0"/>
              <w:rPr>
                <w:sz w:val="22"/>
                <w:szCs w:val="22"/>
                <w:color w:val="auto"/>
              </w:rPr>
            </w:pPr>
          </w:p>
        </w:tc>
        <w:tc>
          <w:tcPr>
            <w:tcW w:w="68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Secured</w:t>
            </w:r>
          </w:p>
        </w:tc>
        <w:tc>
          <w:tcPr>
            <w:tcW w:w="20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r>
      <w:tr>
        <w:trPr>
          <w:trHeight w:val="250"/>
        </w:trPr>
        <w:tc>
          <w:tcPr>
            <w:tcW w:w="20" w:type="dxa"/>
            <w:vAlign w:val="bottom"/>
            <w:tcBorders>
              <w:bottom w:val="single" w:sz="8" w:color="CCEEFF"/>
            </w:tcBorders>
          </w:tcPr>
          <w:p>
            <w:pPr>
              <w:spacing w:after="0"/>
              <w:rPr>
                <w:sz w:val="21"/>
                <w:szCs w:val="21"/>
                <w:color w:val="auto"/>
              </w:rPr>
            </w:pPr>
          </w:p>
        </w:tc>
        <w:tc>
          <w:tcPr>
            <w:tcW w:w="68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non-accrual loans</w:t>
            </w:r>
          </w:p>
        </w:tc>
        <w:tc>
          <w:tcPr>
            <w:tcW w:w="2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1,798</w:t>
            </w:r>
          </w:p>
        </w:tc>
      </w:tr>
      <w:tr>
        <w:trPr>
          <w:trHeight w:val="135"/>
        </w:trPr>
        <w:tc>
          <w:tcPr>
            <w:tcW w:w="2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3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8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Loans past due 90 days or more and still accruing:</w:t>
            </w:r>
          </w:p>
        </w:tc>
        <w:tc>
          <w:tcPr>
            <w:tcW w:w="2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r>
      <w:tr>
        <w:trPr>
          <w:trHeight w:val="250"/>
        </w:trPr>
        <w:tc>
          <w:tcPr>
            <w:tcW w:w="20" w:type="dxa"/>
            <w:vAlign w:val="bottom"/>
            <w:shd w:val="clear" w:color="auto" w:fill="CCEEFF"/>
          </w:tcPr>
          <w:p>
            <w:pPr>
              <w:spacing w:after="0"/>
              <w:rPr>
                <w:sz w:val="21"/>
                <w:szCs w:val="21"/>
                <w:color w:val="auto"/>
              </w:rPr>
            </w:pPr>
          </w:p>
        </w:tc>
        <w:tc>
          <w:tcPr>
            <w:tcW w:w="6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loans past due and still accruing</w:t>
            </w:r>
          </w:p>
        </w:tc>
        <w:tc>
          <w:tcPr>
            <w:tcW w:w="20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Borders>
              <w:bottom w:val="single" w:sz="8" w:color="CCEEFF"/>
            </w:tcBorders>
          </w:tcPr>
          <w:p>
            <w:pPr>
              <w:spacing w:after="0"/>
              <w:rPr>
                <w:sz w:val="21"/>
                <w:szCs w:val="21"/>
                <w:color w:val="auto"/>
              </w:rPr>
            </w:pPr>
          </w:p>
        </w:tc>
        <w:tc>
          <w:tcPr>
            <w:tcW w:w="68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nonperforming loans</w:t>
            </w:r>
          </w:p>
        </w:tc>
        <w:tc>
          <w:tcPr>
            <w:tcW w:w="200" w:type="dxa"/>
            <w:vAlign w:val="bottom"/>
            <w:tcBorders>
              <w:top w:val="single" w:sz="8" w:color="auto"/>
              <w:bottom w:val="single" w:sz="8" w:color="auto"/>
            </w:tcBorders>
          </w:tcPr>
          <w:p>
            <w:pPr>
              <w:spacing w:after="0"/>
              <w:rPr>
                <w:sz w:val="21"/>
                <w:szCs w:val="21"/>
                <w:color w:val="auto"/>
              </w:rPr>
            </w:pPr>
          </w:p>
        </w:tc>
        <w:tc>
          <w:tcPr>
            <w:tcW w:w="19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1,798</w:t>
            </w:r>
          </w:p>
        </w:tc>
      </w:tr>
      <w:tr>
        <w:trPr>
          <w:trHeight w:val="135"/>
        </w:trPr>
        <w:tc>
          <w:tcPr>
            <w:tcW w:w="2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3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r>
      <w:tr>
        <w:trPr>
          <w:trHeight w:val="250"/>
        </w:trPr>
        <w:tc>
          <w:tcPr>
            <w:tcW w:w="20" w:type="dxa"/>
            <w:vAlign w:val="bottom"/>
          </w:tcPr>
          <w:p>
            <w:pPr>
              <w:spacing w:after="0"/>
              <w:rPr>
                <w:sz w:val="21"/>
                <w:szCs w:val="21"/>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owned</w:t>
            </w:r>
          </w:p>
        </w:tc>
        <w:tc>
          <w:tcPr>
            <w:tcW w:w="200" w:type="dxa"/>
            <w:vAlign w:val="bottom"/>
          </w:tcPr>
          <w:p>
            <w:pPr>
              <w:spacing w:after="0"/>
              <w:rPr>
                <w:sz w:val="21"/>
                <w:szCs w:val="21"/>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r>
      <w:tr>
        <w:trPr>
          <w:trHeight w:val="282"/>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68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900" w:type="dxa"/>
            <w:vAlign w:val="bottom"/>
          </w:tcPr>
          <w:p>
            <w:pPr>
              <w:spacing w:after="0"/>
              <w:rPr>
                <w:sz w:val="8"/>
                <w:szCs w:val="8"/>
                <w:color w:val="auto"/>
              </w:rPr>
            </w:pPr>
          </w:p>
        </w:tc>
      </w:tr>
      <w:tr>
        <w:trPr>
          <w:trHeight w:val="257"/>
        </w:trPr>
        <w:tc>
          <w:tcPr>
            <w:tcW w:w="20" w:type="dxa"/>
            <w:vAlign w:val="bottom"/>
            <w:shd w:val="clear" w:color="auto" w:fill="CCEEFF"/>
          </w:tcPr>
          <w:p>
            <w:pPr>
              <w:spacing w:after="0"/>
              <w:rPr>
                <w:sz w:val="22"/>
                <w:szCs w:val="22"/>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LMs (not included above)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257"/>
        </w:trPr>
        <w:tc>
          <w:tcPr>
            <w:tcW w:w="20" w:type="dxa"/>
            <w:vAlign w:val="bottom"/>
            <w:shd w:val="clear" w:color="auto" w:fill="CCEEFF"/>
          </w:tcPr>
          <w:p>
            <w:pPr>
              <w:spacing w:after="0"/>
              <w:rPr>
                <w:sz w:val="22"/>
                <w:szCs w:val="22"/>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to period end nonperforming loans</w:t>
            </w:r>
          </w:p>
        </w:tc>
        <w:tc>
          <w:tcPr>
            <w:tcW w:w="20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1,975.62 %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2,101.78 %</w:t>
            </w:r>
          </w:p>
        </w:tc>
      </w:tr>
      <w:tr>
        <w:trPr>
          <w:trHeight w:val="256"/>
        </w:trPr>
        <w:tc>
          <w:tcPr>
            <w:tcW w:w="20" w:type="dxa"/>
            <w:vAlign w:val="bottom"/>
          </w:tcPr>
          <w:p>
            <w:pPr>
              <w:spacing w:after="0"/>
              <w:rPr>
                <w:sz w:val="22"/>
                <w:szCs w:val="22"/>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Nonperforming loans to loans held for investment</w:t>
            </w:r>
          </w:p>
        </w:tc>
        <w:tc>
          <w:tcPr>
            <w:tcW w:w="2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257"/>
        </w:trPr>
        <w:tc>
          <w:tcPr>
            <w:tcW w:w="20" w:type="dxa"/>
            <w:vAlign w:val="bottom"/>
            <w:shd w:val="clear" w:color="auto" w:fill="CCEEFF"/>
          </w:tcPr>
          <w:p>
            <w:pPr>
              <w:spacing w:after="0"/>
              <w:rPr>
                <w:sz w:val="22"/>
                <w:szCs w:val="22"/>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20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243"/>
        </w:trPr>
        <w:tc>
          <w:tcPr>
            <w:tcW w:w="20" w:type="dxa"/>
            <w:vAlign w:val="bottom"/>
          </w:tcPr>
          <w:p>
            <w:pPr>
              <w:spacing w:after="0"/>
              <w:rPr>
                <w:sz w:val="21"/>
                <w:szCs w:val="21"/>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Nonperforming loans plus performing LMs to loans held for investment</w:t>
            </w:r>
          </w:p>
        </w:tc>
        <w:tc>
          <w:tcPr>
            <w:tcW w:w="2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ratio of nonperforming loans to loans held for investment was 0.05% at September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Potential Problem Loans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a risk grading system for our loans to aid us in evaluating the overall credit quality of our real estate loan portfolio and assessing the adequacy of our allowance for credit losses. All loans are grouped into a risk category at the time of origination. Commercial real estate loans over $2.0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banking industry defines loans graded substandard or doubtful as “classified” loans. Table 19 shows our levels of classified loans as of the periods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Table 19: Gross Loans Held for Investment by Credit Quality Risk Rating</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3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top w:val="single" w:sz="8" w:color="auto"/>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Pass</w:t>
            </w:r>
          </w:p>
        </w:tc>
        <w:tc>
          <w:tcPr>
            <w:tcW w:w="100" w:type="dxa"/>
            <w:vAlign w:val="bottom"/>
            <w:tcBorders>
              <w:top w:val="single" w:sz="8" w:color="auto"/>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Watch</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Substandard</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Doubtful</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20" w:type="dxa"/>
            <w:vAlign w:val="bottom"/>
            <w:shd w:val="clear" w:color="auto" w:fill="CCEEFF"/>
          </w:tcPr>
          <w:p>
            <w:pPr>
              <w:spacing w:after="0"/>
              <w:rPr>
                <w:sz w:val="21"/>
                <w:szCs w:val="21"/>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3,045,455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18,446</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3,144,303</w:t>
            </w:r>
          </w:p>
        </w:tc>
      </w:tr>
      <w:tr>
        <w:trPr>
          <w:trHeight w:val="257"/>
        </w:trPr>
        <w:tc>
          <w:tcPr>
            <w:tcW w:w="20" w:type="dxa"/>
            <w:vAlign w:val="bottom"/>
          </w:tcPr>
          <w:p>
            <w:pPr>
              <w:spacing w:after="0"/>
              <w:rPr>
                <w:sz w:val="22"/>
                <w:szCs w:val="22"/>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56"/>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136,988</w:t>
            </w:r>
          </w:p>
        </w:tc>
      </w:tr>
      <w:tr>
        <w:trPr>
          <w:trHeight w:val="257"/>
        </w:trPr>
        <w:tc>
          <w:tcPr>
            <w:tcW w:w="20" w:type="dxa"/>
            <w:vAlign w:val="bottom"/>
          </w:tcPr>
          <w:p>
            <w:pPr>
              <w:spacing w:after="0"/>
              <w:rPr>
                <w:sz w:val="22"/>
                <w:szCs w:val="22"/>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w:t>
            </w:r>
          </w:p>
        </w:tc>
      </w:tr>
      <w:tr>
        <w:trPr>
          <w:trHeight w:val="257"/>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35,739</w:t>
            </w:r>
          </w:p>
        </w:tc>
      </w:tr>
      <w:tr>
        <w:trPr>
          <w:trHeight w:val="257"/>
        </w:trPr>
        <w:tc>
          <w:tcPr>
            <w:tcW w:w="20" w:type="dxa"/>
            <w:vAlign w:val="bottom"/>
          </w:tcPr>
          <w:p>
            <w:pPr>
              <w:spacing w:after="0"/>
              <w:rPr>
                <w:sz w:val="22"/>
                <w:szCs w:val="22"/>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57,572</w:t>
            </w:r>
          </w:p>
        </w:tc>
      </w:tr>
      <w:tr>
        <w:trPr>
          <w:trHeight w:val="257"/>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191,170</w:t>
            </w:r>
          </w:p>
        </w:tc>
      </w:tr>
      <w:tr>
        <w:trPr>
          <w:trHeight w:val="257"/>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38,658</w:t>
            </w:r>
          </w:p>
        </w:tc>
      </w:tr>
      <w:tr>
        <w:trPr>
          <w:trHeight w:val="257"/>
        </w:trPr>
        <w:tc>
          <w:tcPr>
            <w:tcW w:w="20" w:type="dxa"/>
            <w:vAlign w:val="bottom"/>
            <w:tcBorders>
              <w:bottom w:val="single" w:sz="8" w:color="CCEEFF"/>
            </w:tcBorders>
          </w:tcPr>
          <w:p>
            <w:pPr>
              <w:spacing w:after="0"/>
              <w:rPr>
                <w:sz w:val="22"/>
                <w:szCs w:val="22"/>
                <w:color w:val="auto"/>
              </w:rPr>
            </w:pPr>
          </w:p>
        </w:tc>
        <w:tc>
          <w:tcPr>
            <w:tcW w:w="3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278,203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278,209</w:t>
            </w:r>
          </w:p>
        </w:tc>
      </w:tr>
      <w:tr>
        <w:trPr>
          <w:trHeight w:val="270"/>
        </w:trPr>
        <w:tc>
          <w:tcPr>
            <w:tcW w:w="20" w:type="dxa"/>
            <w:vAlign w:val="bottom"/>
            <w:shd w:val="clear" w:color="auto" w:fill="CCEEFF"/>
          </w:tcPr>
          <w:p>
            <w:pPr>
              <w:spacing w:after="0"/>
              <w:rPr>
                <w:sz w:val="23"/>
                <w:szCs w:val="23"/>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3,778,244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18,556</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3,889,549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2,746,594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2,857,173</w:t>
            </w:r>
          </w:p>
        </w:tc>
      </w:tr>
      <w:tr>
        <w:trPr>
          <w:trHeight w:val="250"/>
        </w:trPr>
        <w:tc>
          <w:tcPr>
            <w:tcW w:w="2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r>
      <w:tr>
        <w:trPr>
          <w:trHeight w:val="263"/>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111,318</w:t>
            </w:r>
          </w:p>
        </w:tc>
      </w:tr>
      <w:tr>
        <w:trPr>
          <w:trHeight w:val="250"/>
        </w:trPr>
        <w:tc>
          <w:tcPr>
            <w:tcW w:w="2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r>
      <w:tr>
        <w:trPr>
          <w:trHeight w:val="263"/>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32,774</w:t>
            </w:r>
          </w:p>
        </w:tc>
      </w:tr>
      <w:tr>
        <w:trPr>
          <w:trHeight w:val="250"/>
        </w:trPr>
        <w:tc>
          <w:tcPr>
            <w:tcW w:w="2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47,241</w:t>
            </w:r>
          </w:p>
        </w:tc>
      </w:tr>
      <w:tr>
        <w:trPr>
          <w:trHeight w:val="263"/>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170,548</w:t>
            </w:r>
          </w:p>
        </w:tc>
      </w:tr>
      <w:tr>
        <w:trPr>
          <w:trHeight w:val="256"/>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27,558</w:t>
            </w:r>
          </w:p>
        </w:tc>
      </w:tr>
      <w:tr>
        <w:trPr>
          <w:trHeight w:val="257"/>
        </w:trPr>
        <w:tc>
          <w:tcPr>
            <w:tcW w:w="20" w:type="dxa"/>
            <w:vAlign w:val="bottom"/>
            <w:tcBorders>
              <w:bottom w:val="single" w:sz="8" w:color="CCEEFF"/>
            </w:tcBorders>
          </w:tcPr>
          <w:p>
            <w:pPr>
              <w:spacing w:after="0"/>
              <w:rPr>
                <w:sz w:val="22"/>
                <w:szCs w:val="22"/>
                <w:color w:val="auto"/>
              </w:rPr>
            </w:pPr>
          </w:p>
        </w:tc>
        <w:tc>
          <w:tcPr>
            <w:tcW w:w="3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279,575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279,584</w:t>
            </w:r>
          </w:p>
        </w:tc>
      </w:tr>
      <w:tr>
        <w:trPr>
          <w:trHeight w:val="270"/>
        </w:trPr>
        <w:tc>
          <w:tcPr>
            <w:tcW w:w="20" w:type="dxa"/>
            <w:vAlign w:val="bottom"/>
            <w:shd w:val="clear" w:color="auto" w:fill="CCEEFF"/>
          </w:tcPr>
          <w:p>
            <w:pPr>
              <w:spacing w:after="0"/>
              <w:rPr>
                <w:sz w:val="23"/>
                <w:szCs w:val="23"/>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3,408,558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3,534,606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Loans designated as watch and substandard, which are not considered adversely classified, decreased to $111.3 million at September 30, 2025 from $126.0 million at December 31, 2024. During the three months ended September 30, 2025, one borrower with $11.6 million in total loans outstanding on a special purpose commercial real estate loan and a commercial line of credit, was downgraded from watch to substandard, which contributed to the decrease in loans designated as watch and the increase in loans designated as substandard compared to December 31, 2024. There were no loans with doubtful risk grades at September 30, 2025 or December 31, 2024.</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established through a provision for credit losses charged to operations. Provisions are charged against the allowance for credit losses when management believes that the collectability of the principal is unlikely. Subsequent recoveries of previously charged-off amounts, if any, are credited to the allowance for credit losses.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credit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2025, the Company’s allowance for credit losses was $42.1 million, as compared to $37.8 million at December 31, 2024. The $4.3 million increase in the allowance is due to a $7.1 million provision for credit losses recorded during the nine months ended September 30, 2025, partially offset by net charge-offs of $2.8 million, primarily attributable to commercial and industrial loans, during the same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entire allowance for credit losses is available to absorb losses from any and all loans, Table 20 represents management’s allocation of our allowance for credit losses by loan category, and the balance of loans in each category as a percentage of total loans, for the periods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20: Allocation of the Allowance for Credit Losses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84"/>
        </w:trPr>
        <w:tc>
          <w:tcPr>
            <w:tcW w:w="20" w:type="dxa"/>
            <w:vAlign w:val="bottom"/>
          </w:tcPr>
          <w:p>
            <w:pPr>
              <w:spacing w:after="0"/>
              <w:rPr>
                <w:sz w:val="24"/>
                <w:szCs w:val="24"/>
                <w:color w:val="auto"/>
              </w:rPr>
            </w:pPr>
          </w:p>
        </w:tc>
        <w:tc>
          <w:tcPr>
            <w:tcW w:w="406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7"/>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of Loans to</w:t>
            </w:r>
          </w:p>
        </w:tc>
        <w:tc>
          <w:tcPr>
            <w:tcW w:w="1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Loans to</w:t>
            </w:r>
          </w:p>
        </w:tc>
      </w:tr>
      <w:tr>
        <w:trPr>
          <w:trHeight w:val="252"/>
        </w:trPr>
        <w:tc>
          <w:tcPr>
            <w:tcW w:w="20" w:type="dxa"/>
            <w:vAlign w:val="bottom"/>
            <w:tcBorders>
              <w:bottom w:val="single" w:sz="8" w:color="auto"/>
            </w:tcBorders>
          </w:tcPr>
          <w:p>
            <w:pPr>
              <w:spacing w:after="0"/>
              <w:rPr>
                <w:sz w:val="21"/>
                <w:szCs w:val="21"/>
                <w:color w:val="auto"/>
              </w:rPr>
            </w:pPr>
          </w:p>
        </w:tc>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Loans</w:t>
            </w:r>
          </w:p>
        </w:tc>
      </w:tr>
      <w:tr>
        <w:trPr>
          <w:trHeight w:val="250"/>
        </w:trPr>
        <w:tc>
          <w:tcPr>
            <w:tcW w:w="20" w:type="dxa"/>
            <w:vAlign w:val="bottom"/>
            <w:shd w:val="clear" w:color="auto" w:fill="CCEEFF"/>
          </w:tcPr>
          <w:p>
            <w:pPr>
              <w:spacing w:after="0"/>
              <w:rPr>
                <w:sz w:val="21"/>
                <w:szCs w:val="21"/>
                <w:color w:val="auto"/>
              </w:rPr>
            </w:pPr>
          </w:p>
        </w:tc>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23,473</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80.86 %</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25,864</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80.75 %</w:t>
            </w:r>
          </w:p>
        </w:tc>
      </w:tr>
      <w:tr>
        <w:trPr>
          <w:trHeight w:val="256"/>
        </w:trPr>
        <w:tc>
          <w:tcPr>
            <w:tcW w:w="20" w:type="dxa"/>
            <w:vAlign w:val="bottom"/>
            <w:shd w:val="clear" w:color="auto" w:fill="CCEEFF"/>
          </w:tcPr>
          <w:p>
            <w:pPr>
              <w:spacing w:after="0"/>
              <w:rPr>
                <w:sz w:val="22"/>
                <w:szCs w:val="22"/>
                <w:color w:val="auto"/>
              </w:rPr>
            </w:pPr>
          </w:p>
        </w:tc>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0.11 %</w:t>
            </w:r>
          </w:p>
        </w:tc>
      </w:tr>
      <w:tr>
        <w:trPr>
          <w:trHeight w:val="257"/>
        </w:trPr>
        <w:tc>
          <w:tcPr>
            <w:tcW w:w="20" w:type="dxa"/>
            <w:vAlign w:val="bottom"/>
          </w:tcPr>
          <w:p>
            <w:pPr>
              <w:spacing w:after="0"/>
              <w:rPr>
                <w:sz w:val="22"/>
                <w:szCs w:val="22"/>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3.15 %</w:t>
            </w:r>
          </w:p>
        </w:tc>
      </w:tr>
      <w:tr>
        <w:trPr>
          <w:trHeight w:val="256"/>
        </w:trPr>
        <w:tc>
          <w:tcPr>
            <w:tcW w:w="20" w:type="dxa"/>
            <w:vAlign w:val="bottom"/>
            <w:shd w:val="clear" w:color="auto" w:fill="CCEEFF"/>
          </w:tcPr>
          <w:p>
            <w:pPr>
              <w:spacing w:after="0"/>
              <w:rPr>
                <w:sz w:val="22"/>
                <w:szCs w:val="22"/>
                <w:color w:val="auto"/>
              </w:rPr>
            </w:pPr>
          </w:p>
        </w:tc>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0.13 %</w:t>
            </w:r>
          </w:p>
        </w:tc>
      </w:tr>
      <w:tr>
        <w:trPr>
          <w:trHeight w:val="257"/>
        </w:trPr>
        <w:tc>
          <w:tcPr>
            <w:tcW w:w="20" w:type="dxa"/>
            <w:vAlign w:val="bottom"/>
          </w:tcPr>
          <w:p>
            <w:pPr>
              <w:spacing w:after="0"/>
              <w:rPr>
                <w:sz w:val="22"/>
                <w:szCs w:val="22"/>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0.93 %</w:t>
            </w:r>
          </w:p>
        </w:tc>
      </w:tr>
      <w:tr>
        <w:trPr>
          <w:trHeight w:val="256"/>
        </w:trPr>
        <w:tc>
          <w:tcPr>
            <w:tcW w:w="20" w:type="dxa"/>
            <w:vAlign w:val="bottom"/>
            <w:shd w:val="clear" w:color="auto" w:fill="CCEEFF"/>
          </w:tcPr>
          <w:p>
            <w:pPr>
              <w:spacing w:after="0"/>
              <w:rPr>
                <w:sz w:val="22"/>
                <w:szCs w:val="22"/>
                <w:color w:val="auto"/>
              </w:rPr>
            </w:pPr>
          </w:p>
        </w:tc>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50"/>
        </w:trPr>
        <w:tc>
          <w:tcPr>
            <w:tcW w:w="20" w:type="dxa"/>
            <w:vAlign w:val="bottom"/>
          </w:tcPr>
          <w:p>
            <w:pPr>
              <w:spacing w:after="0"/>
              <w:rPr>
                <w:sz w:val="21"/>
                <w:szCs w:val="21"/>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4.91 %</w:t>
            </w:r>
          </w:p>
        </w:tc>
      </w:tr>
      <w:tr>
        <w:trPr>
          <w:trHeight w:val="257"/>
        </w:trPr>
        <w:tc>
          <w:tcPr>
            <w:tcW w:w="20" w:type="dxa"/>
            <w:vAlign w:val="bottom"/>
          </w:tcPr>
          <w:p>
            <w:pPr>
              <w:spacing w:after="0"/>
              <w:rPr>
                <w:sz w:val="22"/>
                <w:szCs w:val="22"/>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0.78 %</w:t>
            </w:r>
          </w:p>
        </w:tc>
      </w:tr>
      <w:tr>
        <w:trPr>
          <w:trHeight w:val="256"/>
        </w:trPr>
        <w:tc>
          <w:tcPr>
            <w:tcW w:w="20" w:type="dxa"/>
            <w:vAlign w:val="bottom"/>
            <w:shd w:val="clear" w:color="auto" w:fill="CCEEFF"/>
          </w:tcPr>
          <w:p>
            <w:pPr>
              <w:spacing w:after="0"/>
              <w:rPr>
                <w:sz w:val="22"/>
                <w:szCs w:val="22"/>
                <w:color w:val="auto"/>
              </w:rPr>
            </w:pPr>
          </w:p>
        </w:tc>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7.90 %</w:t>
            </w:r>
          </w:p>
        </w:tc>
      </w:tr>
      <w:tr>
        <w:trPr>
          <w:trHeight w:val="250"/>
        </w:trPr>
        <w:tc>
          <w:tcPr>
            <w:tcW w:w="20" w:type="dxa"/>
            <w:vAlign w:val="bottom"/>
          </w:tcPr>
          <w:p>
            <w:pPr>
              <w:spacing w:after="0"/>
              <w:rPr>
                <w:sz w:val="21"/>
                <w:szCs w:val="21"/>
                <w:color w:val="auto"/>
              </w:rPr>
            </w:pPr>
          </w:p>
        </w:tc>
        <w:tc>
          <w:tcPr>
            <w:tcW w:w="5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42,061</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37,791</w:t>
            </w:r>
          </w:p>
        </w:tc>
        <w:tc>
          <w:tcPr>
            <w:tcW w:w="8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ratio of the allowance for credit losses to total loans held for investment was 1.08% at September 30, 2025, an increase from 1.07% at December 31,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7" w:name="page58"/>
    <w:bookmarkEnd w:id="57"/>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Table 21: Activity Within the Allowance for Credit Losses</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60" w:type="dxa"/>
            <w:vAlign w:val="bottom"/>
            <w:gridSpan w:val="5"/>
            <w:shd w:val="clear" w:color="auto" w:fill="000000"/>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9"/>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8"/>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As of and for the nine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6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40" w:type="dxa"/>
            <w:vAlign w:val="bottom"/>
          </w:tcPr>
          <w:p>
            <w:pPr>
              <w:spacing w:after="0"/>
              <w:rPr>
                <w:sz w:val="21"/>
                <w:szCs w:val="21"/>
                <w:color w:val="auto"/>
              </w:rPr>
            </w:pPr>
          </w:p>
        </w:tc>
        <w:tc>
          <w:tcPr>
            <w:tcW w:w="222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40" w:type="dxa"/>
            <w:vAlign w:val="bottom"/>
          </w:tcPr>
          <w:p>
            <w:pPr>
              <w:spacing w:after="0"/>
              <w:rPr>
                <w:sz w:val="21"/>
                <w:szCs w:val="21"/>
                <w:color w:val="auto"/>
              </w:rPr>
            </w:pPr>
          </w:p>
        </w:tc>
        <w:tc>
          <w:tcPr>
            <w:tcW w:w="21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 of</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4"/>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4"/>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Loans Held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rPr>
              <w:t>Loans Held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Loans Held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Loans Held</w:t>
            </w:r>
          </w:p>
        </w:tc>
        <w:tc>
          <w:tcPr>
            <w:tcW w:w="0" w:type="dxa"/>
            <w:vAlign w:val="bottom"/>
          </w:tcPr>
          <w:p>
            <w:pPr>
              <w:spacing w:after="0"/>
              <w:rPr>
                <w:sz w:val="1"/>
                <w:szCs w:val="1"/>
                <w:color w:val="auto"/>
              </w:rPr>
            </w:pPr>
          </w:p>
        </w:tc>
      </w:tr>
      <w:tr>
        <w:trPr>
          <w:trHeight w:val="176"/>
        </w:trPr>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80" w:type="dxa"/>
            <w:vAlign w:val="bottom"/>
          </w:tcPr>
          <w:p>
            <w:pPr>
              <w:spacing w:after="0"/>
              <w:rPr>
                <w:sz w:val="15"/>
                <w:szCs w:val="15"/>
                <w:color w:val="auto"/>
              </w:rPr>
            </w:pPr>
          </w:p>
        </w:tc>
        <w:tc>
          <w:tcPr>
            <w:tcW w:w="1300" w:type="dxa"/>
            <w:vAlign w:val="bottom"/>
            <w:gridSpan w:val="4"/>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for</w:t>
            </w:r>
          </w:p>
        </w:tc>
        <w:tc>
          <w:tcPr>
            <w:tcW w:w="9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80" w:type="dxa"/>
            <w:vAlign w:val="bottom"/>
          </w:tcPr>
          <w:p>
            <w:pPr>
              <w:spacing w:after="0"/>
              <w:rPr>
                <w:sz w:val="15"/>
                <w:szCs w:val="15"/>
                <w:color w:val="auto"/>
              </w:rPr>
            </w:pPr>
          </w:p>
        </w:tc>
        <w:tc>
          <w:tcPr>
            <w:tcW w:w="11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5"/>
              </w:rPr>
              <w:t>for</w:t>
            </w:r>
          </w:p>
        </w:tc>
        <w:tc>
          <w:tcPr>
            <w:tcW w:w="140" w:type="dxa"/>
            <w:vAlign w:val="bottom"/>
          </w:tcPr>
          <w:p>
            <w:pPr>
              <w:spacing w:after="0"/>
              <w:rPr>
                <w:sz w:val="15"/>
                <w:szCs w:val="15"/>
                <w:color w:val="auto"/>
              </w:rPr>
            </w:pPr>
          </w:p>
        </w:tc>
        <w:tc>
          <w:tcPr>
            <w:tcW w:w="9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80" w:type="dxa"/>
            <w:vAlign w:val="bottom"/>
          </w:tcPr>
          <w:p>
            <w:pPr>
              <w:spacing w:after="0"/>
              <w:rPr>
                <w:sz w:val="15"/>
                <w:szCs w:val="15"/>
                <w:color w:val="auto"/>
              </w:rPr>
            </w:pPr>
          </w:p>
        </w:tc>
        <w:tc>
          <w:tcPr>
            <w:tcW w:w="11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for</w:t>
            </w:r>
          </w:p>
        </w:tc>
        <w:tc>
          <w:tcPr>
            <w:tcW w:w="140" w:type="dxa"/>
            <w:vAlign w:val="bottom"/>
          </w:tcPr>
          <w:p>
            <w:pPr>
              <w:spacing w:after="0"/>
              <w:rPr>
                <w:sz w:val="15"/>
                <w:szCs w:val="15"/>
                <w:color w:val="auto"/>
              </w:rPr>
            </w:pPr>
          </w:p>
        </w:tc>
        <w:tc>
          <w:tcPr>
            <w:tcW w:w="9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80" w:type="dxa"/>
            <w:vAlign w:val="bottom"/>
          </w:tcPr>
          <w:p>
            <w:pPr>
              <w:spacing w:after="0"/>
              <w:rPr>
                <w:sz w:val="15"/>
                <w:szCs w:val="15"/>
                <w:color w:val="auto"/>
              </w:rPr>
            </w:pPr>
          </w:p>
        </w:tc>
        <w:tc>
          <w:tcPr>
            <w:tcW w:w="1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for</w:t>
            </w:r>
          </w:p>
        </w:tc>
        <w:tc>
          <w:tcPr>
            <w:tcW w:w="0" w:type="dxa"/>
            <w:vAlign w:val="bottom"/>
          </w:tcPr>
          <w:p>
            <w:pPr>
              <w:spacing w:after="0"/>
              <w:rPr>
                <w:sz w:val="1"/>
                <w:szCs w:val="1"/>
                <w:color w:val="auto"/>
              </w:rPr>
            </w:pPr>
          </w:p>
        </w:tc>
      </w:tr>
      <w:tr>
        <w:trPr>
          <w:trHeight w:val="243"/>
        </w:trPr>
        <w:tc>
          <w:tcPr>
            <w:tcW w:w="1760" w:type="dxa"/>
            <w:vAlign w:val="bottom"/>
            <w:tcBorders>
              <w:bottom w:val="single" w:sz="8" w:color="auto"/>
            </w:tcBorders>
            <w:gridSpan w:val="2"/>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205"/>
        </w:trPr>
        <w:tc>
          <w:tcPr>
            <w:tcW w:w="1840" w:type="dxa"/>
            <w:vAlign w:val="bottom"/>
            <w:gridSpan w:val="3"/>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Average loans held for</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3,831,785</w:t>
            </w:r>
          </w:p>
        </w:tc>
        <w:tc>
          <w:tcPr>
            <w:tcW w:w="13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3,350,125</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3,697,065</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3,203,569</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40,167</w:t>
            </w:r>
          </w:p>
        </w:tc>
        <w:tc>
          <w:tcPr>
            <w:tcW w:w="13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35,406</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37,791</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34,431</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(2,454)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(2,783)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Unsecured</w:t>
            </w:r>
          </w:p>
        </w:tc>
        <w:tc>
          <w:tcPr>
            <w:tcW w:w="1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3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1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(606)</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(773)</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(2,780)</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(2,798)</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Provision for credit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2,950</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7,050</w:t>
            </w:r>
          </w:p>
        </w:tc>
        <w:tc>
          <w:tcPr>
            <w:tcW w:w="8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5,950</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Allowance for credit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42,061</w:t>
            </w:r>
          </w:p>
        </w:tc>
        <w:tc>
          <w:tcPr>
            <w:tcW w:w="138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37,583</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42,061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37,583</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380" w:type="dxa"/>
            <w:vAlign w:val="bottom"/>
            <w:gridSpan w:val="5"/>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Loans held for</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3,887,259</w:t>
            </w:r>
          </w:p>
        </w:tc>
        <w:tc>
          <w:tcPr>
            <w:tcW w:w="13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3,460,565</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3,887,259</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3,460,565</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40" w:type="dxa"/>
            <w:vAlign w:val="bottom"/>
            <w:tcBorders>
              <w:top w:val="single" w:sz="8" w:color="CCEEFF"/>
            </w:tcBorders>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Allowance for credit</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losses to loans held for</w:t>
            </w: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ratio of the allowance for credit losses to loans held for investment decreased from 1.09% as of September 30, 2024 to 1.08% as of September 30, 2025. Net charge-offs as a percent of average loans held for investment remained at 0.02% for the three months ended September 30, 2024 and September 30, 2025. Net charge-offs as a percent of average loans held for investment decreased from 0.09% for the nine months ended September 30, 2024 to 0.08% for the nine months ended September 30,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nine months of 2025, total liabilities increased by $553.8 million from $3.7 billion as of December 31, 2024 to $4.2 billion as of September 30, 2025. This increase was primarily due to an increase in interest-bearing deposits of $409.0 million and an increase in non-interest-bearing deposits of $136.5 million. The increase in interest-bearing deposits was largely due to an increase in money market deposits of $446.9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97.46% of our total liabilities as of September 30, 2025, deposits are our primary source of funding for our business operations.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deposits increased by $545.4 million, or 15.33%, to $4.1 billion at September 30, 2025 from $3.6 billion at December 31, 2024. The increase was due to increases in non-wholesale deposits exceeding decreases in wholesale deposits. The Company defines wholesale deposits as brokered deposits and California Time Deposit Program deposits. Non-interest-bearing deposits increased by $136.5 million from December 31, 2024 to $1.1 billion at September 30, 2025, representing 25.81% of total deposits at that date, as compared to 25.93% of total deposits at December 31, 2024. Our loan to deposit ratio was 94.73% at September 30, 2025, as compared to 99.38% at December 31, 2024. We intend to continue to operate our business with close monitoring of the loan to deposit ratio.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22 summarizes our deposit composition by average deposit balances and average rates paid for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Table 22: Deposit Composition by Average Balances and Rates Paid</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9"/>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1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gridSpan w:val="2"/>
            <w:vMerge w:val="restart"/>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Average Rate</w:t>
            </w: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Average Rate</w:t>
            </w: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gridSpan w:val="2"/>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Paid</w:t>
            </w:r>
          </w:p>
        </w:tc>
        <w:tc>
          <w:tcPr>
            <w:tcW w:w="100" w:type="dxa"/>
            <w:vAlign w:val="bottom"/>
            <w:tcBorders>
              <w:bottom w:val="single" w:sz="8" w:color="CCEEFF"/>
            </w:tcBorders>
            <w:gridSpan w:val="2"/>
          </w:tcPr>
          <w:p>
            <w:pPr>
              <w:spacing w:after="0"/>
              <w:rPr>
                <w:sz w:val="21"/>
                <w:szCs w:val="21"/>
                <w:color w:val="auto"/>
              </w:rPr>
            </w:pPr>
          </w:p>
        </w:tc>
        <w:tc>
          <w:tcPr>
            <w:tcW w:w="180" w:type="dxa"/>
            <w:vAlign w:val="bottom"/>
            <w:tcBorders>
              <w:bottom w:val="single" w:sz="8" w:color="auto"/>
            </w:tcBorders>
            <w:gridSpan w:val="2"/>
          </w:tcPr>
          <w:p>
            <w:pPr>
              <w:spacing w:after="0"/>
              <w:rPr>
                <w:sz w:val="21"/>
                <w:szCs w:val="21"/>
                <w:color w:val="auto"/>
              </w:rPr>
            </w:pPr>
          </w:p>
        </w:tc>
        <w:tc>
          <w:tcPr>
            <w:tcW w:w="1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0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300,642</w:t>
            </w:r>
          </w:p>
        </w:tc>
        <w:tc>
          <w:tcPr>
            <w:tcW w:w="13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7.59 %</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302,188</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and savings accounts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2,005,062</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1,703,095</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accounts</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639,434</w:t>
            </w:r>
          </w:p>
        </w:tc>
        <w:tc>
          <w:tcPr>
            <w:tcW w:w="13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16.14 %</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326,640</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29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Demand accounts</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1,016,560</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auto"/>
            </w:tcBorders>
            <w:gridSpan w:val="2"/>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25.66 %</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852,872</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26.78 %</w:t>
            </w:r>
          </w:p>
        </w:tc>
        <w:tc>
          <w:tcPr>
            <w:tcW w:w="0" w:type="dxa"/>
            <w:vAlign w:val="bottom"/>
          </w:tcPr>
          <w:p>
            <w:pPr>
              <w:spacing w:after="0"/>
              <w:rPr>
                <w:sz w:val="1"/>
                <w:szCs w:val="1"/>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29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3,961,698</w:t>
            </w:r>
          </w:p>
        </w:tc>
        <w:tc>
          <w:tcPr>
            <w:tcW w:w="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3,184,795</w:t>
            </w:r>
          </w:p>
        </w:tc>
        <w:tc>
          <w:tcPr>
            <w:tcW w:w="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8"/>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 Rate</w:t>
            </w: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Average Rate</w:t>
            </w: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2"/>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Paid</w:t>
            </w:r>
          </w:p>
        </w:tc>
        <w:tc>
          <w:tcPr>
            <w:tcW w:w="100" w:type="dxa"/>
            <w:vAlign w:val="bottom"/>
            <w:tcBorders>
              <w:bottom w:val="single" w:sz="8" w:color="CCEEFF"/>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Deposits</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295,933</w:t>
            </w:r>
          </w:p>
        </w:tc>
        <w:tc>
          <w:tcPr>
            <w:tcW w:w="13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7.87 %</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298,010</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and savings accounts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1,814,202</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1,635,519</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accounts</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690,506</w:t>
            </w:r>
          </w:p>
        </w:tc>
        <w:tc>
          <w:tcPr>
            <w:tcW w:w="13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18.35 %</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342,978</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29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Demand accounts</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961,903</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25.57 %</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837,604</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26.90 %</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29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3,762,544</w:t>
            </w:r>
          </w:p>
        </w:tc>
        <w:tc>
          <w:tcPr>
            <w:tcW w:w="13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3,114,111</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Uninsured and uncollateralized deposits totaled approximately $1.4 billion and $1.2 billion at September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our 56 largest deposit relationships, each accounting for more than $10.0 million, totaled $2.0 billion, or 49.21% of our total deposits. The average age on deposit relationships of more than $5.0 million was approximately 7.98 years as of September 30, 2025. As of December 31, 2024, our 49 largest deposit relationships, each accounting for more than $10.0 million, totaled $1.8 billion, or 50.35% of our total deposits.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23 shows the entity types making up our large deposit relationships at the dates indicated.</w:t>
            </w: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23: Composition of Large Deposit Relationships</w:t>
            </w:r>
          </w:p>
        </w:tc>
        <w:tc>
          <w:tcPr>
            <w:tcW w:w="31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739,595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674,094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Non-profits</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211,480</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Businesses</w:t>
            </w:r>
          </w:p>
        </w:tc>
        <w:tc>
          <w:tcPr>
            <w:tcW w:w="18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791,397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605,894</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0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Brokered deposits</w:t>
            </w:r>
          </w:p>
        </w:tc>
        <w:tc>
          <w:tcPr>
            <w:tcW w:w="1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216,402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299,961</w:t>
            </w:r>
          </w:p>
        </w:tc>
        <w:tc>
          <w:tcPr>
            <w:tcW w:w="0" w:type="dxa"/>
            <w:vAlign w:val="bottom"/>
          </w:tcPr>
          <w:p>
            <w:pPr>
              <w:spacing w:after="0"/>
              <w:rPr>
                <w:sz w:val="1"/>
                <w:szCs w:val="1"/>
                <w:color w:val="auto"/>
              </w:rPr>
            </w:pPr>
          </w:p>
        </w:tc>
      </w:tr>
      <w:tr>
        <w:trPr>
          <w:trHeight w:val="281"/>
        </w:trPr>
        <w:tc>
          <w:tcPr>
            <w:tcW w:w="20" w:type="dxa"/>
            <w:vAlign w:val="bottom"/>
            <w:tcBorders>
              <w:bottom w:val="single" w:sz="8" w:color="CCEEFF"/>
            </w:tcBorders>
            <w:shd w:val="clear" w:color="auto" w:fill="CCEEFF"/>
          </w:tcPr>
          <w:p>
            <w:pPr>
              <w:spacing w:after="0"/>
              <w:rPr>
                <w:sz w:val="24"/>
                <w:szCs w:val="24"/>
                <w:color w:val="auto"/>
              </w:rPr>
            </w:pPr>
          </w:p>
        </w:tc>
        <w:tc>
          <w:tcPr>
            <w:tcW w:w="70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2,019,266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1,791,429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largest single deposit relationship at September 30, 2025 related to a government agency. The balance for this customer was $290.0 million, or approximately 7.07% of total deposits as of that date. At December 31, 2024, our largest single deposit relationship related to brokered deposits and had a balance of $300.0 million, or 8.43% of total deposits as of that date. As our demand deposits fluctuate, we have purchased brokered deposits as needed to supplement liquidity. We do not consider brokered deposits as core deposits, but as another deposit funding source for our loan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24 sets forth the maturity of time deposits as of September 30,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24: Scheduled Maturities of Time Deposits</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3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250,000 or Greater</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 $250,000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Uninsured Portion</w:t>
            </w:r>
          </w:p>
        </w:tc>
      </w:tr>
      <w:tr>
        <w:trPr>
          <w:trHeight w:val="250"/>
        </w:trPr>
        <w:tc>
          <w:tcPr>
            <w:tcW w:w="20" w:type="dxa"/>
            <w:vAlign w:val="bottom"/>
            <w:shd w:val="clear" w:color="auto" w:fill="CCEEFF"/>
          </w:tcPr>
          <w:p>
            <w:pPr>
              <w:spacing w:after="0"/>
              <w:rPr>
                <w:sz w:val="21"/>
                <w:szCs w:val="21"/>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maturity:</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4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Three months or less</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336,109</w:t>
            </w:r>
          </w:p>
        </w:tc>
        <w:tc>
          <w:tcPr>
            <w:tcW w:w="100" w:type="dxa"/>
            <w:vAlign w:val="bottom"/>
          </w:tcPr>
          <w:p>
            <w:pPr>
              <w:spacing w:after="0"/>
              <w:rPr>
                <w:sz w:val="22"/>
                <w:szCs w:val="22"/>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227,700</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563,809</w:t>
            </w:r>
          </w:p>
        </w:tc>
        <w:tc>
          <w:tcPr>
            <w:tcW w:w="10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330,151</w:t>
            </w:r>
          </w:p>
        </w:tc>
      </w:tr>
      <w:tr>
        <w:trPr>
          <w:trHeight w:val="256"/>
        </w:trPr>
        <w:tc>
          <w:tcPr>
            <w:tcW w:w="20" w:type="dxa"/>
            <w:vAlign w:val="bottom"/>
            <w:shd w:val="clear" w:color="auto" w:fill="CCEEFF"/>
          </w:tcPr>
          <w:p>
            <w:pPr>
              <w:spacing w:after="0"/>
              <w:rPr>
                <w:sz w:val="22"/>
                <w:szCs w:val="22"/>
                <w:color w:val="auto"/>
              </w:rPr>
            </w:pPr>
          </w:p>
        </w:tc>
        <w:tc>
          <w:tcPr>
            <w:tcW w:w="4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 three through six months</w:t>
            </w: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38,082</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26,864</w:t>
            </w:r>
          </w:p>
        </w:tc>
      </w:tr>
      <w:tr>
        <w:trPr>
          <w:trHeight w:val="257"/>
        </w:trPr>
        <w:tc>
          <w:tcPr>
            <w:tcW w:w="20" w:type="dxa"/>
            <w:vAlign w:val="bottom"/>
          </w:tcPr>
          <w:p>
            <w:pPr>
              <w:spacing w:after="0"/>
              <w:rPr>
                <w:sz w:val="22"/>
                <w:szCs w:val="22"/>
                <w:color w:val="auto"/>
              </w:rPr>
            </w:pPr>
          </w:p>
        </w:tc>
        <w:tc>
          <w:tcPr>
            <w:tcW w:w="4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Over six through twelve months</w:t>
            </w: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22,514</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w:t>
            </w:r>
          </w:p>
        </w:tc>
      </w:tr>
      <w:tr>
        <w:trPr>
          <w:trHeight w:val="256"/>
        </w:trPr>
        <w:tc>
          <w:tcPr>
            <w:tcW w:w="20" w:type="dxa"/>
            <w:vAlign w:val="bottom"/>
            <w:shd w:val="clear" w:color="auto" w:fill="CCEEFF"/>
          </w:tcPr>
          <w:p>
            <w:pPr>
              <w:spacing w:after="0"/>
              <w:rPr>
                <w:sz w:val="22"/>
                <w:szCs w:val="22"/>
                <w:color w:val="auto"/>
              </w:rPr>
            </w:pPr>
          </w:p>
        </w:tc>
        <w:tc>
          <w:tcPr>
            <w:tcW w:w="4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 twelve months</w:t>
            </w: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50"/>
        </w:trPr>
        <w:tc>
          <w:tcPr>
            <w:tcW w:w="20" w:type="dxa"/>
            <w:vAlign w:val="bottom"/>
          </w:tcPr>
          <w:p>
            <w:pPr>
              <w:spacing w:after="0"/>
              <w:rPr>
                <w:sz w:val="21"/>
                <w:szCs w:val="21"/>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379,368</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246,212</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625,580</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362,410</w:t>
            </w: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FHLB Advances and Other Borrowings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utilize short-term collateralized FHLB borrowings to maintain adequate liquidity. There were no borrowings outstanding as of September 30, 2025 and December 31,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we issued subordinated notes of $75.0 million. This debt was issued to investors in private placement transactions. See Note 6, Subordinated Notes and Other Borrowings, in the notes to our unaudited consolidated financial statements included in this Quarterly Report on Form 10-Q for additional information regarding these subordinated notes. The proceeds of the notes qualify as Tier 2 capital for the Company under the regulatory capital rules of the federal banking agencies.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25 is a summary of our outstanding subordinated notes as of September 30,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Table 25: Subordinated Notes Outstanding</w:t>
            </w:r>
          </w:p>
        </w:tc>
        <w:tc>
          <w:tcPr>
            <w:tcW w:w="16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 of Notes</w:t>
            </w:r>
          </w:p>
        </w:tc>
        <w:tc>
          <w:tcPr>
            <w:tcW w:w="8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Prepayment Right</w:t>
            </w:r>
          </w:p>
        </w:tc>
        <w:tc>
          <w:tcPr>
            <w:tcW w:w="8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50"/>
        </w:trPr>
        <w:tc>
          <w:tcPr>
            <w:tcW w:w="20" w:type="dxa"/>
            <w:vAlign w:val="bottom"/>
            <w:shd w:val="clear" w:color="auto" w:fill="CCEEFF"/>
          </w:tcPr>
          <w:p>
            <w:pPr>
              <w:spacing w:after="0"/>
              <w:rPr>
                <w:sz w:val="21"/>
                <w:szCs w:val="21"/>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2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August 17, 2027</w:t>
            </w:r>
          </w:p>
        </w:tc>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1, 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15175"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Fixed at 6.00% through September 1, 2027, then three-month Term SOFR plus 329.0 basis points (7.61% as of September 30, 2025) through maturity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equity totaled $431.3 million at September 30, 2025 and $396.6 million at December 31, 2024. The increase was primarily a result of net income recognized of $44.0 million and a $2.5 million increase in accumulated other comprehensive income, partially offset by $12.8 million in cash dividends paid during the nine months ended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Management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manage liquidity based upon factors that include the level of diversification of our funding sources, the composition of our deposit types, the availability of unused funding sources, our off-balance sheet obligations, the amount of cash and liquid securities we hold, and the availability of assets to be readily converted into cash without undue loss. As the primary federal regulator of the Bank, the FDIC evaluates our liquidity on a stand-alone basis pursuant to applicable guidance and policies.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borrower credit quality, capital markets, and operational, legal, or reputational risks could also affect the Bank’s liquidity risk profile and are considered in the assessment of liquidity management.</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 corporation separate and apart from the Bank and, therefore, must provide for its own liquidity, including liquidity required to meet its debt service requirements on its subordinated notes.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the Company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in order to meet all reasonably foreseeable short-term, long-term, and strategic liquidity demands. Management has established a comprehensive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liquidity position is supported by management of our liquid assets and liabilities and access to alternative sources of funds. Our liquidity requirements are met primarily through our deposits, Federal Reserve Discount Window advances,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the Federal Reserve Discount Window, and proceeds from the sale of loans. Less commonly used sources of funding include borrowings from established federal funds lines from unaffiliated commercial banks, and the issuance of debt or equity securities. We believe we have ample liquidity resources to fund future growth and meet other cash needs as necessary.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1" w:name="page62"/>
    <w:bookmarkEnd w:id="61"/>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have a shelf registration statement on file with the SEC registering $250.0 million for any combination of equity or debt securities, depository shares, warrants, purchase contracts, purchase units, subscription rights, and units in one or more offerings. Specific information on the terms of any securities being offered, including the expected use of proceeds from the sale of such securities, are provided at the time of the offering. In April 2024, we sold an aggregate of 3,967,500 shares of our common stock at a price of $21.75 per share in a public offering (the “2024 Public Offering”), for net proceeds to us, after deducting underwriting discounts and commissions and offering expenses payable by us, of approximately $80.9 million, to be used for general corporate purposes and to support continued growth, including through investments in the Bank to pursue growth opportunities, and for working capital. The 2024 Public Offering used approximately $86.3 million of our shelf registration statement on file with the SEC, leaving approximately $163.7 million available for future offerings.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executive officers and board of directors review our sources and potential uses of cash in connection with our annual budgeting process. Generally speaking, our principal funding source is cash from deposits, and our principal uses of cash include funding of loans, operating expenses, income taxes, and dividend payments, as described below. As of September 30, 2025, management believes the above-mentioned sources will provide adequate liquidity during the next twelve months for the Bank to meet its operating needs. In addition, in April 2024, the Company closed the 2024 Public Offering. The proceeds to the Company, after deducting underwriting discounts and commissions and offering expenses payable by the Company, were approximately $80.9 million, providing additional cash to support the Company’s ongoing operating needs.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are a significant use of cash in daily operations, and a source of cash as customers make payments on their loans or as loans are sold to other financial institutions. Cash flows from loans are affected by the timing and amount of customer payments and prepayments, changes in interest rates, the general economic environment, competition, and the political environment.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we had cash outflows of $356.2 million in loan originations and advances, net of principal collected, and $1.4 million in loans originated for sale.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in the ordinary course of business, we enter into commitments to extend credit, such as commitments to fund new loans and undisbursed construction funds. While these commitments represent contractual cash requirements, a portion of these commitments to extend credit may expire without being drawn upon. Therefore, the total commitment amounts do not necessarily represent future cash requirements. At September 30, 2025, off-balance sheet commitments totaled $477.6 million. We expect to fund these commitments to the extent utilized primarily through the repayment of existing loans, deposit growth, and liquid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Deposits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Deposits are our primary source of funding for our business operations, and the cost of deposits has a significant impact on our net interest income and net interest margin.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deposits are primarily made up of money market, interest-bearing transaction, time, and non-interest-bearing demand deposits. Aside from commercial and business clients, a significant portion of our deposits are from municipalities and non-profit organizations. Cash flows from deposits are impacted by the timing and amount of customer deposits, changes in market rates, and collateral availability.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2025, we had cash inflows of $545.4 million related to an increase in deposits.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twelve months following September 30, 2025, approximately $624.4 million of time deposits are expected to mature, which includes $216.4 million of brokered deposits. These deposits may or may not renew due to general competition. We expect the outflow will not be significant and can be replenished through our organic growth in deposits. We believe our emphasis on local deposits and our San Francisco Bay Area expansion provide a stable funding base.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cash and cash equivalents represented 14.15% of total deposits.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auto"/>
        </w:rPr>
        <w:t>Investment Securities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investment securities totaled $97.8 million at September 30, 2025. Mortgage-backed securities and obligations of states and political subdivisions comprised 50.41% and 37.26% of our investment portfolio, respectively. Cash proceeds from mortgage-backed securities result from payments of principal and interest by borrowers. Cash proceeds from obligations of states and political subdivisions occur when these securities are called or mature. Assuming the current prepayment speed and interest rate environment, we expect to receive approximately $9.4 million from our securities over the twelve months following September 30, 2025. In future periods, we expect to maintain approximately the same level of cash flows from our securities. Depending on market yield and our liquidity, we may purchase securities as a use of cash in our interest-earning asset portfolio.</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we had cash proceeds from sales, maturities, calls, and prepayments of securities of $7.6 million and cash outflows from the purchase of a security for $1.0 million. Additionally, at September 30, 2025, securities available-for-sale totaled $95.6 million, of which $90.6 million has been pledged as collateral for borrowings and other commitments.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FHLB Financing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is a shareholder of the FHLB, which enables the Bank to have access to lower-cost FHLB financing when necessary. At September 30, 2025, the Bank had no outstanding FHLB financing borrowings and a total financing availability of $658.5 million, net of letters of credit issued of $762.5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Federal Reserve Discount Window</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the ability to borrow from the Federal Reserve Discount Window when necessary. At September 30, 2025, the Bank had no outstanding Federal Reserve Discount Window borrowings and a total financing availability of $918.4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Correspondent Bank Lines of Credit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the unused and available amount for borrowing from correspondent bank lines of credit was $185.0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Total Liquidity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liquidity (consisting of cash and cash equivalents and unused and immediately available borrowing capacity as set forth in Table 26) was approximately $2.3 billion as of September 30, 2025.</w:t>
      </w:r>
    </w:p>
    <w:p>
      <w:pPr>
        <w:sectPr>
          <w:pgSz w:w="11900" w:h="16838" w:orient="portrait"/>
          <w:cols w:equalWidth="0" w:num="1">
            <w:col w:w="11240"/>
          </w:cols>
          <w:pgMar w:left="320" w:top="1147" w:right="339" w:bottom="1440" w:gutter="0" w:footer="0" w:header="0"/>
        </w:sect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26: Total Liquidity</w:t>
      </w: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FHLB advances</w:t>
      </w:r>
    </w:p>
    <w:p>
      <w:pPr>
        <w:spacing w:after="0" w:line="36" w:lineRule="exact"/>
        <w:rPr>
          <w:sz w:val="20"/>
          <w:szCs w:val="20"/>
          <w:color w:val="auto"/>
        </w:rPr>
      </w:pPr>
    </w:p>
    <w:p>
      <w:pPr>
        <w:jc w:val="both"/>
        <w:ind w:left="20" w:right="1300"/>
        <w:spacing w:after="0" w:line="305" w:lineRule="auto"/>
        <w:rPr>
          <w:sz w:val="20"/>
          <w:szCs w:val="20"/>
          <w:color w:val="auto"/>
        </w:rPr>
      </w:pPr>
      <w:r>
        <w:rPr>
          <w:rFonts w:ascii="Times New Roman" w:cs="Times New Roman" w:eastAsia="Times New Roman" w:hAnsi="Times New Roman"/>
          <w:sz w:val="17"/>
          <w:szCs w:val="17"/>
          <w:color w:val="auto"/>
        </w:rPr>
        <w:t>Federal Reserve Discount Window Correspondent bank lines of credit Cash and cash equivalents</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Contractual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Line of Credit</w:t>
            </w:r>
          </w:p>
        </w:tc>
        <w:tc>
          <w:tcPr>
            <w:tcW w:w="80" w:type="dxa"/>
            <w:vAlign w:val="bottom"/>
            <w:tcBorders>
              <w:top w:val="single" w:sz="8" w:color="auto"/>
            </w:tcBorders>
            <w:vMerge w:val="restart"/>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Letters of Credit</w:t>
            </w: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00" w:type="dxa"/>
            <w:vAlign w:val="bottom"/>
            <w:tcBorders>
              <w:top w:val="single" w:sz="8" w:color="auto"/>
            </w:tcBorders>
            <w:vMerge w:val="restart"/>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Available</w:t>
            </w:r>
          </w:p>
        </w:tc>
        <w:tc>
          <w:tcPr>
            <w:tcW w:w="0" w:type="dxa"/>
            <w:vAlign w:val="bottom"/>
          </w:tcPr>
          <w:p>
            <w:pPr>
              <w:spacing w:after="0"/>
              <w:rPr>
                <w:sz w:val="1"/>
                <w:szCs w:val="1"/>
                <w:color w:val="auto"/>
              </w:rPr>
            </w:pPr>
          </w:p>
        </w:tc>
      </w:tr>
      <w:tr>
        <w:trPr>
          <w:trHeight w:val="243"/>
        </w:trPr>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1,420,987</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762,500</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658,487</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918,370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918,370</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0" w:type="dxa"/>
            <w:vAlign w:val="bottom"/>
          </w:tcPr>
          <w:p>
            <w:pPr>
              <w:spacing w:after="0"/>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580,447</w:t>
            </w:r>
          </w:p>
        </w:tc>
        <w:tc>
          <w:tcPr>
            <w:tcW w:w="0" w:type="dxa"/>
            <w:vAlign w:val="bottom"/>
          </w:tcPr>
          <w:p>
            <w:pPr>
              <w:spacing w:after="0"/>
              <w:rPr>
                <w:sz w:val="1"/>
                <w:szCs w:val="1"/>
                <w:color w:val="auto"/>
              </w:rPr>
            </w:pPr>
          </w:p>
        </w:tc>
      </w:tr>
      <w:tr>
        <w:trPr>
          <w:trHeight w:val="24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2,524,357</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762,500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2,342,304</w:t>
            </w:r>
          </w:p>
        </w:tc>
        <w:tc>
          <w:tcPr>
            <w:tcW w:w="0" w:type="dxa"/>
            <w:vAlign w:val="bottom"/>
          </w:tcPr>
          <w:p>
            <w:pPr>
              <w:spacing w:after="0"/>
              <w:rPr>
                <w:sz w:val="1"/>
                <w:szCs w:val="1"/>
                <w:color w:val="auto"/>
              </w:rPr>
            </w:pPr>
          </w:p>
        </w:tc>
      </w:tr>
      <w:tr>
        <w:trPr>
          <w:trHeight w:val="27"/>
        </w:trPr>
        <w:tc>
          <w:tcPr>
            <w:tcW w:w="18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-805180</wp:posOffset>
            </wp:positionV>
            <wp:extent cx="7115175"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-496570</wp:posOffset>
            </wp:positionV>
            <wp:extent cx="7115175"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-205105</wp:posOffset>
            </wp:positionV>
            <wp:extent cx="7115175"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2">
            <w:col w:w="3840" w:space="720"/>
            <w:col w:w="6680"/>
          </w:cols>
          <w:pgMar w:left="320" w:top="1147" w:right="339" w:bottom="1440" w:gutter="0" w:footer="0" w:header="0"/>
          <w:type w:val="continuous"/>
        </w:sectPr>
      </w:pP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estimated future contractual obligations as of September 30, 2025 include both current and long-term obligations. Under our operating leases, we have an operating lease liability of $10.4 million. We have a current obligation of $624.4 million and a long-term obligation of $1.2 million related to time deposits, as discussed in Note 5, Interest-Bearing Deposits. We have net subordinated notes of $74.0 million, all of which are long-term obligations. We also have contractual obligations on unfunded loan commitments and standby letters of credit totaling $477.6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use of liquidity for the Company is shareholder dividends. The Company paid dividends to its shareholders totaling $4.3 million during the three months ended September 30, 2025.</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continue our current practice of paying quarterly cash dividends with respect to our common stock, subject to our board of directors’ discretion to modify or terminate this practice at any time and for any reason without prior notice. We believe our quarterly dividend rate per share, as approved by our board of directors, enables us to balance our multiple objectives of managing our business and returning a portion of our earnings to our shareholders. Assuming continued payment during the rest of 2025 at a rate of $0.20 per share, our average total dividend paid each quarter would be approximately $4.3 million based on the number of currently outstanding shares if there are no increases or decreases in the number of shares, and given that unvested RSAs share equally in dividends with outstanding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Impact of Inflation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unaudited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Historical Information</w:t>
            </w: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27 summarizes our consolidated cash flow activities.</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27: Consolidated Cash Flow Activities</w:t>
            </w:r>
          </w:p>
        </w:tc>
        <w:tc>
          <w:tcPr>
            <w:tcW w:w="320" w:type="dxa"/>
            <w:vAlign w:val="bottom"/>
          </w:tcPr>
          <w:p>
            <w:pPr>
              <w:spacing w:after="0"/>
              <w:rPr>
                <w:sz w:val="24"/>
                <w:szCs w:val="24"/>
                <w:color w:val="auto"/>
              </w:rPr>
            </w:pPr>
          </w:p>
        </w:tc>
        <w:tc>
          <w:tcPr>
            <w:tcW w:w="3480" w:type="dxa"/>
            <w:vAlign w:val="bottom"/>
            <w:gridSpan w:val="5"/>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tcBorders>
              <w:top w:val="single" w:sz="8" w:color="auto"/>
            </w:tcBorders>
          </w:tcPr>
          <w:p>
            <w:pPr>
              <w:spacing w:after="0"/>
              <w:rPr>
                <w:sz w:val="21"/>
                <w:szCs w:val="21"/>
                <w:color w:val="auto"/>
              </w:rPr>
            </w:pPr>
          </w:p>
        </w:tc>
        <w:tc>
          <w:tcPr>
            <w:tcW w:w="2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80" w:type="dxa"/>
            <w:vAlign w:val="bottom"/>
            <w:gridSpan w:val="5"/>
            <w:vMerge w:val="continue"/>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5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(376,490)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260,658</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increased by $18.3 million for the nine months ended September 30, 2025 compared to the nine months ended September 30, 2024, primarily due to lower loans originated for sale, higher net income, and higher net change in interest payable and other liabilities. These sources of cash were partially offset by lower gross proceeds from sale of loans and lower net change in interest receivable and other assets. Cash provided by operating activities is subject to variability period-over-period as a result of timing differences, including with respect to the collection of receivables and payments of interest expense, accounts payable, and bonuses.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our operating results, see “Results of Operations”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decreased by $19.9 million for the nine months ended September 30, 2025 compared to the nine months ended September 30, 2024, primarily due to lower originations of loans held for investment, net of repayments.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increased by $260.7 million for the nine months ended September 30, 2025 compared to the nine months ended September 30, 2024, primarily due to an increase in deposits and lower borrowings, partially offset by proceeds from the 2024 Public Offering.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Capital Adequacy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capital by tracking our level and quality of capital with consideration given to our overall financial condition, our asset quality, our level of allowance for credit losses, our geographic and industry concentrations, and other risk factors on our balance sheet, including interest rate sensitivity.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Bancorp and the Bank are subject to various regulatory capital requirements administered by the federal and state banking agencies. Failure to meet minimum capital requirements as set forth in Tables 28 and 29 can initiate certain mandatory and possibly additional discretionary actions by regulators that, if undertaken, could have a material effect on our unaudited consolidated financial statements.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federal regulations implementing the Basel III framework, the Bank is subject to minimum risk-based and leverage capital requirements. The Bank also is subject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Capital amounts for Bancorp and the Bank, and the Bank’s prompt corrective action classification, are also subject to qualitative judgments by the regulators about components of capital, risk weightings, and other factors. As of September 30, 2025, both Bancorp and the Bank were in compliance with all applicable regulatory capital requirements, and the Bank qualified as “well-capitalized” under the prompt corrective action framework.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reviews capital ratios on a regular basis to ensure that capital exceeds the prescribed regulatory minimums and is adequate to meet our anticipated future needs. For all periods presented, the Bank’s ratios exceed the regulatory definition of “well-capitalized” under the regulatory framework for prompt corrective action, and Bancorp’s ratios exceed the minimum ratios required for it to be considered a well-capitalized bank holding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adequacy ratios as of September 30, 2025 and December 31, 2024 for Bancorp and the Bank are presented in Tables 28 and 29. As of September 30, 2025 and December 31, 2024, Bancorp’s Tier 2 capital included subordinated notes, which were not included at the Bank level. Eligible amounts of subordinated notes included in Tier 2 capital will be phased out by 20% per year beginning five years before the maturity date of the notes.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28: Capital Ratios for Bancorp</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660" w:type="dxa"/>
            <w:vAlign w:val="bottom"/>
            <w:tcBorders>
              <w:top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Ratio to be Well-Capitalized</w:t>
            </w:r>
          </w:p>
        </w:tc>
      </w:tr>
      <w:tr>
        <w:trPr>
          <w:trHeight w:val="203"/>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6"/>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Required for Capital Adequacy</w:t>
            </w:r>
          </w:p>
        </w:tc>
        <w:tc>
          <w:tcPr>
            <w:tcW w:w="2380" w:type="dxa"/>
            <w:vAlign w:val="bottom"/>
            <w:gridSpan w:val="3"/>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under Prompt Corrective</w:t>
            </w:r>
          </w:p>
        </w:tc>
      </w:tr>
      <w:tr>
        <w:trPr>
          <w:trHeight w:val="265"/>
        </w:trPr>
        <w:tc>
          <w:tcPr>
            <w:tcW w:w="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Actual Ratio</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7"/>
              </w:rPr>
              <w:t>Purposes</w:t>
            </w:r>
            <w:r>
              <w:rPr>
                <w:rFonts w:ascii="Times New Roman" w:cs="Times New Roman" w:eastAsia="Times New Roman" w:hAnsi="Times New Roman"/>
                <w:sz w:val="23"/>
                <w:szCs w:val="23"/>
                <w:b w:val="1"/>
                <w:bCs w:val="1"/>
                <w:color w:val="auto"/>
                <w:w w:val="97"/>
                <w:vertAlign w:val="superscript"/>
              </w:rPr>
              <w:t>1</w:t>
            </w:r>
          </w:p>
        </w:tc>
        <w:tc>
          <w:tcPr>
            <w:tcW w:w="8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Action Provisions</w:t>
            </w:r>
          </w:p>
        </w:tc>
      </w:tr>
      <w:tr>
        <w:trPr>
          <w:trHeight w:val="250"/>
        </w:trPr>
        <w:tc>
          <w:tcPr>
            <w:tcW w:w="20" w:type="dxa"/>
            <w:vAlign w:val="bottom"/>
            <w:tcBorders>
              <w:bottom w:val="single" w:sz="8" w:color="auto"/>
            </w:tcBorders>
          </w:tcPr>
          <w:p>
            <w:pPr>
              <w:spacing w:after="0"/>
              <w:rPr>
                <w:sz w:val="21"/>
                <w:szCs w:val="21"/>
                <w:color w:val="auto"/>
              </w:rPr>
            </w:pPr>
          </w:p>
        </w:tc>
        <w:tc>
          <w:tcPr>
            <w:tcW w:w="3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Ratio</w:t>
            </w:r>
          </w:p>
        </w:tc>
      </w:tr>
      <w:tr>
        <w:trPr>
          <w:trHeight w:val="250"/>
        </w:trPr>
        <w:tc>
          <w:tcPr>
            <w:tcW w:w="20" w:type="dxa"/>
            <w:vAlign w:val="bottom"/>
            <w:shd w:val="clear" w:color="auto" w:fill="CCEEFF"/>
          </w:tcPr>
          <w:p>
            <w:pPr>
              <w:spacing w:after="0"/>
              <w:rPr>
                <w:sz w:val="21"/>
                <w:szCs w:val="21"/>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556,475</w:t>
            </w:r>
          </w:p>
        </w:tc>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1"/>
                <w:szCs w:val="21"/>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63"/>
        </w:trPr>
        <w:tc>
          <w:tcPr>
            <w:tcW w:w="20" w:type="dxa"/>
            <w:vAlign w:val="bottom"/>
            <w:shd w:val="clear" w:color="auto" w:fill="CCEEFF"/>
          </w:tcPr>
          <w:p>
            <w:pPr>
              <w:spacing w:after="0"/>
              <w:rPr>
                <w:sz w:val="22"/>
                <w:szCs w:val="22"/>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440,915</w:t>
            </w:r>
          </w:p>
        </w:tc>
        <w:tc>
          <w:tcPr>
            <w:tcW w:w="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245,614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11"/>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440,915</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10.77 %</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20"/>
                <w:szCs w:val="20"/>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63"/>
        </w:trPr>
        <w:tc>
          <w:tcPr>
            <w:tcW w:w="20" w:type="dxa"/>
            <w:vAlign w:val="bottom"/>
            <w:shd w:val="clear" w:color="auto" w:fill="CCEEFF"/>
          </w:tcPr>
          <w:p>
            <w:pPr>
              <w:spacing w:after="0"/>
              <w:rPr>
                <w:sz w:val="22"/>
                <w:szCs w:val="22"/>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440,915</w:t>
            </w:r>
          </w:p>
        </w:tc>
        <w:tc>
          <w:tcPr>
            <w:tcW w:w="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180,241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50"/>
        </w:trPr>
        <w:tc>
          <w:tcPr>
            <w:tcW w:w="20" w:type="dxa"/>
            <w:vAlign w:val="bottom"/>
          </w:tcPr>
          <w:p>
            <w:pPr>
              <w:spacing w:after="0"/>
              <w:rPr>
                <w:sz w:val="21"/>
                <w:szCs w:val="21"/>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519,722</w:t>
            </w:r>
          </w:p>
        </w:tc>
        <w:tc>
          <w:tcPr>
            <w:tcW w:w="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332,622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50"/>
        </w:trPr>
        <w:tc>
          <w:tcPr>
            <w:tcW w:w="20" w:type="dxa"/>
            <w:vAlign w:val="bottom"/>
          </w:tcPr>
          <w:p>
            <w:pPr>
              <w:spacing w:after="0"/>
              <w:rPr>
                <w:sz w:val="21"/>
                <w:szCs w:val="21"/>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409,514</w:t>
            </w:r>
          </w:p>
        </w:tc>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21"/>
                <w:szCs w:val="21"/>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18"/>
        </w:trPr>
        <w:tc>
          <w:tcPr>
            <w:tcW w:w="20" w:type="dxa"/>
            <w:vAlign w:val="bottom"/>
            <w:shd w:val="clear" w:color="auto" w:fill="CCEEFF"/>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8"/>
        </w:trPr>
        <w:tc>
          <w:tcPr>
            <w:tcW w:w="20" w:type="dxa"/>
            <w:vAlign w:val="bottom"/>
            <w:shd w:val="clear" w:color="auto" w:fill="CCEEFF"/>
          </w:tcPr>
          <w:p>
            <w:pPr>
              <w:spacing w:after="0"/>
              <w:rPr>
                <w:sz w:val="21"/>
                <w:szCs w:val="21"/>
                <w:color w:val="auto"/>
              </w:rPr>
            </w:pPr>
          </w:p>
        </w:tc>
        <w:tc>
          <w:tcPr>
            <w:tcW w:w="3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409,514</w:t>
            </w: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43"/>
        </w:trPr>
        <w:tc>
          <w:tcPr>
            <w:tcW w:w="20" w:type="dxa"/>
            <w:vAlign w:val="bottom"/>
          </w:tcPr>
          <w:p>
            <w:pPr>
              <w:spacing w:after="0"/>
              <w:rPr>
                <w:sz w:val="21"/>
                <w:szCs w:val="21"/>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409,514</w:t>
            </w:r>
          </w:p>
        </w:tc>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21"/>
                <w:szCs w:val="21"/>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918"/>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29: Capital Ratios for the Bank</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700" w:type="dxa"/>
            <w:vAlign w:val="bottom"/>
            <w:tcBorders>
              <w:top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Ratio to be Well-Capitalized</w:t>
            </w: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6"/>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Required for Capital Adequacy</w:t>
            </w:r>
          </w:p>
        </w:tc>
        <w:tc>
          <w:tcPr>
            <w:tcW w:w="140" w:type="dxa"/>
            <w:vAlign w:val="bottom"/>
          </w:tcPr>
          <w:p>
            <w:pPr>
              <w:spacing w:after="0"/>
              <w:rPr>
                <w:sz w:val="17"/>
                <w:szCs w:val="17"/>
                <w:color w:val="auto"/>
              </w:rPr>
            </w:pPr>
          </w:p>
        </w:tc>
        <w:tc>
          <w:tcPr>
            <w:tcW w:w="2360" w:type="dxa"/>
            <w:vAlign w:val="bottom"/>
            <w:gridSpan w:val="3"/>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under Prompt Corrective</w:t>
            </w:r>
          </w:p>
        </w:tc>
      </w:tr>
      <w:tr>
        <w:trPr>
          <w:trHeight w:val="265"/>
        </w:trPr>
        <w:tc>
          <w:tcPr>
            <w:tcW w:w="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Actual Ratio</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Purposes</w:t>
            </w:r>
            <w:r>
              <w:rPr>
                <w:rFonts w:ascii="Times New Roman" w:cs="Times New Roman" w:eastAsia="Times New Roman" w:hAnsi="Times New Roman"/>
                <w:sz w:val="23"/>
                <w:szCs w:val="23"/>
                <w:b w:val="1"/>
                <w:bCs w:val="1"/>
                <w:color w:val="auto"/>
                <w:vertAlign w:val="superscript"/>
              </w:rPr>
              <w:t>1</w:t>
            </w:r>
          </w:p>
        </w:tc>
        <w:tc>
          <w:tcPr>
            <w:tcW w:w="8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Action Provisions</w:t>
            </w:r>
          </w:p>
        </w:tc>
      </w:tr>
      <w:tr>
        <w:trPr>
          <w:trHeight w:val="250"/>
        </w:trPr>
        <w:tc>
          <w:tcPr>
            <w:tcW w:w="2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Ratio</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r>
      <w:tr>
        <w:trPr>
          <w:trHeight w:val="250"/>
        </w:trPr>
        <w:tc>
          <w:tcPr>
            <w:tcW w:w="20" w:type="dxa"/>
            <w:vAlign w:val="bottom"/>
            <w:shd w:val="clear" w:color="auto" w:fill="CCEEFF"/>
          </w:tcPr>
          <w:p>
            <w:pPr>
              <w:spacing w:after="0"/>
              <w:rPr>
                <w:sz w:val="21"/>
                <w:szCs w:val="21"/>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537,278</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13.15 %</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408,708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63"/>
        </w:trPr>
        <w:tc>
          <w:tcPr>
            <w:tcW w:w="20" w:type="dxa"/>
            <w:vAlign w:val="bottom"/>
            <w:shd w:val="clear" w:color="auto" w:fill="CCEEFF"/>
          </w:tcPr>
          <w:p>
            <w:pPr>
              <w:spacing w:after="0"/>
              <w:rPr>
                <w:sz w:val="22"/>
                <w:szCs w:val="22"/>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495,722</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245,225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326,966</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11"/>
        </w:trPr>
        <w:tc>
          <w:tcPr>
            <w:tcW w:w="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495,722</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12.13 %</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265,660</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63"/>
        </w:trPr>
        <w:tc>
          <w:tcPr>
            <w:tcW w:w="20" w:type="dxa"/>
            <w:vAlign w:val="bottom"/>
            <w:shd w:val="clear" w:color="auto" w:fill="CCEEFF"/>
          </w:tcPr>
          <w:p>
            <w:pPr>
              <w:spacing w:after="0"/>
              <w:rPr>
                <w:sz w:val="22"/>
                <w:szCs w:val="22"/>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495,722</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180,168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225,211</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50"/>
        </w:trPr>
        <w:tc>
          <w:tcPr>
            <w:tcW w:w="20" w:type="dxa"/>
            <w:vAlign w:val="bottom"/>
          </w:tcPr>
          <w:p>
            <w:pPr>
              <w:spacing w:after="0"/>
              <w:rPr>
                <w:sz w:val="21"/>
                <w:szCs w:val="21"/>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504,896</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297,216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371,520</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0"/>
        </w:trPr>
        <w:tc>
          <w:tcPr>
            <w:tcW w:w="20" w:type="dxa"/>
            <w:vAlign w:val="bottom"/>
          </w:tcPr>
          <w:p>
            <w:pPr>
              <w:spacing w:after="0"/>
              <w:rPr>
                <w:sz w:val="21"/>
                <w:szCs w:val="21"/>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468,584</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12.61 %</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297,216</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18"/>
        </w:trPr>
        <w:tc>
          <w:tcPr>
            <w:tcW w:w="2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8"/>
        </w:trPr>
        <w:tc>
          <w:tcPr>
            <w:tcW w:w="20" w:type="dxa"/>
            <w:vAlign w:val="bottom"/>
            <w:shd w:val="clear" w:color="auto" w:fill="CCEEFF"/>
          </w:tcPr>
          <w:p>
            <w:pPr>
              <w:spacing w:after="0"/>
              <w:rPr>
                <w:sz w:val="21"/>
                <w:szCs w:val="21"/>
                <w:color w:val="auto"/>
              </w:rPr>
            </w:pPr>
          </w:p>
        </w:tc>
        <w:tc>
          <w:tcPr>
            <w:tcW w:w="3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468,584</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167,184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241,488</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43"/>
        </w:trPr>
        <w:tc>
          <w:tcPr>
            <w:tcW w:w="20" w:type="dxa"/>
            <w:vAlign w:val="bottom"/>
          </w:tcPr>
          <w:p>
            <w:pPr>
              <w:spacing w:after="0"/>
              <w:rPr>
                <w:sz w:val="21"/>
                <w:szCs w:val="21"/>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468,584</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11.50 %</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203,677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bl>
    <w:p>
      <w:pPr>
        <w:spacing w:after="0" w:line="276"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listed capital adequacy ratios exclude capital conservation buffers.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consolidated statements of income, balance sheets, statements of shareholders’ equity, or statements of cash flows.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Management believes that tangible shareholders’ equity to tangible assets is a useful financial measure because it enables management, investors, and others to assess the Company’s financial health based on tangible capital.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Tangible book value per share is defined as total shareholders’ equity less goodwill and other intangible assets, divided by the outstanding number of common shares at the end of the period. The most directly comparable GAAP financial measure is book value per share. Management believes that tangible book value per share is a useful financial measure because it enables management, investors, and others to assess the Company’s value and use of equity. We had no goodwill or other intangible assets at the end of any period indicated. As a result, tangible book value per share is the same as book value per share at the end of each of the periods indicated.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our non-GAAP financial measures when making comparisons.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Recent Legislative and Regulatory Developments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24, 2023, the federal banking agencies issued a final rule amending their regulations implementing the Community Reinvestment Act (“CRA”) to substantially revise how they evaluate an insured depository institution’s record of satisfying the credit needs of its entire communities, including low-and moderate-income individuals and neighborhoods. On July 16, 2025, the agencies issued a notice of proposed rulemaking to rescind the October 2023 final rule and restore the CRA framework that existed previously, which has remained in effect due to a preliminary injunction that stayed implementation of the October 2023 rule. The Bank received a rating of “Satisfactory” in its most recent performance evaluation, which was conducted using the CRA framework that existed prior to the October 2023 final rule.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22, 2024, the CFPB released a final rule to implement Section 1033 of the Dodd-Frank Wall Street Reform and Consumer Protection Act (“Dodd-Frank Act”). Under the final rule, financial institutions are required, upon request, to make available to a consumer or third party authorized by the consumer certain information Five Star has concerning a consumer financial product or service covered by the rule, such as a credit card or a deposit account. Industry organizations challenged the final rule in court. On July 29, 2025, the district court granted the motion by the CFPB to stay the proceedings while the CFPB conducts a rulemaking to revise the final rule substantially. On August 22, 2025, the CFPB issued an advance notice of proposed rulemaking to solicit comments and data on several issues relating to the final rule. On October 29, 2025, the district court issued a preliminary injunction preventing the CFPB from enforcing the final rule until the CFPB has completed its reconsideration of the rule.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18, 2025, President Trump signed the Guiding and Establishing National Innovation for U.S. Stablecoins Act, or the “GENIUS Act,” into law, establishing a federal licensing and supervisory framework for payment stablecoins and their issuers. The GENIUS Act may accelerate and increase the competition that non-traditional financial institutions pose to banks’ payment services, but may also create opportunities for banks to hold stablecoin reserve assets, custody stablecoins, or issue stablecoins. Several key provisions of the GENIUS Act require federal regulatory agencies to adopt implementing regulations, and the Act will take effect the earlier of 18 months after its enactment or 120 days after the agencies issue final implementing regulations.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Glossary of Acronyms, Abbreviations, and Terms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terms identified below are used in various sections of this Form 10-Q, including “Management’s Discussion and Analysis of Financial Condition and Results of Operations” in Item 2 and the unaudited Consolidated Financial Statements and Notes to the Financial Statements in Item 1 of this Form 10-Q.</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Annual</w:t>
            </w:r>
          </w:p>
        </w:tc>
        <w:tc>
          <w:tcPr>
            <w:tcW w:w="41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Company’s Annual Report on Form 10-K for the year</w:t>
            </w:r>
          </w:p>
        </w:tc>
        <w:tc>
          <w:tcPr>
            <w:tcW w:w="1280" w:type="dxa"/>
            <w:vAlign w:val="bottom"/>
            <w:shd w:val="clear" w:color="auto" w:fill="CCEEFF"/>
          </w:tcPr>
          <w:p>
            <w:pPr>
              <w:spacing w:after="0"/>
              <w:rPr>
                <w:sz w:val="17"/>
                <w:szCs w:val="17"/>
                <w:color w:val="auto"/>
              </w:rPr>
            </w:pPr>
          </w:p>
        </w:tc>
        <w:tc>
          <w:tcPr>
            <w:tcW w:w="4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Report on Form</w:t>
            </w:r>
          </w:p>
        </w:tc>
        <w:tc>
          <w:tcPr>
            <w:tcW w:w="4180" w:type="dxa"/>
            <w:vAlign w:val="bottom"/>
            <w:vMerge w:val="continue"/>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ended December 31, 2024</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FHLB</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Federal Home Loan Bank of San Francisco</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FHLMC</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Federal Home Loan Mortgage Corporation</w:t>
            </w: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FNMA</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Federal National Mortgage Association</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GAAP</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Generally Accepted Accounting Principles in the U.S.</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Bancorp</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Five Star Bancorp and its subsidiary</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GNMA</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Government National Mortgage Association</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Five Star Bank</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GSE</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Government Sponsored Entity</w:t>
            </w:r>
          </w:p>
        </w:tc>
        <w:tc>
          <w:tcPr>
            <w:tcW w:w="0" w:type="dxa"/>
            <w:vAlign w:val="bottom"/>
          </w:tcPr>
          <w:p>
            <w:pPr>
              <w:spacing w:after="0"/>
              <w:rPr>
                <w:sz w:val="1"/>
                <w:szCs w:val="1"/>
                <w:color w:val="auto"/>
              </w:rPr>
            </w:pPr>
          </w:p>
        </w:tc>
      </w:tr>
      <w:tr>
        <w:trPr>
          <w:trHeight w:val="176"/>
        </w:trPr>
        <w:tc>
          <w:tcPr>
            <w:tcW w:w="1320" w:type="dxa"/>
            <w:vAlign w:val="bottom"/>
            <w:shd w:val="clear" w:color="auto" w:fill="CCEEFF"/>
          </w:tcPr>
          <w:p>
            <w:pPr>
              <w:spacing w:after="0"/>
              <w:rPr>
                <w:sz w:val="15"/>
                <w:szCs w:val="15"/>
                <w:color w:val="auto"/>
              </w:rPr>
            </w:pPr>
          </w:p>
        </w:tc>
        <w:tc>
          <w:tcPr>
            <w:tcW w:w="41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A  capital  framework  and  rules  for  U.S.  banking</w:t>
            </w:r>
          </w:p>
        </w:tc>
        <w:tc>
          <w:tcPr>
            <w:tcW w:w="1280" w:type="dxa"/>
            <w:vAlign w:val="bottom"/>
            <w:shd w:val="clear" w:color="auto" w:fill="CCEEFF"/>
          </w:tcPr>
          <w:p>
            <w:pPr>
              <w:spacing w:after="0"/>
              <w:rPr>
                <w:sz w:val="15"/>
                <w:szCs w:val="15"/>
                <w:color w:val="auto"/>
              </w:rPr>
            </w:pPr>
          </w:p>
        </w:tc>
        <w:tc>
          <w:tcPr>
            <w:tcW w:w="4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Basel III</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organizations</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IPO</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Initial Public Offering</w:t>
            </w: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6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Loan  modification  made  to  borrower  experiencing</w:t>
            </w:r>
          </w:p>
        </w:tc>
        <w:tc>
          <w:tcPr>
            <w:tcW w:w="0" w:type="dxa"/>
            <w:vAlign w:val="bottom"/>
          </w:tcPr>
          <w:p>
            <w:pPr>
              <w:spacing w:after="0"/>
              <w:rPr>
                <w:sz w:val="1"/>
                <w:szCs w:val="1"/>
                <w:color w:val="auto"/>
              </w:rPr>
            </w:pPr>
          </w:p>
        </w:tc>
      </w:tr>
      <w:tr>
        <w:trPr>
          <w:trHeight w:val="243"/>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BOLI</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Bank-Owned Life Insurance</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LM</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financial difficulty</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CECL</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Expected Credit Loss</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NII</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Interest Income</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CFPB</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Consumer Financial Protection Bureau</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OCI</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CME</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Chicago Mercantile Exchange</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PSU</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Performance-based Restricted Stock Unit</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RSA</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Restricted Stock Award</w:t>
            </w: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Earnings per Share</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ROAA</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Return on Average Assets, annualized</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Economic Value of Equity</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ROAE</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Return on Average Equity, annualized</w:t>
            </w: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ROUA</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Right-of-Use Asset</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SBA</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U.S. Small Business Administration</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Board of Governors of the Federal Reserve System</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0" w:type="dxa"/>
            <w:vAlign w:val="bottom"/>
          </w:tcPr>
          <w:p>
            <w:pPr>
              <w:spacing w:after="0"/>
              <w:rPr>
                <w:sz w:val="1"/>
                <w:szCs w:val="1"/>
                <w:color w:val="auto"/>
              </w:rPr>
            </w:pPr>
          </w:p>
        </w:tc>
      </w:tr>
      <w:tr>
        <w:trPr>
          <w:trHeight w:val="234"/>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FFIEC</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Financial Institutions Examination Council</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SOFR</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Secured Overnight Financing Rate</w:t>
            </w:r>
          </w:p>
        </w:tc>
        <w:tc>
          <w:tcPr>
            <w:tcW w:w="0" w:type="dxa"/>
            <w:vAlign w:val="bottom"/>
          </w:tcPr>
          <w:p>
            <w:pPr>
              <w:spacing w:after="0"/>
              <w:rPr>
                <w:sz w:val="1"/>
                <w:szCs w:val="1"/>
                <w:color w:val="auto"/>
              </w:rPr>
            </w:pPr>
          </w:p>
        </w:tc>
      </w:tr>
      <w:tr>
        <w:trPr>
          <w:trHeight w:val="900"/>
        </w:trPr>
        <w:tc>
          <w:tcPr>
            <w:tcW w:w="13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65</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risk is the risk of loss from adverse changes in market prices and rates. As a financial institution, the Company experiences market risk arising primarily from interest rate risk inherent in lending and deposit-taking activities. Because the interest rates on the Company’s assets and liabilities do not necessarily change at the same speed or rate as market interest rates, sudden and/or substantial changes in interest rates may adversely impact our earnings. In particular, the Company’s financial results are sensitive to significant changes in the treasury yield curve, the federal funds rate, and the Wall Street Prime Index.</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total interest income was $64.8 million for the three months ended September 30, 2025 and $207.0 million for the year ended December 31, 2024. Our total interest expense was $25.5 million for the three months ended September 30, 2025 and $87.2 million for the year ended December 31, 2024. Overall, our net interest income was $39.3 million for the three months ended September 30, 2025 and $119.7 million for the year ended December 31,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Economic value of equity (“EVE”) measures our long-term earnings exposure from changes in market rates of interest. EVE is defined as the present value of assets minus the present value of liabilities at a point in time for a given set of market rate assumptions. An increase in EVE due to a specified rate change indicates an improvement in the long-term earnings capacity of the balance sheet, assuming that the rate change remains in effect over the life of the current balance sheet. As of September 30, 2025, the Company carried a slightly higher balance of assets than liabilities that will reprice within the next twelve months in the event that interest rates fall.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policies and procedures provide management with guidelines for effective funds management, and we have established a measurement system for monitoring our net interest rate sensitivity position. This is overseen and adjusted as needed by our Management Asset Liability Committee on a monthly basis and our Director Asset Liability Committee on a quarterly basis. We have historically managed our sensitivity position within our established guidelines. With the intent of stabilizing or increasing net interest income, management typically deploys the Company’s excess liquidity and seeks to migrate certain earning assets into higher-yielding categories (from investment securities into loans, for example). However, in situations where deposit balances contract, management relies upon various borrowing facilities and/or the use of brokered deposits. The Company monitors the impact of interest rate risk on EVE by reviewing and managing assets and liabilities with varying interest rate risks, such as cash and time deposits. Assets and liabilities are subject to fluctuations at each measurement date based on the composition of the balance sheet at each measurement date. EVE results are compared to previous periods and established policies on a quarterly basis.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 overnight federal funds rate (the rate used in the interest rate shock scenarios listed below) was 4.09%, decreasing from 4.33% at December 31, 2024. The scenarios presented assume that interest rates change instantaneously (“shock”) and that there are no significant changes in the structure of the Company’s balance sheet over the twelve months being measured.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Table 30 summarizes the estimated effect on net interest income and EVE from changing interest rates as measured against a flat rate (no interest rate change) instantaneous parallel shock scenario over a twelve-month period utilizing an interest sensitivity (GAP) analysis based on the Company’s specific mix of interest-earning assets and interest-bearing liabilities as of September 30, 2025 and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5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Table 30: Estimated Effect on Net Interest Income and EVE from Changing Interest Rates</w:t>
            </w:r>
          </w:p>
        </w:tc>
        <w:tc>
          <w:tcPr>
            <w:tcW w:w="86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4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Pr>
          <w:p>
            <w:pPr>
              <w:spacing w:after="0"/>
              <w:rPr>
                <w:sz w:val="21"/>
                <w:szCs w:val="21"/>
                <w:color w:val="auto"/>
              </w:rPr>
            </w:pPr>
          </w:p>
        </w:tc>
        <w:tc>
          <w:tcPr>
            <w:tcW w:w="386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Change in Interest Rates</w:t>
            </w:r>
          </w:p>
        </w:tc>
        <w:tc>
          <w:tcPr>
            <w:tcW w:w="100" w:type="dxa"/>
            <w:vAlign w:val="bottom"/>
          </w:tcPr>
          <w:p>
            <w:pPr>
              <w:spacing w:after="0"/>
              <w:rPr>
                <w:sz w:val="17"/>
                <w:szCs w:val="17"/>
                <w:color w:val="auto"/>
              </w:rPr>
            </w:pPr>
          </w:p>
        </w:tc>
        <w:tc>
          <w:tcPr>
            <w:tcW w:w="1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Estimated Change in</w:t>
            </w:r>
          </w:p>
        </w:tc>
        <w:tc>
          <w:tcPr>
            <w:tcW w:w="1980" w:type="dxa"/>
            <w:vAlign w:val="bottom"/>
            <w:gridSpan w:val="3"/>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Estimated Change in</w:t>
            </w:r>
          </w:p>
        </w:tc>
        <w:tc>
          <w:tcPr>
            <w:tcW w:w="1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Estimated Change in</w:t>
            </w:r>
          </w:p>
        </w:tc>
        <w:tc>
          <w:tcPr>
            <w:tcW w:w="1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Estimated Change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vMerge w:val="restart"/>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NII</w:t>
            </w:r>
          </w:p>
        </w:tc>
        <w:tc>
          <w:tcPr>
            <w:tcW w:w="1980" w:type="dxa"/>
            <w:vAlign w:val="bottom"/>
            <w:gridSpan w:val="3"/>
            <w:vMerge w:val="restart"/>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EVE</w:t>
            </w:r>
          </w:p>
        </w:tc>
        <w:tc>
          <w:tcPr>
            <w:tcW w:w="1960" w:type="dxa"/>
            <w:vAlign w:val="bottom"/>
            <w:gridSpan w:val="2"/>
            <w:vMerge w:val="restart"/>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NII</w:t>
            </w:r>
          </w:p>
        </w:tc>
        <w:tc>
          <w:tcPr>
            <w:tcW w:w="190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7"/>
              </w:rPr>
              <w:t>EVE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basis points)</w:t>
            </w:r>
          </w:p>
        </w:tc>
        <w:tc>
          <w:tcPr>
            <w:tcW w:w="100" w:type="dxa"/>
            <w:vAlign w:val="bottom"/>
          </w:tcPr>
          <w:p>
            <w:pPr>
              <w:spacing w:after="0"/>
              <w:rPr>
                <w:sz w:val="2"/>
                <w:szCs w:val="2"/>
                <w:color w:val="auto"/>
              </w:rPr>
            </w:pPr>
          </w:p>
        </w:tc>
        <w:tc>
          <w:tcPr>
            <w:tcW w:w="1960" w:type="dxa"/>
            <w:vAlign w:val="bottom"/>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1960" w:type="dxa"/>
            <w:vAlign w:val="bottom"/>
            <w:gridSpan w:val="2"/>
            <w:vMerge w:val="continue"/>
          </w:tcPr>
          <w:p>
            <w:pPr>
              <w:spacing w:after="0"/>
              <w:rPr>
                <w:sz w:val="2"/>
                <w:szCs w:val="2"/>
                <w:color w:val="auto"/>
              </w:rPr>
            </w:pPr>
          </w:p>
        </w:tc>
        <w:tc>
          <w:tcPr>
            <w:tcW w:w="1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 of NII)</w:t>
            </w:r>
          </w:p>
        </w:tc>
        <w:tc>
          <w:tcPr>
            <w:tcW w:w="8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(as % of EVE)</w:t>
            </w: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 % of NII)</w:t>
            </w:r>
          </w:p>
        </w:tc>
        <w:tc>
          <w:tcPr>
            <w:tcW w:w="8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 of EVE)</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+200 (shock)</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+ 0 (flat)</w:t>
            </w:r>
          </w:p>
        </w:tc>
        <w:tc>
          <w:tcPr>
            <w:tcW w:w="100" w:type="dxa"/>
            <w:vAlign w:val="bottom"/>
          </w:tcPr>
          <w:p>
            <w:pPr>
              <w:spacing w:after="0"/>
              <w:rPr>
                <w:sz w:val="21"/>
                <w:szCs w:val="21"/>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8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-200 (shock)</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6.17 %</w:t>
            </w:r>
          </w:p>
        </w:tc>
        <w:tc>
          <w:tcPr>
            <w:tcW w:w="8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7.23 %</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7.95 %</w:t>
            </w:r>
          </w:p>
        </w:tc>
        <w:tc>
          <w:tcPr>
            <w:tcW w:w="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10.12 %</w:t>
            </w:r>
          </w:p>
        </w:tc>
        <w:tc>
          <w:tcPr>
            <w:tcW w:w="0" w:type="dxa"/>
            <w:vAlign w:val="bottom"/>
          </w:tcPr>
          <w:p>
            <w:pPr>
              <w:spacing w:after="0"/>
              <w:rPr>
                <w:sz w:val="1"/>
                <w:szCs w:val="1"/>
                <w:color w:val="auto"/>
              </w:rPr>
            </w:pPr>
          </w:p>
        </w:tc>
      </w:tr>
      <w:tr>
        <w:trPr>
          <w:trHeight w:val="90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66</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9" w:name="page70"/>
    <w:bookmarkEnd w:id="69"/>
    <w:p>
      <w:pPr>
        <w:jc w:val="both"/>
        <w:spacing w:after="0" w:line="261" w:lineRule="auto"/>
        <w:rPr>
          <w:sz w:val="20"/>
          <w:szCs w:val="20"/>
          <w:color w:val="auto"/>
        </w:rPr>
      </w:pPr>
      <w:r>
        <w:rPr>
          <w:rFonts w:ascii="Times New Roman" w:cs="Times New Roman" w:eastAsia="Times New Roman" w:hAnsi="Times New Roman"/>
          <w:sz w:val="18"/>
          <w:szCs w:val="18"/>
          <w:color w:val="auto"/>
        </w:rPr>
        <w:t>The computation of the prospective effects of hypothetical interest rate changes requires numerous assumptions, which are based upon our experience and published industry experience including, but not limited to, assumptions relating to expected maturities, hypothetical changes in interest rates, decay rates, and deposit betas. Such assumptions may not necessarily reflect the manner or timing in which our interest-earning assets and interest-bearing liabilities respond to changes in market rates. Because these assumptions are inherently uncertain, actual results will differ from simulated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as of September 30, 2025 of our disclosure controls and procedures, as defined in Rule 13a-15(e)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our Chief Executive Officer and Chief Financial Officer concluded that our disclosure controls and procedures were effective as of the end of the fiscal quarter covered by this Quarterly Report on Form 10-Q.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such term is defined in Rule 13a-15(f) under the Exchange Act) that occurred during the three months ended September 30, 2025 that has materially affected, or is reasonably likely to materially affect, such controls.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under Item 1A of the Company’s 2024 Annual Report on Form 10-K, previously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8160" w:firstLine="8"/>
        <w:spacing w:after="0" w:line="500" w:lineRule="auto"/>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Unregistered Sales of Equity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right="8320" w:firstLine="8"/>
        <w:spacing w:after="0" w:line="498" w:lineRule="auto"/>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Issuer Purchases of Equity Securities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filings previously made with the SEC.</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80" w:type="dxa"/>
            <w:vAlign w:val="bottom"/>
          </w:tcPr>
          <w:p>
            <w:pPr>
              <w:spacing w:after="0"/>
              <w:rPr>
                <w:sz w:val="21"/>
                <w:szCs w:val="21"/>
                <w:color w:val="auto"/>
              </w:rPr>
            </w:pPr>
          </w:p>
        </w:tc>
      </w:tr>
      <w:tr>
        <w:trPr>
          <w:trHeight w:val="194"/>
        </w:trPr>
        <w:tc>
          <w:tcPr>
            <w:tcW w:w="10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5"/>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4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02"/>
        </w:trPr>
        <w:tc>
          <w:tcPr>
            <w:tcW w:w="10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31.1</w:t>
            </w:r>
          </w:p>
        </w:tc>
        <w:tc>
          <w:tcPr>
            <w:tcW w:w="496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Filed</w:t>
            </w:r>
          </w:p>
        </w:tc>
      </w:tr>
      <w:tr>
        <w:trPr>
          <w:trHeight w:val="183"/>
        </w:trPr>
        <w:tc>
          <w:tcPr>
            <w:tcW w:w="1020" w:type="dxa"/>
            <w:vAlign w:val="bottom"/>
          </w:tcPr>
          <w:p>
            <w:pPr>
              <w:spacing w:after="0"/>
              <w:rPr>
                <w:sz w:val="15"/>
                <w:szCs w:val="15"/>
                <w:color w:val="auto"/>
              </w:rPr>
            </w:pPr>
          </w:p>
        </w:tc>
        <w:tc>
          <w:tcPr>
            <w:tcW w:w="488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14(a)/15d-14(a),  as  adopted  pursuant  to  Section  302  of  the</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20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9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183"/>
        </w:trPr>
        <w:tc>
          <w:tcPr>
            <w:tcW w:w="1020" w:type="dxa"/>
            <w:vAlign w:val="bottom"/>
          </w:tcPr>
          <w:p>
            <w:pPr>
              <w:spacing w:after="0"/>
              <w:rPr>
                <w:sz w:val="15"/>
                <w:szCs w:val="15"/>
                <w:color w:val="auto"/>
              </w:rPr>
            </w:pPr>
          </w:p>
        </w:tc>
        <w:tc>
          <w:tcPr>
            <w:tcW w:w="490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14(a)/15d-14(a),  as  adopted  pursuant  to  Section  302  of  the</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20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9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183"/>
        </w:trPr>
        <w:tc>
          <w:tcPr>
            <w:tcW w:w="10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4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183"/>
        </w:trPr>
        <w:tc>
          <w:tcPr>
            <w:tcW w:w="1020" w:type="dxa"/>
            <w:vAlign w:val="bottom"/>
          </w:tcPr>
          <w:p>
            <w:pPr>
              <w:spacing w:after="0"/>
              <w:rPr>
                <w:sz w:val="15"/>
                <w:szCs w:val="15"/>
                <w:color w:val="auto"/>
              </w:rPr>
            </w:pPr>
          </w:p>
        </w:tc>
        <w:tc>
          <w:tcPr>
            <w:tcW w:w="494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20" w:type="dxa"/>
            <w:vAlign w:val="bottom"/>
            <w:tcBorders>
              <w:bottom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4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Interactive Data</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225"/>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234"/>
        </w:trPr>
        <w:tc>
          <w:tcPr>
            <w:tcW w:w="1020" w:type="dxa"/>
            <w:vAlign w:val="bottom"/>
          </w:tcPr>
          <w:p>
            <w:pPr>
              <w:spacing w:after="0"/>
              <w:rPr>
                <w:sz w:val="20"/>
                <w:szCs w:val="20"/>
                <w:color w:val="auto"/>
              </w:rPr>
            </w:pP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document in Exhibit 101)</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Five Star Bancorp</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33"/>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6, 2025</w:t>
            </w:r>
          </w:p>
        </w:tc>
        <w:tc>
          <w:tcPr>
            <w:tcW w:w="1880" w:type="dxa"/>
            <w:vAlign w:val="bottom"/>
          </w:tcPr>
          <w:p>
            <w:pPr>
              <w:spacing w:after="0"/>
              <w:rPr>
                <w:sz w:val="24"/>
                <w:szCs w:val="24"/>
                <w:color w:val="auto"/>
              </w:rPr>
            </w:pP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James E. Beckwith</w:t>
            </w:r>
          </w:p>
        </w:tc>
      </w:tr>
      <w:tr>
        <w:trPr>
          <w:trHeight w:val="243"/>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88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6"/>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3"/>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6, 2025</w:t>
            </w:r>
          </w:p>
        </w:tc>
        <w:tc>
          <w:tcPr>
            <w:tcW w:w="1880" w:type="dxa"/>
            <w:vAlign w:val="bottom"/>
          </w:tcPr>
          <w:p>
            <w:pPr>
              <w:spacing w:after="0"/>
              <w:rPr>
                <w:sz w:val="24"/>
                <w:szCs w:val="24"/>
                <w:color w:val="auto"/>
              </w:rPr>
            </w:pP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C. Luck</w:t>
            </w:r>
          </w:p>
        </w:tc>
      </w:tr>
      <w:tr>
        <w:trPr>
          <w:trHeight w:val="243"/>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88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C. Luck</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&amp;</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6"/>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18"/>
        </w:trPr>
        <w:tc>
          <w:tcPr>
            <w:tcW w:w="3480" w:type="dxa"/>
            <w:vAlign w:val="bottom"/>
          </w:tcPr>
          <w:p>
            <w:pPr>
              <w:spacing w:after="0"/>
              <w:rPr>
                <w:sz w:val="24"/>
                <w:szCs w:val="24"/>
                <w:color w:val="auto"/>
              </w:rPr>
            </w:pPr>
          </w:p>
        </w:tc>
        <w:tc>
          <w:tcPr>
            <w:tcW w:w="18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70</w:t>
            </w:r>
          </w:p>
        </w:tc>
        <w:tc>
          <w:tcPr>
            <w:tcW w:w="4140" w:type="dxa"/>
            <w:vAlign w:val="bottom"/>
          </w:tcPr>
          <w:p>
            <w:pPr>
              <w:spacing w:after="0"/>
              <w:rPr>
                <w:sz w:val="24"/>
                <w:szCs w:val="24"/>
                <w:color w:val="auto"/>
              </w:rPr>
            </w:pPr>
          </w:p>
        </w:tc>
      </w:tr>
    </w:tbl>
    <w:p>
      <w:pPr>
        <w:sectPr>
          <w:pgSz w:w="11900" w:h="16838" w:orient="portrait"/>
          <w:cols w:equalWidth="0" w:num="1">
            <w:col w:w="11240"/>
          </w:cols>
          <w:pgMar w:left="320" w:top="1143"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13a-14(a)/15d-14(a),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James E. Beckwith,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 Star Bancorp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November 6, 2025</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James E. Beckwith</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240"/>
          </w:cols>
          <w:pgMar w:left="320" w:top="1143"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13a-14(a)/15d-14(a),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Heather C. Luck,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 Star Bancorp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November 6, 2025</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C. Luck</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C. Luck</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tc>
      </w:tr>
    </w:tbl>
    <w:p>
      <w:pPr>
        <w:sectPr>
          <w:pgSz w:w="11900" w:h="16838" w:orient="portrait"/>
          <w:cols w:equalWidth="0" w:num="1">
            <w:col w:w="11240"/>
          </w:cols>
          <w:pgMar w:left="320" w:top="1143"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Five Star Bancorp (the “Company”) for the period ended September 30, 2025, as filed with the Securities and Exchange Commission on the date hereof (the “Report”), I, James E. Beckwith, President &amp; Chief Executive Officer of the Company, hereby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November 6, 2025</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James E. Beckwith</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240"/>
          </w:cols>
          <w:pgMar w:left="320" w:top="92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Five Star Bancorp (the “Company”) for the period ended September 30, 2025, as filed with the Securities and Exchange Commission on the date hereof (the “Report”), I, Heather C. Luck, Executive Vice President &amp; Chief Financial Officer of the Company, hereby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November 6, 2025</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C. Luck</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C. Luck</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bullet"/>
      <w:start w:val="1"/>
    </w:lvl>
  </w:abstractNum>
  <w:abstractNum w:abstractNumId="4">
    <w:nsid w:val="66EF438D"/>
    <w:multiLevelType w:val="hybridMultilevel"/>
    <w:lvl w:ilvl="0">
      <w:lvlJc w:val="left"/>
      <w:lvlText w:val="2"/>
      <w:numFmt w:val="bullet"/>
      <w:start w:val="1"/>
    </w:lvl>
  </w:abstractNum>
  <w:abstractNum w:abstractNumId="5">
    <w:nsid w:val="140E0F76"/>
    <w:multiLevelType w:val="hybridMultilevel"/>
    <w:lvl w:ilvl="0">
      <w:lvlJc w:val="left"/>
      <w:lvlText w:val="3"/>
      <w:numFmt w:val="bullet"/>
      <w:start w:val="1"/>
    </w:lvl>
  </w:abstractNum>
  <w:abstractNum w:abstractNumId="6">
    <w:nsid w:val="3352255A"/>
    <w:multiLevelType w:val="hybridMultilevel"/>
    <w:lvl w:ilvl="0">
      <w:lvlJc w:val="left"/>
      <w:lvlText w:val="1"/>
      <w:numFmt w:val="bullet"/>
      <w:start w:val="1"/>
    </w:lvl>
  </w:abstractNum>
  <w:abstractNum w:abstractNumId="7">
    <w:nsid w:val="109CF92E"/>
    <w:multiLevelType w:val="hybridMultilevel"/>
    <w:lvl w:ilvl="0">
      <w:lvlJc w:val="left"/>
      <w:lvlText w:val="2"/>
      <w:numFmt w:val="bullet"/>
      <w:start w:val="1"/>
    </w:lvl>
  </w:abstractNum>
  <w:abstractNum w:abstractNumId="8">
    <w:nsid w:val="DED7263"/>
    <w:multiLevelType w:val="hybridMultilevel"/>
    <w:lvl w:ilvl="0">
      <w:lvlJc w:val="left"/>
      <w:lvlText w:val="3"/>
      <w:numFmt w:val="bullet"/>
      <w:start w:val="1"/>
    </w:lvl>
  </w:abstractNum>
  <w:abstractNum w:abstractNumId="9">
    <w:nsid w:val="7FDCC233"/>
    <w:multiLevelType w:val="hybridMultilevel"/>
    <w:lvl w:ilvl="0">
      <w:lvlJc w:val="left"/>
      <w:lvlText w:val="1"/>
      <w:numFmt w:val="bullet"/>
      <w:start w:val="1"/>
    </w:lvl>
  </w:abstractNum>
  <w:abstractNum w:abstractNumId="10">
    <w:nsid w:val="1BEFD79F"/>
    <w:multiLevelType w:val="hybridMultilevel"/>
    <w:lvl w:ilvl="0">
      <w:lvlJc w:val="left"/>
      <w:lvlText w:val="2"/>
      <w:numFmt w:val="bullet"/>
      <w:start w:val="1"/>
    </w:lvl>
  </w:abstractNum>
  <w:abstractNum w:abstractNumId="11">
    <w:nsid w:val="41A7C4C9"/>
    <w:multiLevelType w:val="hybridMultilevel"/>
    <w:lvl w:ilvl="0">
      <w:lvlJc w:val="left"/>
      <w:lvlText w:val="3"/>
      <w:numFmt w:val="bullet"/>
      <w:start w:val="1"/>
    </w:lvl>
  </w:abstractNum>
  <w:abstractNum w:abstractNumId="12">
    <w:nsid w:val="6B68079A"/>
    <w:multiLevelType w:val="hybridMultilevel"/>
    <w:lvl w:ilvl="0">
      <w:lvlJc w:val="left"/>
      <w:lvlText w:val="1"/>
      <w:numFmt w:val="bullet"/>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3"/>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2025-11-06T14:09:48Z</dcterms:created>
  <dcterms:modified xsi:type="dcterms:W3CDTF">2025-11-06T14:09:48Z</dcterms:modified>
</cp:coreProperties>
</file>