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391795</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2023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 to ________</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001-40379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FIVE STAR BANCORP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698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California</w:t>
            </w:r>
          </w:p>
        </w:tc>
        <w:tc>
          <w:tcPr>
            <w:tcW w:w="324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75-3100966</w:t>
            </w:r>
          </w:p>
        </w:tc>
      </w:tr>
      <w:tr>
        <w:trPr>
          <w:trHeight w:val="257"/>
        </w:trPr>
        <w:tc>
          <w:tcPr>
            <w:tcW w:w="6980" w:type="dxa"/>
            <w:vAlign w:val="bottom"/>
            <w:gridSpan w:val="4"/>
          </w:tcPr>
          <w:p>
            <w:pPr>
              <w:jc w:val="center"/>
              <w:ind w:right="14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(IRS Employer Identification No.)</w:t>
            </w:r>
          </w:p>
        </w:tc>
      </w:tr>
      <w:tr>
        <w:trPr>
          <w:trHeight w:val="337"/>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Arial" w:cs="Arial" w:eastAsia="Arial" w:hAnsi="Arial"/>
                <w:sz w:val="18"/>
                <w:szCs w:val="18"/>
                <w:b w:val="1"/>
                <w:bCs w:val="1"/>
                <w:color w:val="auto"/>
                <w:w w:val="91"/>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Arial" w:cs="Arial" w:eastAsia="Arial" w:hAnsi="Arial"/>
                <w:sz w:val="18"/>
                <w:szCs w:val="18"/>
                <w:color w:val="auto"/>
                <w:w w:val="93"/>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10220" w:type="dxa"/>
            <w:vAlign w:val="bottom"/>
            <w:gridSpan w:val="7"/>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0"/>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Arial" w:cs="Arial" w:eastAsia="Arial" w:hAnsi="Arial"/>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Trading symbol</w:t>
            </w:r>
          </w:p>
        </w:tc>
        <w:tc>
          <w:tcPr>
            <w:tcW w:w="324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7"/>
        </w:trPr>
        <w:tc>
          <w:tcPr>
            <w:tcW w:w="2780" w:type="dxa"/>
            <w:vAlign w:val="bottom"/>
          </w:tcPr>
          <w:p>
            <w:pPr>
              <w:jc w:val="center"/>
              <w:spacing w:after="0"/>
              <w:rPr>
                <w:sz w:val="20"/>
                <w:szCs w:val="20"/>
                <w:color w:val="auto"/>
              </w:rPr>
            </w:pPr>
            <w:r>
              <w:rPr>
                <w:rFonts w:ascii="Arial" w:cs="Arial" w:eastAsia="Arial" w:hAnsi="Arial"/>
                <w:sz w:val="18"/>
                <w:szCs w:val="18"/>
                <w:color w:val="auto"/>
                <w:w w:val="88"/>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89"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860" w:type="dxa"/>
            <w:vAlign w:val="bottom"/>
          </w:tcPr>
          <w:p>
            <w:pPr>
              <w:ind w:left="140"/>
              <w:spacing w:after="0"/>
              <w:rPr>
                <w:sz w:val="20"/>
                <w:szCs w:val="20"/>
                <w:color w:val="auto"/>
              </w:rPr>
            </w:pPr>
            <w:r>
              <w:rPr>
                <w:rFonts w:ascii="Arial" w:cs="Arial" w:eastAsia="Arial" w:hAnsi="Arial"/>
                <w:sz w:val="18"/>
                <w:szCs w:val="18"/>
                <w:color w:val="auto"/>
              </w:rPr>
              <w:t>in</w:t>
            </w:r>
          </w:p>
        </w:tc>
        <w:tc>
          <w:tcPr>
            <w:tcW w:w="1820" w:type="dxa"/>
            <w:vAlign w:val="bottom"/>
          </w:tcPr>
          <w:p>
            <w:pPr>
              <w:ind w:left="580"/>
              <w:spacing w:after="0"/>
              <w:rPr>
                <w:sz w:val="20"/>
                <w:szCs w:val="20"/>
                <w:color w:val="auto"/>
              </w:rPr>
            </w:pPr>
            <w:r>
              <w:rPr>
                <w:rFonts w:ascii="Arial" w:cs="Arial" w:eastAsia="Arial" w:hAnsi="Arial"/>
                <w:sz w:val="18"/>
                <w:szCs w:val="18"/>
                <w:color w:val="auto"/>
              </w:rPr>
              <w:t>Rule</w:t>
            </w:r>
          </w:p>
        </w:tc>
        <w:tc>
          <w:tcPr>
            <w:tcW w:w="920" w:type="dxa"/>
            <w:vAlign w:val="bottom"/>
          </w:tcPr>
          <w:p>
            <w:pPr>
              <w:ind w:left="280"/>
              <w:spacing w:after="0"/>
              <w:rPr>
                <w:sz w:val="20"/>
                <w:szCs w:val="20"/>
                <w:color w:val="auto"/>
              </w:rPr>
            </w:pPr>
            <w:r>
              <w:rPr>
                <w:rFonts w:ascii="Arial" w:cs="Arial" w:eastAsia="Arial" w:hAnsi="Arial"/>
                <w:sz w:val="18"/>
                <w:szCs w:val="18"/>
                <w:color w:val="auto"/>
              </w:rPr>
              <w:t>12b-2</w:t>
            </w:r>
          </w:p>
        </w:tc>
        <w:tc>
          <w:tcPr>
            <w:tcW w:w="2240" w:type="dxa"/>
            <w:vAlign w:val="bottom"/>
          </w:tcPr>
          <w:p>
            <w:pPr>
              <w:ind w:left="960"/>
              <w:spacing w:after="0"/>
              <w:rPr>
                <w:sz w:val="20"/>
                <w:szCs w:val="20"/>
                <w:color w:val="auto"/>
              </w:rPr>
            </w:pPr>
            <w:r>
              <w:rPr>
                <w:rFonts w:ascii="Arial" w:cs="Arial" w:eastAsia="Arial" w:hAnsi="Arial"/>
                <w:sz w:val="18"/>
                <w:szCs w:val="18"/>
                <w:color w:val="auto"/>
              </w:rPr>
              <w:t>of</w:t>
            </w:r>
          </w:p>
        </w:tc>
        <w:tc>
          <w:tcPr>
            <w:tcW w:w="840" w:type="dxa"/>
            <w:vAlign w:val="bottom"/>
          </w:tcPr>
          <w:p>
            <w:pPr>
              <w:ind w:left="40"/>
              <w:spacing w:after="0"/>
              <w:rPr>
                <w:sz w:val="20"/>
                <w:szCs w:val="20"/>
                <w:color w:val="auto"/>
              </w:rPr>
            </w:pPr>
            <w:r>
              <w:rPr>
                <w:rFonts w:ascii="Arial" w:cs="Arial" w:eastAsia="Arial" w:hAnsi="Arial"/>
                <w:sz w:val="18"/>
                <w:szCs w:val="18"/>
                <w:color w:val="auto"/>
              </w:rPr>
              <w:t>the</w:t>
            </w:r>
          </w:p>
        </w:tc>
        <w:tc>
          <w:tcPr>
            <w:tcW w:w="1900" w:type="dxa"/>
            <w:vAlign w:val="bottom"/>
          </w:tcPr>
          <w:p>
            <w:pPr>
              <w:ind w:left="580"/>
              <w:spacing w:after="0"/>
              <w:rPr>
                <w:sz w:val="20"/>
                <w:szCs w:val="20"/>
                <w:color w:val="auto"/>
              </w:rPr>
            </w:pPr>
            <w:r>
              <w:rPr>
                <w:rFonts w:ascii="Arial" w:cs="Arial" w:eastAsia="Arial" w:hAnsi="Arial"/>
                <w:sz w:val="18"/>
                <w:szCs w:val="18"/>
                <w:color w:val="auto"/>
              </w:rPr>
              <w:t>Exchange</w:t>
            </w:r>
          </w:p>
        </w:tc>
        <w:tc>
          <w:tcPr>
            <w:tcW w:w="860" w:type="dxa"/>
            <w:vAlign w:val="bottom"/>
          </w:tcPr>
          <w:p>
            <w:pPr>
              <w:ind w:left="560"/>
              <w:spacing w:after="0"/>
              <w:rPr>
                <w:sz w:val="20"/>
                <w:szCs w:val="20"/>
                <w:color w:val="auto"/>
              </w:rPr>
            </w:pPr>
            <w:r>
              <w:rPr>
                <w:rFonts w:ascii="Arial" w:cs="Arial" w:eastAsia="Arial" w:hAnsi="Arial"/>
                <w:sz w:val="18"/>
                <w:szCs w:val="18"/>
                <w:color w:val="auto"/>
                <w:w w:val="90"/>
              </w:rPr>
              <w:t>Act.</w:t>
            </w:r>
          </w:p>
        </w:tc>
      </w:tr>
      <w:tr>
        <w:trPr>
          <w:trHeight w:val="256"/>
        </w:trPr>
        <w:tc>
          <w:tcPr>
            <w:tcW w:w="1780" w:type="dxa"/>
            <w:vAlign w:val="bottom"/>
          </w:tcPr>
          <w:p>
            <w:pPr>
              <w:ind w:left="20"/>
              <w:spacing w:after="0"/>
              <w:rPr>
                <w:sz w:val="20"/>
                <w:szCs w:val="20"/>
                <w:color w:val="auto"/>
              </w:rPr>
            </w:pPr>
            <w:r>
              <w:rPr>
                <w:rFonts w:ascii="Arial" w:cs="Arial" w:eastAsia="Arial" w:hAnsi="Arial"/>
                <w:sz w:val="18"/>
                <w:szCs w:val="18"/>
                <w:color w:val="auto"/>
                <w:w w:val="97"/>
              </w:rPr>
              <w:t>Large accelerated filer</w:t>
            </w:r>
          </w:p>
        </w:tc>
        <w:tc>
          <w:tcPr>
            <w:tcW w:w="860" w:type="dxa"/>
            <w:vAlign w:val="bottom"/>
          </w:tcPr>
          <w:p>
            <w:pPr>
              <w:spacing w:after="0"/>
              <w:rPr>
                <w:sz w:val="22"/>
                <w:szCs w:val="22"/>
                <w:color w:val="auto"/>
              </w:rPr>
            </w:pPr>
          </w:p>
        </w:tc>
        <w:tc>
          <w:tcPr>
            <w:tcW w:w="1820" w:type="dxa"/>
            <w:vAlign w:val="bottom"/>
          </w:tcPr>
          <w:p>
            <w:pPr>
              <w:ind w:left="1440"/>
              <w:spacing w:after="0"/>
              <w:rPr>
                <w:sz w:val="20"/>
                <w:szCs w:val="20"/>
                <w:color w:val="auto"/>
              </w:rPr>
            </w:pPr>
            <w:r>
              <w:rPr>
                <w:rFonts w:ascii="Arial" w:cs="Arial" w:eastAsia="Arial" w:hAnsi="Arial"/>
                <w:sz w:val="18"/>
                <w:szCs w:val="18"/>
                <w:color w:val="auto"/>
              </w:rPr>
              <w:t>o</w:t>
            </w:r>
          </w:p>
        </w:tc>
        <w:tc>
          <w:tcPr>
            <w:tcW w:w="92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spacing w:after="0"/>
              <w:rPr>
                <w:sz w:val="22"/>
                <w:szCs w:val="22"/>
                <w:color w:val="auto"/>
              </w:rPr>
            </w:pPr>
          </w:p>
        </w:tc>
        <w:tc>
          <w:tcPr>
            <w:tcW w:w="1900" w:type="dxa"/>
            <w:vAlign w:val="bottom"/>
          </w:tcPr>
          <w:p>
            <w:pPr>
              <w:ind w:left="1220"/>
              <w:spacing w:after="0"/>
              <w:rPr>
                <w:sz w:val="20"/>
                <w:szCs w:val="20"/>
                <w:color w:val="auto"/>
              </w:rPr>
            </w:pPr>
            <w:r>
              <w:rPr>
                <w:rFonts w:ascii="Arial" w:cs="Arial" w:eastAsia="Arial" w:hAnsi="Arial"/>
                <w:sz w:val="18"/>
                <w:szCs w:val="18"/>
                <w:color w:val="auto"/>
              </w:rPr>
              <w:t>o</w:t>
            </w:r>
          </w:p>
        </w:tc>
        <w:tc>
          <w:tcPr>
            <w:tcW w:w="860" w:type="dxa"/>
            <w:vAlign w:val="bottom"/>
          </w:tcPr>
          <w:p>
            <w:pPr>
              <w:spacing w:after="0"/>
              <w:rPr>
                <w:sz w:val="22"/>
                <w:szCs w:val="22"/>
                <w:color w:val="auto"/>
              </w:rPr>
            </w:pPr>
          </w:p>
        </w:tc>
      </w:tr>
      <w:tr>
        <w:trPr>
          <w:trHeight w:val="256"/>
        </w:trPr>
        <w:tc>
          <w:tcPr>
            <w:tcW w:w="178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860" w:type="dxa"/>
            <w:vAlign w:val="bottom"/>
          </w:tcPr>
          <w:p>
            <w:pPr>
              <w:spacing w:after="0"/>
              <w:rPr>
                <w:sz w:val="22"/>
                <w:szCs w:val="22"/>
                <w:color w:val="auto"/>
              </w:rPr>
            </w:pPr>
          </w:p>
        </w:tc>
        <w:tc>
          <w:tcPr>
            <w:tcW w:w="1820" w:type="dxa"/>
            <w:vAlign w:val="bottom"/>
          </w:tcPr>
          <w:p>
            <w:pPr>
              <w:ind w:left="14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Arial" w:cs="Arial" w:eastAsia="Arial" w:hAnsi="Arial"/>
                <w:sz w:val="18"/>
                <w:szCs w:val="18"/>
                <w:color w:val="auto"/>
                <w:w w:val="92"/>
              </w:rPr>
              <w:t>Smaller reporting company</w:t>
            </w:r>
          </w:p>
        </w:tc>
        <w:tc>
          <w:tcPr>
            <w:tcW w:w="840" w:type="dxa"/>
            <w:vAlign w:val="bottom"/>
          </w:tcPr>
          <w:p>
            <w:pPr>
              <w:spacing w:after="0"/>
              <w:rPr>
                <w:sz w:val="22"/>
                <w:szCs w:val="22"/>
                <w:color w:val="auto"/>
              </w:rPr>
            </w:pPr>
          </w:p>
        </w:tc>
        <w:tc>
          <w:tcPr>
            <w:tcW w:w="1900" w:type="dxa"/>
            <w:vAlign w:val="bottom"/>
          </w:tcPr>
          <w:p>
            <w:pPr>
              <w:ind w:left="1220"/>
              <w:spacing w:after="0"/>
              <w:rPr>
                <w:sz w:val="20"/>
                <w:szCs w:val="20"/>
                <w:color w:val="auto"/>
              </w:rPr>
            </w:pPr>
            <w:r>
              <w:rPr>
                <w:rFonts w:ascii="Arial" w:cs="Arial" w:eastAsia="Arial" w:hAnsi="Arial"/>
                <w:sz w:val="18"/>
                <w:szCs w:val="18"/>
                <w:color w:val="auto"/>
              </w:rPr>
              <w:t>x</w:t>
            </w:r>
          </w:p>
        </w:tc>
        <w:tc>
          <w:tcPr>
            <w:tcW w:w="860" w:type="dxa"/>
            <w:vAlign w:val="bottom"/>
          </w:tcPr>
          <w:p>
            <w:pPr>
              <w:spacing w:after="0"/>
              <w:rPr>
                <w:sz w:val="22"/>
                <w:szCs w:val="22"/>
                <w:color w:val="auto"/>
              </w:rPr>
            </w:pPr>
          </w:p>
        </w:tc>
      </w:tr>
      <w:tr>
        <w:trPr>
          <w:trHeight w:val="257"/>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4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2023, there were 17,257,023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8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Arial" w:cs="Arial" w:eastAsia="Arial" w:hAnsi="Arial"/>
                <w:sz w:val="18"/>
                <w:szCs w:val="18"/>
                <w:b w:val="1"/>
                <w:bCs w:val="1"/>
                <w:color w:val="auto"/>
                <w:w w:val="98"/>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Arial" w:cs="Arial" w:eastAsia="Arial" w:hAnsi="Arial"/>
                <w:sz w:val="18"/>
                <w:szCs w:val="18"/>
                <w:color w:val="auto"/>
                <w:w w:val="91"/>
              </w:rPr>
              <w:t>Quarterly Report on Form 10-Q</w:t>
            </w:r>
          </w:p>
        </w:tc>
        <w:tc>
          <w:tcPr>
            <w:tcW w:w="19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Arial" w:cs="Arial" w:eastAsia="Arial" w:hAnsi="Arial"/>
                <w:sz w:val="18"/>
                <w:szCs w:val="18"/>
                <w:color w:val="auto"/>
                <w:w w:val="88"/>
              </w:rPr>
              <w:t>September 30, 2023</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Balance Sheets</w:t>
            </w:r>
          </w:p>
        </w:tc>
        <w:tc>
          <w:tcPr>
            <w:tcW w:w="5800" w:type="dxa"/>
            <w:vAlign w:val="bottom"/>
            <w:gridSpan w:val="11"/>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Arial" w:cs="Arial" w:eastAsia="Arial" w:hAnsi="Arial"/>
                <w:sz w:val="18"/>
                <w:szCs w:val="18"/>
                <w:color w:val="0000FF"/>
              </w:rPr>
              <w:t>Consolidated Statements of Income</w:t>
            </w:r>
          </w:p>
        </w:tc>
        <w:tc>
          <w:tcPr>
            <w:tcW w:w="1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Arial" w:cs="Arial" w:eastAsia="Arial" w:hAnsi="Arial"/>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0"/>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Statements of Cash Flows</w:t>
            </w:r>
          </w:p>
        </w:tc>
        <w:tc>
          <w:tcPr>
            <w:tcW w:w="502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474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16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8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160" w:type="dxa"/>
            <w:vAlign w:val="bottom"/>
            <w:gridSpan w:val="20"/>
          </w:tcPr>
          <w:p>
            <w:pPr>
              <w:spacing w:after="0"/>
              <w:rPr>
                <w:sz w:val="20"/>
                <w:szCs w:val="20"/>
                <w:color w:val="auto"/>
              </w:rPr>
            </w:pPr>
            <w:r>
              <w:rPr>
                <w:rFonts w:ascii="Arial" w:cs="Arial" w:eastAsia="Arial" w:hAnsi="Arial"/>
                <w:sz w:val="18"/>
                <w:szCs w:val="18"/>
                <w:b w:val="1"/>
                <w:bCs w:val="1"/>
                <w:color w:val="0000FF"/>
              </w:rPr>
              <w:t>OTHER INFORMATION</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6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0000FF"/>
                <w:w w:val="95"/>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ind w:left="20"/>
              <w:spacing w:after="0"/>
              <w:rPr>
                <w:sz w:val="20"/>
                <w:szCs w:val="20"/>
                <w:color w:val="auto"/>
              </w:rPr>
            </w:pPr>
            <w:r>
              <w:rPr>
                <w:rFonts w:ascii="Arial" w:cs="Arial" w:eastAsia="Arial" w:hAnsi="Arial"/>
                <w:sz w:val="15"/>
                <w:szCs w:val="15"/>
                <w:i w:val="1"/>
                <w:iCs w:val="1"/>
                <w:color w:val="auto"/>
              </w:rPr>
              <w:t>(in thousands, except share amounts)</w:t>
            </w: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2023</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199"/>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Cash and due from financial institutions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26,744</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32,561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deposits in banks</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296,804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227,430</w:t>
            </w:r>
          </w:p>
        </w:tc>
        <w:tc>
          <w:tcPr>
            <w:tcW w:w="0" w:type="dxa"/>
            <w:vAlign w:val="bottom"/>
          </w:tcPr>
          <w:p>
            <w:pPr>
              <w:spacing w:after="0"/>
              <w:rPr>
                <w:sz w:val="1"/>
                <w:szCs w:val="1"/>
                <w:color w:val="auto"/>
              </w:rPr>
            </w:pPr>
          </w:p>
        </w:tc>
      </w:tr>
      <w:tr>
        <w:trPr>
          <w:trHeight w:val="207"/>
        </w:trPr>
        <w:tc>
          <w:tcPr>
            <w:tcW w:w="8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323,548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259,991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 in banks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w:t>
            </w:r>
          </w:p>
        </w:tc>
        <w:tc>
          <w:tcPr>
            <w:tcW w:w="0" w:type="dxa"/>
            <w:vAlign w:val="bottom"/>
          </w:tcPr>
          <w:p>
            <w:pPr>
              <w:spacing w:after="0"/>
              <w:rPr>
                <w:sz w:val="1"/>
                <w:szCs w:val="1"/>
                <w:color w:val="auto"/>
              </w:rPr>
            </w:pPr>
          </w:p>
        </w:tc>
      </w:tr>
      <w:tr>
        <w:trPr>
          <w:trHeight w:val="166"/>
        </w:trPr>
        <w:tc>
          <w:tcPr>
            <w:tcW w:w="8200" w:type="dxa"/>
            <w:vAlign w:val="bottom"/>
          </w:tcPr>
          <w:p>
            <w:pPr>
              <w:ind w:left="20"/>
              <w:spacing w:after="0" w:line="166" w:lineRule="exact"/>
              <w:rPr>
                <w:sz w:val="20"/>
                <w:szCs w:val="20"/>
                <w:color w:val="auto"/>
              </w:rPr>
            </w:pPr>
            <w:r>
              <w:rPr>
                <w:rFonts w:ascii="Arial" w:cs="Arial" w:eastAsia="Arial" w:hAnsi="Arial"/>
                <w:sz w:val="16"/>
                <w:szCs w:val="16"/>
                <w:color w:val="auto"/>
                <w:w w:val="93"/>
              </w:rPr>
              <w:t>Securities available-for-sale, at fair value, net of allowance for credit losses of $0 at September 30, 2023 and December 31,</w:t>
            </w:r>
          </w:p>
        </w:tc>
        <w:tc>
          <w:tcPr>
            <w:tcW w:w="4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104,086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115,988</w:t>
            </w:r>
          </w:p>
        </w:tc>
        <w:tc>
          <w:tcPr>
            <w:tcW w:w="0" w:type="dxa"/>
            <w:vAlign w:val="bottom"/>
          </w:tcPr>
          <w:p>
            <w:pPr>
              <w:spacing w:after="0"/>
              <w:rPr>
                <w:sz w:val="1"/>
                <w:szCs w:val="1"/>
                <w:color w:val="auto"/>
              </w:rPr>
            </w:pPr>
          </w:p>
        </w:tc>
      </w:tr>
      <w:tr>
        <w:trPr>
          <w:trHeight w:val="209"/>
        </w:trPr>
        <w:tc>
          <w:tcPr>
            <w:tcW w:w="8200" w:type="dxa"/>
            <w:vAlign w:val="bottom"/>
          </w:tcPr>
          <w:p>
            <w:pPr>
              <w:ind w:left="180"/>
              <w:spacing w:after="0"/>
              <w:rPr>
                <w:sz w:val="20"/>
                <w:szCs w:val="20"/>
                <w:color w:val="auto"/>
              </w:rPr>
            </w:pPr>
            <w:r>
              <w:rPr>
                <w:rFonts w:ascii="Arial" w:cs="Arial" w:eastAsia="Arial" w:hAnsi="Arial"/>
                <w:sz w:val="16"/>
                <w:szCs w:val="16"/>
                <w:color w:val="auto"/>
              </w:rPr>
              <w:t>2022 (amortized cost of $126,703 and $135,087 at September 30, 2023 and December 31, 2022, respectively)</w:t>
            </w:r>
          </w:p>
        </w:tc>
        <w:tc>
          <w:tcPr>
            <w:tcW w:w="4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Securities held-to-maturity, at amortized cost, net of allowance for credit losses of $20 at September 30, 2023 and $0 at</w:t>
            </w:r>
          </w:p>
        </w:tc>
        <w:tc>
          <w:tcPr>
            <w:tcW w:w="4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December 31, 2022 (fair value of $2,811 and $3,432 at September 30, 2023 and December 31, 2022, respectively)</w:t>
            </w:r>
          </w:p>
        </w:tc>
        <w:tc>
          <w:tcPr>
            <w:tcW w:w="4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9,416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3,009,930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2,791,326</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 - loans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(28,389)</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Loans held for investment, net of allowance for credit losses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2,975,902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2,762,937</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10,890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right-of-use asset, net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Bank-owned life insurance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receivable and other assets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43,717</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34,077</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assets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3,505,040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3,227,159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Deposits: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833,434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968,749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Interest-bearing</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2,198,776</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1,813,255</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deposits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3,032,210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2,782,004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Borrowings: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FHLB advances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Subordinated debt, net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73,713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73,606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payable and other liabilities</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30,050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14,481</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liabilities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3,231,016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2,974,334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200" w:type="dxa"/>
            <w:vAlign w:val="bottom"/>
          </w:tcPr>
          <w:p>
            <w:pPr>
              <w:ind w:left="180"/>
              <w:spacing w:after="0" w:line="166" w:lineRule="exact"/>
              <w:rPr>
                <w:sz w:val="20"/>
                <w:szCs w:val="20"/>
                <w:color w:val="auto"/>
              </w:rPr>
            </w:pPr>
            <w:r>
              <w:rPr>
                <w:rFonts w:ascii="Arial" w:cs="Arial" w:eastAsia="Arial" w:hAnsi="Arial"/>
                <w:sz w:val="16"/>
                <w:szCs w:val="16"/>
                <w:color w:val="auto"/>
                <w:w w:val="95"/>
              </w:rPr>
              <w:t>Preferred stock, no par value; 10,000,000 shares authorized; zero issued and outstanding at September 30, 2023 and</w:t>
            </w:r>
          </w:p>
        </w:tc>
        <w:tc>
          <w:tcPr>
            <w:tcW w:w="4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00" w:type="dxa"/>
            <w:vAlign w:val="bottom"/>
          </w:tcPr>
          <w:p>
            <w:pPr>
              <w:ind w:left="360"/>
              <w:spacing w:after="0"/>
              <w:rPr>
                <w:sz w:val="20"/>
                <w:szCs w:val="20"/>
                <w:color w:val="auto"/>
              </w:rPr>
            </w:pPr>
            <w:r>
              <w:rPr>
                <w:rFonts w:ascii="Arial" w:cs="Arial" w:eastAsia="Arial" w:hAnsi="Arial"/>
                <w:sz w:val="16"/>
                <w:szCs w:val="16"/>
                <w:color w:val="auto"/>
              </w:rPr>
              <w:t>December 31, 2022</w:t>
            </w:r>
          </w:p>
        </w:tc>
        <w:tc>
          <w:tcPr>
            <w:tcW w:w="4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1"/>
              </w:rPr>
              <w:t>Common stock, no par value; 100,000,000 shares authorized; 17,257,357 shares issued and outstanding at September 30,</w:t>
            </w:r>
          </w:p>
        </w:tc>
        <w:tc>
          <w:tcPr>
            <w:tcW w:w="4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220,266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219,543</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2023; 17,241,926 shares issued and outstanding at December 31, 2022</w:t>
            </w:r>
          </w:p>
        </w:tc>
        <w:tc>
          <w:tcPr>
            <w:tcW w:w="4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69,689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46,736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 net</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(13,454)</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shareholders’ equity</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274,024</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252,825</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shareholders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3,505,040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3,227,159</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420" w:type="dxa"/>
            <w:vAlign w:val="bottom"/>
            <w:gridSpan w:val="4"/>
          </w:tcPr>
          <w:p>
            <w:pPr>
              <w:jc w:val="center"/>
              <w:ind w:left="458"/>
              <w:spacing w:after="0"/>
              <w:rPr>
                <w:sz w:val="20"/>
                <w:szCs w:val="20"/>
                <w:color w:val="auto"/>
              </w:rPr>
            </w:pPr>
            <w:r>
              <w:rPr>
                <w:rFonts w:ascii="Arial" w:cs="Arial" w:eastAsia="Arial" w:hAnsi="Arial"/>
                <w:sz w:val="17"/>
                <w:szCs w:val="17"/>
                <w:b w:val="1"/>
                <w:bCs w:val="1"/>
                <w:color w:val="auto"/>
                <w:w w:val="92"/>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4"/>
          </w:tcPr>
          <w:p>
            <w:pPr>
              <w:jc w:val="center"/>
              <w:ind w:right="215"/>
              <w:spacing w:after="0"/>
              <w:rPr>
                <w:sz w:val="20"/>
                <w:szCs w:val="20"/>
                <w:color w:val="auto"/>
              </w:rPr>
            </w:pPr>
            <w:r>
              <w:rPr>
                <w:rFonts w:ascii="Arial" w:cs="Arial" w:eastAsia="Arial" w:hAnsi="Arial"/>
                <w:sz w:val="17"/>
                <w:szCs w:val="17"/>
                <w:b w:val="1"/>
                <w:bCs w:val="1"/>
                <w:color w:val="auto"/>
                <w:w w:val="93"/>
              </w:rPr>
              <w:t>Nine Months Ended</w:t>
            </w:r>
          </w:p>
        </w:tc>
      </w:tr>
      <w:tr>
        <w:trPr>
          <w:trHeight w:val="220"/>
        </w:trPr>
        <w:tc>
          <w:tcPr>
            <w:tcW w:w="50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7"/>
                <w:szCs w:val="17"/>
                <w:b w:val="1"/>
                <w:bCs w:val="1"/>
                <w:color w:val="auto"/>
                <w:w w:val="89"/>
              </w:rPr>
              <w:t>September 30,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7"/>
                <w:szCs w:val="17"/>
                <w:b w:val="1"/>
                <w:bCs w:val="1"/>
                <w:color w:val="auto"/>
                <w:w w:val="89"/>
              </w:rPr>
              <w:t>September 30,</w:t>
            </w:r>
          </w:p>
        </w:tc>
        <w:tc>
          <w:tcPr>
            <w:tcW w:w="860" w:type="dxa"/>
            <w:vAlign w:val="bottom"/>
            <w:tcBorders>
              <w:bottom w:val="single" w:sz="8" w:color="auto"/>
            </w:tcBorders>
          </w:tcPr>
          <w:p>
            <w:pPr>
              <w:spacing w:after="0"/>
              <w:rPr>
                <w:sz w:val="19"/>
                <w:szCs w:val="19"/>
                <w:color w:val="auto"/>
              </w:rPr>
            </w:pPr>
          </w:p>
        </w:tc>
      </w:tr>
      <w:tr>
        <w:trPr>
          <w:trHeight w:val="222"/>
        </w:trPr>
        <w:tc>
          <w:tcPr>
            <w:tcW w:w="508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 except per share amounts)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w w:val="89"/>
              </w:rPr>
              <w:t>2022</w:t>
            </w:r>
          </w:p>
        </w:tc>
      </w:tr>
      <w:tr>
        <w:trPr>
          <w:trHeight w:val="214"/>
        </w:trPr>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 and fee income: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Loans, including fees</w:t>
            </w:r>
          </w:p>
        </w:tc>
        <w:tc>
          <w:tcPr>
            <w:tcW w:w="880" w:type="dxa"/>
            <w:vAlign w:val="bottom"/>
          </w:tcPr>
          <w:p>
            <w:pPr>
              <w:jc w:val="right"/>
              <w:ind w:right="718"/>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8"/>
              </w:rPr>
              <w:t>41,861</w:t>
            </w:r>
          </w:p>
        </w:tc>
        <w:tc>
          <w:tcPr>
            <w:tcW w:w="100" w:type="dxa"/>
            <w:vAlign w:val="bottom"/>
          </w:tcPr>
          <w:p>
            <w:pPr>
              <w:spacing w:after="0"/>
              <w:rPr>
                <w:sz w:val="19"/>
                <w:szCs w:val="19"/>
                <w:color w:val="auto"/>
              </w:rPr>
            </w:pPr>
          </w:p>
        </w:tc>
        <w:tc>
          <w:tcPr>
            <w:tcW w:w="880" w:type="dxa"/>
            <w:vAlign w:val="bottom"/>
          </w:tcPr>
          <w:p>
            <w:pPr>
              <w:jc w:val="right"/>
              <w:ind w:right="7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29,886</w:t>
            </w:r>
          </w:p>
        </w:tc>
        <w:tc>
          <w:tcPr>
            <w:tcW w:w="1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119,284</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76,877</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Taxable securities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1,252</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Nontaxable securities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532</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Interest-bearing deposits in other banks</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6,969</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1,855</w:t>
            </w:r>
          </w:p>
        </w:tc>
      </w:tr>
      <w:tr>
        <w:trPr>
          <w:trHeight w:val="217"/>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interest and fee income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45,098</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31,646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128,202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80,516</w:t>
            </w:r>
          </w:p>
        </w:tc>
      </w:tr>
      <w:tr>
        <w:trPr>
          <w:trHeight w:val="203"/>
        </w:trPr>
        <w:tc>
          <w:tcPr>
            <w:tcW w:w="5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7"/>
                <w:szCs w:val="17"/>
                <w:b w:val="1"/>
                <w:bCs w:val="1"/>
                <w:color w:val="auto"/>
              </w:rPr>
              <w:t>Interest expense: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Deposits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16,386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4,383</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FHLB advances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Subordinated debt</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3,484</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2,146</w:t>
            </w:r>
          </w:p>
        </w:tc>
      </w:tr>
      <w:tr>
        <w:trPr>
          <w:trHeight w:val="217"/>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interest expense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17,622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6,581</w:t>
            </w:r>
          </w:p>
        </w:tc>
      </w:tr>
      <w:tr>
        <w:trPr>
          <w:trHeight w:val="203"/>
        </w:trPr>
        <w:tc>
          <w:tcPr>
            <w:tcW w:w="5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7"/>
                <w:szCs w:val="17"/>
                <w:color w:val="auto"/>
              </w:rPr>
              <w:t>Net interest income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27,476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27,523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84,202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73,935</w:t>
            </w:r>
          </w:p>
        </w:tc>
      </w:tr>
      <w:tr>
        <w:trPr>
          <w:trHeight w:val="236"/>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credit losses</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5,450</w:t>
            </w: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interest income after provision for credit losses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26,426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25,273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81,002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68,485</w:t>
            </w:r>
          </w:p>
        </w:tc>
      </w:tr>
      <w:tr>
        <w:trPr>
          <w:trHeight w:val="203"/>
        </w:trPr>
        <w:tc>
          <w:tcPr>
            <w:tcW w:w="5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7"/>
                <w:szCs w:val="17"/>
                <w:b w:val="1"/>
                <w:bCs w:val="1"/>
                <w:color w:val="auto"/>
              </w:rPr>
              <w:t>Non-interest income: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Service charges on deposit accounts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Net gain on sale of securities available-for-sale</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loans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Loan-related fees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1,800</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FHLB stock dividends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Earnings on BOLI</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w:t>
            </w:r>
          </w:p>
        </w:tc>
      </w:tr>
      <w:tr>
        <w:trPr>
          <w:trHeight w:val="216"/>
        </w:trPr>
        <w:tc>
          <w:tcPr>
            <w:tcW w:w="50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non-interest income</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5,556</w:t>
            </w:r>
          </w:p>
        </w:tc>
      </w:tr>
      <w:tr>
        <w:trPr>
          <w:trHeight w:val="203"/>
        </w:trPr>
        <w:tc>
          <w:tcPr>
            <w:tcW w:w="50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5"/>
        </w:trPr>
        <w:tc>
          <w:tcPr>
            <w:tcW w:w="5080" w:type="dxa"/>
            <w:vAlign w:val="bottom"/>
          </w:tcPr>
          <w:p>
            <w:pPr>
              <w:spacing w:after="0"/>
              <w:rPr>
                <w:sz w:val="20"/>
                <w:szCs w:val="20"/>
                <w:color w:val="auto"/>
              </w:rPr>
            </w:pPr>
            <w:r>
              <w:rPr>
                <w:rFonts w:ascii="Arial" w:cs="Arial" w:eastAsia="Arial" w:hAnsi="Arial"/>
                <w:sz w:val="17"/>
                <w:szCs w:val="17"/>
                <w:b w:val="1"/>
                <w:bCs w:val="1"/>
                <w:color w:val="auto"/>
              </w:rPr>
              <w:t>Non-interest expense:</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Salaries and employee benefits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16,873</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Occupancy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1,548</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Data processing and software</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2,252</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FDIC insurance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605</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Professional services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w:t>
            </w:r>
          </w:p>
        </w:tc>
      </w:tr>
      <w:tr>
        <w:trPr>
          <w:trHeight w:val="223"/>
        </w:trPr>
        <w:tc>
          <w:tcPr>
            <w:tcW w:w="5080" w:type="dxa"/>
            <w:vAlign w:val="bottom"/>
          </w:tcPr>
          <w:p>
            <w:pPr>
              <w:ind w:left="160"/>
              <w:spacing w:after="0"/>
              <w:rPr>
                <w:sz w:val="20"/>
                <w:szCs w:val="20"/>
                <w:color w:val="auto"/>
              </w:rPr>
            </w:pPr>
            <w:r>
              <w:rPr>
                <w:rFonts w:ascii="Arial" w:cs="Arial" w:eastAsia="Arial" w:hAnsi="Arial"/>
                <w:sz w:val="17"/>
                <w:szCs w:val="17"/>
                <w:color w:val="auto"/>
              </w:rPr>
              <w:t>Advertising and promotional</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1,340</w:t>
            </w:r>
          </w:p>
        </w:tc>
      </w:tr>
      <w:tr>
        <w:trPr>
          <w:trHeight w:val="236"/>
        </w:trPr>
        <w:tc>
          <w:tcPr>
            <w:tcW w:w="5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Loan-related expenses</w:t>
            </w: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r>
      <w:tr>
        <w:trPr>
          <w:trHeight w:val="223"/>
        </w:trPr>
        <w:tc>
          <w:tcPr>
            <w:tcW w:w="50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Other operating expenses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4,491</w:t>
            </w:r>
          </w:p>
        </w:tc>
      </w:tr>
      <w:tr>
        <w:trPr>
          <w:trHeight w:val="223"/>
        </w:trPr>
        <w:tc>
          <w:tcPr>
            <w:tcW w:w="5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non-interest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12,015</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10,172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29,952</w:t>
            </w:r>
          </w:p>
        </w:tc>
      </w:tr>
      <w:tr>
        <w:trPr>
          <w:trHeight w:val="203"/>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15,795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44,089</w:t>
            </w:r>
          </w:p>
        </w:tc>
      </w:tr>
      <w:tr>
        <w:trPr>
          <w:trHeight w:val="216"/>
        </w:trPr>
        <w:tc>
          <w:tcPr>
            <w:tcW w:w="5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12,570</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31,519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5"/>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earnings per common share</w:t>
            </w: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80" w:type="dxa"/>
            <w:vAlign w:val="bottom"/>
          </w:tcPr>
          <w:p>
            <w:pPr>
              <w:spacing w:after="0"/>
              <w:rPr>
                <w:sz w:val="20"/>
                <w:szCs w:val="20"/>
                <w:color w:val="auto"/>
              </w:rPr>
            </w:pPr>
            <w:r>
              <w:rPr>
                <w:rFonts w:ascii="Arial" w:cs="Arial" w:eastAsia="Arial" w:hAnsi="Arial"/>
                <w:sz w:val="17"/>
                <w:szCs w:val="17"/>
                <w:color w:val="auto"/>
              </w:rPr>
              <w:t>Diluted earnings per common share</w:t>
            </w: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w:t>
            </w:r>
          </w:p>
        </w:tc>
      </w:tr>
      <w:tr>
        <w:trPr>
          <w:trHeight w:val="20"/>
        </w:trPr>
        <w:tc>
          <w:tcPr>
            <w:tcW w:w="5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0940"/>
          </w:cols>
          <w:pgMar w:left="480" w:top="114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88265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1147" w:right="4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5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r>
      <w:tr>
        <w:trPr>
          <w:trHeight w:val="270"/>
        </w:trPr>
        <w:tc>
          <w:tcPr>
            <w:tcW w:w="5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on securities: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6"/>
        </w:trPr>
        <w:tc>
          <w:tcPr>
            <w:tcW w:w="5280" w:type="dxa"/>
            <w:vAlign w:val="bottom"/>
          </w:tcPr>
          <w:p>
            <w:pPr>
              <w:ind w:left="360"/>
              <w:spacing w:after="0" w:line="176" w:lineRule="exact"/>
              <w:rPr>
                <w:sz w:val="20"/>
                <w:szCs w:val="20"/>
                <w:color w:val="auto"/>
              </w:rPr>
            </w:pPr>
            <w:r>
              <w:rPr>
                <w:rFonts w:ascii="Arial" w:cs="Arial" w:eastAsia="Arial" w:hAnsi="Arial"/>
                <w:sz w:val="18"/>
                <w:szCs w:val="18"/>
                <w:color w:val="auto"/>
                <w:w w:val="98"/>
              </w:rPr>
              <w:t>Net unrealized holding (losses) on securities available-for-sale</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5280" w:type="dxa"/>
            <w:vAlign w:val="bottom"/>
          </w:tcPr>
          <w:p>
            <w:pPr>
              <w:ind w:left="520"/>
              <w:spacing w:after="0"/>
              <w:rPr>
                <w:sz w:val="20"/>
                <w:szCs w:val="20"/>
                <w:color w:val="auto"/>
              </w:rPr>
            </w:pPr>
            <w:r>
              <w:rPr>
                <w:rFonts w:ascii="Arial" w:cs="Arial" w:eastAsia="Arial" w:hAnsi="Arial"/>
                <w:sz w:val="18"/>
                <w:szCs w:val="18"/>
                <w:color w:val="auto"/>
              </w:rPr>
              <w:t>during the period</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(22,005)</w:t>
            </w:r>
          </w:p>
        </w:tc>
      </w:tr>
      <w:tr>
        <w:trPr>
          <w:trHeight w:val="176"/>
        </w:trPr>
        <w:tc>
          <w:tcPr>
            <w:tcW w:w="5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Reclassification adjustment for net realized (losses) included in</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4"/>
              </w:rPr>
              <w:t>Income tax (benefit) related to items of other comprehensive income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w:t>
            </w:r>
          </w:p>
        </w:tc>
      </w:tr>
      <w:tr>
        <w:trPr>
          <w:trHeight w:val="223"/>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r>
      <w:tr>
        <w:trPr>
          <w:trHeight w:val="256"/>
        </w:trPr>
        <w:tc>
          <w:tcPr>
            <w:tcW w:w="5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16,015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Arial" w:cs="Arial" w:eastAsia="Arial" w:hAnsi="Arial"/>
                <w:sz w:val="18"/>
                <w:szCs w:val="18"/>
                <w:b w:val="1"/>
                <w:bCs w:val="1"/>
                <w:color w:val="auto"/>
              </w:rPr>
              <w:t>Retained</w:t>
            </w:r>
          </w:p>
        </w:tc>
        <w:tc>
          <w:tcPr>
            <w:tcW w:w="1740" w:type="dxa"/>
            <w:vAlign w:val="bottom"/>
            <w:gridSpan w:val="3"/>
          </w:tcPr>
          <w:p>
            <w:pPr>
              <w:jc w:val="right"/>
              <w:ind w:right="160"/>
              <w:spacing w:after="0" w:line="156" w:lineRule="exact"/>
              <w:rPr>
                <w:sz w:val="20"/>
                <w:szCs w:val="20"/>
                <w:color w:val="auto"/>
              </w:rPr>
            </w:pPr>
            <w:r>
              <w:rPr>
                <w:rFonts w:ascii="Arial" w:cs="Arial" w:eastAsia="Arial" w:hAnsi="Arial"/>
                <w:sz w:val="18"/>
                <w:szCs w:val="18"/>
                <w:b w:val="1"/>
                <w:bCs w:val="1"/>
                <w:color w:val="auto"/>
                <w:w w:val="93"/>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17,245,983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233,200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paid ($0.15 per share)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17,245,983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36,042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(16,070)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239,258</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40" w:type="dxa"/>
            <w:vAlign w:val="bottom"/>
          </w:tcPr>
          <w:p>
            <w:pPr>
              <w:jc w:val="right"/>
              <w:spacing w:after="0"/>
              <w:rPr>
                <w:sz w:val="20"/>
                <w:szCs w:val="20"/>
                <w:color w:val="auto"/>
              </w:rPr>
            </w:pPr>
            <w:r>
              <w:rPr>
                <w:rFonts w:ascii="Arial" w:cs="Arial" w:eastAsia="Arial" w:hAnsi="Arial"/>
                <w:sz w:val="18"/>
                <w:szCs w:val="18"/>
                <w:color w:val="auto"/>
              </w:rPr>
              <w:t>17,257,357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220,021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62,095</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(12,976)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269,140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Cash dividends paid ($0.20 per share)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17,257,357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274,024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7"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line="156" w:lineRule="exact"/>
              <w:rPr>
                <w:sz w:val="20"/>
                <w:szCs w:val="20"/>
                <w:color w:val="auto"/>
              </w:rPr>
            </w:pPr>
            <w:r>
              <w:rPr>
                <w:rFonts w:ascii="Arial" w:cs="Arial" w:eastAsia="Arial" w:hAnsi="Arial"/>
                <w:sz w:val="18"/>
                <w:szCs w:val="18"/>
                <w:b w:val="1"/>
                <w:bCs w:val="1"/>
                <w:color w:val="auto"/>
              </w:rPr>
              <w:t>Retained</w:t>
            </w:r>
          </w:p>
        </w:tc>
        <w:tc>
          <w:tcPr>
            <w:tcW w:w="1760" w:type="dxa"/>
            <w:vAlign w:val="bottom"/>
            <w:gridSpan w:val="3"/>
          </w:tcPr>
          <w:p>
            <w:pPr>
              <w:jc w:val="right"/>
              <w:ind w:right="160"/>
              <w:spacing w:after="0" w:line="156" w:lineRule="exact"/>
              <w:rPr>
                <w:sz w:val="20"/>
                <w:szCs w:val="20"/>
                <w:color w:val="auto"/>
              </w:rPr>
            </w:pPr>
            <w:r>
              <w:rPr>
                <w:rFonts w:ascii="Arial" w:cs="Arial" w:eastAsia="Arial" w:hAnsi="Arial"/>
                <w:sz w:val="18"/>
                <w:szCs w:val="18"/>
                <w:b w:val="1"/>
                <w:bCs w:val="1"/>
                <w:color w:val="auto"/>
                <w:w w:val="95"/>
              </w:rPr>
              <w:t>Accumulated Other</w:t>
            </w:r>
          </w:p>
        </w:tc>
        <w:tc>
          <w:tcPr>
            <w:tcW w:w="160" w:type="dxa"/>
            <w:vAlign w:val="bottom"/>
          </w:tcPr>
          <w:p>
            <w:pPr>
              <w:spacing w:after="0"/>
              <w:rPr>
                <w:sz w:val="14"/>
                <w:szCs w:val="14"/>
                <w:color w:val="auto"/>
              </w:rPr>
            </w:pPr>
          </w:p>
        </w:tc>
        <w:tc>
          <w:tcPr>
            <w:tcW w:w="1340" w:type="dxa"/>
            <w:vAlign w:val="bottom"/>
          </w:tcPr>
          <w:p>
            <w:pPr>
              <w:jc w:val="center"/>
              <w:ind w:right="70"/>
              <w:spacing w:after="0" w:line="156" w:lineRule="exact"/>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37"/>
        </w:trPr>
        <w:tc>
          <w:tcPr>
            <w:tcW w:w="4040" w:type="dxa"/>
            <w:vAlign w:val="bottom"/>
            <w:gridSpan w:val="2"/>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17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17,224,848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17,168</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Cumulative effect of adoption of ASC 842 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(15,504)</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Cash dividends paid ($0.90 per share)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(12,713)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17,245,983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239,258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252,825</w:t>
            </w:r>
          </w:p>
        </w:tc>
        <w:tc>
          <w:tcPr>
            <w:tcW w:w="0" w:type="dxa"/>
            <w:vAlign w:val="bottom"/>
          </w:tcPr>
          <w:p>
            <w:pPr>
              <w:spacing w:after="0"/>
              <w:rPr>
                <w:sz w:val="1"/>
                <w:szCs w:val="1"/>
                <w:color w:val="auto"/>
              </w:rPr>
            </w:pPr>
          </w:p>
        </w:tc>
      </w:tr>
      <w:tr>
        <w:trPr>
          <w:trHeight w:val="176"/>
        </w:trPr>
        <w:tc>
          <w:tcPr>
            <w:tcW w:w="4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Cumulative effect of adoption of ASC 326 on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36,935</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Cash dividends paid ($0.55 per share)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(9,491)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17,257,357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274,024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7"/>
                <w:szCs w:val="17"/>
                <w:b w:val="1"/>
                <w:bCs w:val="1"/>
                <w:color w:val="auto"/>
                <w:w w:val="97"/>
              </w:rPr>
              <w:t>Nine Months Ended September 30,</w:t>
            </w:r>
          </w:p>
        </w:tc>
      </w:tr>
      <w:tr>
        <w:trPr>
          <w:trHeight w:val="22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2022</w:t>
            </w:r>
          </w:p>
        </w:tc>
      </w:tr>
      <w:tr>
        <w:trPr>
          <w:trHeight w:val="214"/>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36,935</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31,519</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Provision for credit losses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5,450</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Amortization of deferred loan fees and costs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338</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premiums and discounts on securities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Amortization of subordinated debt issuance costs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 compensation expense</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Earnings on BOLI</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tax provision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Loans originated for sale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(39,915)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(44,993)</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on sale of loans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Proceeds from sale of loans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32,224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36,275</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gain on sale of securities available-for-sale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Decrease in operating lease liability</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(729)</w:t>
            </w:r>
          </w:p>
        </w:tc>
      </w:tr>
      <w:tr>
        <w:trPr>
          <w:trHeight w:val="236"/>
        </w:trPr>
        <w:tc>
          <w:tcPr>
            <w:tcW w:w="77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method of investment-related gain</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7720" w:type="dxa"/>
            <w:vAlign w:val="bottom"/>
          </w:tcPr>
          <w:p>
            <w:pPr>
              <w:ind w:left="360"/>
              <w:spacing w:after="0"/>
              <w:rPr>
                <w:sz w:val="20"/>
                <w:szCs w:val="20"/>
                <w:color w:val="auto"/>
              </w:rPr>
            </w:pPr>
            <w:r>
              <w:rPr>
                <w:rFonts w:ascii="Arial" w:cs="Arial" w:eastAsia="Arial" w:hAnsi="Arial"/>
                <w:sz w:val="17"/>
                <w:szCs w:val="17"/>
                <w:color w:val="auto"/>
              </w:rPr>
              <w:t>Net changes in:</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6"/>
        </w:trPr>
        <w:tc>
          <w:tcPr>
            <w:tcW w:w="7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receivable and other assets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(3,240)</w:t>
            </w:r>
          </w:p>
        </w:tc>
      </w:tr>
      <w:tr>
        <w:trPr>
          <w:trHeight w:val="223"/>
        </w:trPr>
        <w:tc>
          <w:tcPr>
            <w:tcW w:w="772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Interest payable and other liabilities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2,342</w:t>
            </w:r>
          </w:p>
        </w:tc>
      </w:tr>
      <w:tr>
        <w:trPr>
          <w:trHeight w:val="230"/>
        </w:trPr>
        <w:tc>
          <w:tcPr>
            <w:tcW w:w="772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40,547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27,506</w:t>
            </w:r>
          </w:p>
        </w:tc>
      </w:tr>
      <w:tr>
        <w:trPr>
          <w:trHeight w:val="203"/>
        </w:trPr>
        <w:tc>
          <w:tcPr>
            <w:tcW w:w="77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sale of securities available-for-sale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w:t>
            </w: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Maturities, prepayments, and calls of securities available-for-sale</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8,134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13,052</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securities available-for-sale</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w:t>
            </w: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Net change in time deposits in banks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4,248</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originations, net of repayments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(212,137)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(639,040)</w:t>
            </w: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Purchase of premises and equipment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(406)</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of FHLB stock</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(4,223)</w:t>
            </w:r>
          </w:p>
        </w:tc>
      </w:tr>
      <w:tr>
        <w:trPr>
          <w:trHeight w:val="22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Purchase of BOLI</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(3,054)</w:t>
            </w:r>
          </w:p>
        </w:tc>
      </w:tr>
      <w:tr>
        <w:trPr>
          <w:trHeight w:val="230"/>
        </w:trPr>
        <w:tc>
          <w:tcPr>
            <w:tcW w:w="772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(207,705)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(629,441)</w:t>
            </w:r>
          </w:p>
        </w:tc>
      </w:tr>
      <w:tr>
        <w:trPr>
          <w:trHeight w:val="203"/>
        </w:trPr>
        <w:tc>
          <w:tcPr>
            <w:tcW w:w="77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change in deposits</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328,442</w:t>
            </w: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FHLB advances (payments)</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105,000</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dividends paid</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(12,713)</w:t>
            </w: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Proceeds from subordinated note issuance</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75,000</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Subordinated note issuance costs</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w:t>
            </w:r>
          </w:p>
        </w:tc>
      </w:tr>
      <w:tr>
        <w:trPr>
          <w:trHeight w:val="218"/>
        </w:trPr>
        <w:tc>
          <w:tcPr>
            <w:tcW w:w="772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rPr>
              <w:t>Net cash provided by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230,715</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494,275</w:t>
            </w:r>
          </w:p>
        </w:tc>
      </w:tr>
      <w:tr>
        <w:trPr>
          <w:trHeight w:val="228"/>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63,557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(107,660)</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259,991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425,329</w:t>
            </w:r>
          </w:p>
        </w:tc>
      </w:tr>
      <w:tr>
        <w:trPr>
          <w:trHeight w:val="25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323,548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317,669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3"/>
        </w:trPr>
        <w:tc>
          <w:tcPr>
            <w:tcW w:w="7720" w:type="dxa"/>
            <w:vAlign w:val="bottom"/>
          </w:tcPr>
          <w:p>
            <w:pPr>
              <w:ind w:left="180"/>
              <w:spacing w:after="0"/>
              <w:rPr>
                <w:sz w:val="20"/>
                <w:szCs w:val="20"/>
                <w:color w:val="auto"/>
              </w:rPr>
            </w:pPr>
            <w:r>
              <w:rPr>
                <w:rFonts w:ascii="Arial" w:cs="Arial" w:eastAsia="Arial" w:hAnsi="Arial"/>
                <w:sz w:val="17"/>
                <w:szCs w:val="17"/>
                <w:color w:val="auto"/>
              </w:rPr>
              <w:t>Interest paid</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95"/>
              <w:spacing w:after="0"/>
              <w:rPr>
                <w:sz w:val="20"/>
                <w:szCs w:val="20"/>
                <w:color w:val="auto"/>
              </w:rPr>
            </w:pPr>
            <w:r>
              <w:rPr>
                <w:rFonts w:ascii="Arial" w:cs="Arial" w:eastAsia="Arial" w:hAnsi="Arial"/>
                <w:sz w:val="17"/>
                <w:szCs w:val="17"/>
                <w:color w:val="auto"/>
              </w:rPr>
              <w:t>43,817</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3,057</w:t>
            </w:r>
          </w:p>
        </w:tc>
      </w:tr>
      <w:tr>
        <w:trPr>
          <w:trHeight w:val="236"/>
        </w:trPr>
        <w:tc>
          <w:tcPr>
            <w:tcW w:w="77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 paid</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1,480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w:t>
            </w: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658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items:</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Transfer from loans held for sale to loans held for investment</w:t>
            </w:r>
          </w:p>
        </w:tc>
        <w:tc>
          <w:tcPr>
            <w:tcW w:w="178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9,416</w:t>
            </w:r>
          </w:p>
        </w:tc>
        <w:tc>
          <w:tcPr>
            <w:tcW w:w="64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10,671</w:t>
            </w:r>
          </w:p>
        </w:tc>
      </w:tr>
      <w:tr>
        <w:trPr>
          <w:trHeight w:val="223"/>
        </w:trPr>
        <w:tc>
          <w:tcPr>
            <w:tcW w:w="6580" w:type="dxa"/>
            <w:vAlign w:val="bottom"/>
          </w:tcPr>
          <w:p>
            <w:pPr>
              <w:ind w:left="180"/>
              <w:spacing w:after="0"/>
              <w:rPr>
                <w:sz w:val="20"/>
                <w:szCs w:val="20"/>
                <w:color w:val="auto"/>
              </w:rPr>
            </w:pPr>
            <w:r>
              <w:rPr>
                <w:rFonts w:ascii="Arial" w:cs="Arial" w:eastAsia="Arial" w:hAnsi="Arial"/>
                <w:sz w:val="17"/>
                <w:szCs w:val="17"/>
                <w:color w:val="auto"/>
              </w:rPr>
              <w:t>Unrealized loss on securities</w:t>
            </w:r>
          </w:p>
        </w:tc>
        <w:tc>
          <w:tcPr>
            <w:tcW w:w="1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(3,516)</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(22,005)</w:t>
            </w:r>
          </w:p>
        </w:tc>
      </w:tr>
      <w:tr>
        <w:trPr>
          <w:trHeight w:val="236"/>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liabilities recorded in conjunction with adoption of ASC 842</w:t>
            </w:r>
          </w:p>
        </w:tc>
        <w:tc>
          <w:tcPr>
            <w:tcW w:w="17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w:t>
            </w:r>
          </w:p>
        </w:tc>
      </w:tr>
      <w:tr>
        <w:trPr>
          <w:trHeight w:val="223"/>
        </w:trPr>
        <w:tc>
          <w:tcPr>
            <w:tcW w:w="6580" w:type="dxa"/>
            <w:vAlign w:val="bottom"/>
          </w:tcPr>
          <w:p>
            <w:pPr>
              <w:ind w:left="180"/>
              <w:spacing w:after="0"/>
              <w:rPr>
                <w:sz w:val="20"/>
                <w:szCs w:val="20"/>
                <w:color w:val="auto"/>
              </w:rPr>
            </w:pPr>
            <w:r>
              <w:rPr>
                <w:rFonts w:ascii="Arial" w:cs="Arial" w:eastAsia="Arial" w:hAnsi="Arial"/>
                <w:sz w:val="17"/>
                <w:szCs w:val="17"/>
                <w:color w:val="auto"/>
              </w:rPr>
              <w:t>ROUA recorded in conjunction with adoption of ASC 842</w:t>
            </w:r>
          </w:p>
        </w:tc>
        <w:tc>
          <w:tcPr>
            <w:tcW w:w="178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4,974</w:t>
            </w:r>
          </w:p>
        </w:tc>
      </w:tr>
      <w:tr>
        <w:trPr>
          <w:trHeight w:val="236"/>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liabilities exchanged for ROUA</w:t>
            </w:r>
          </w:p>
        </w:tc>
        <w:tc>
          <w:tcPr>
            <w:tcW w:w="17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1,513</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580" w:type="dxa"/>
            <w:vAlign w:val="bottom"/>
          </w:tcPr>
          <w:p>
            <w:pPr>
              <w:ind w:left="180"/>
              <w:spacing w:after="0"/>
              <w:rPr>
                <w:sz w:val="20"/>
                <w:szCs w:val="20"/>
                <w:color w:val="auto"/>
              </w:rPr>
            </w:pPr>
            <w:r>
              <w:rPr>
                <w:rFonts w:ascii="Arial" w:cs="Arial" w:eastAsia="Arial" w:hAnsi="Arial"/>
                <w:sz w:val="17"/>
                <w:szCs w:val="17"/>
                <w:color w:val="auto"/>
              </w:rPr>
              <w:t>ROUA acquired</w:t>
            </w:r>
          </w:p>
        </w:tc>
        <w:tc>
          <w:tcPr>
            <w:tcW w:w="1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(1,534)</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Cumulative effect of adoption of ASC 842 on retained earnings, net of tax</w:t>
            </w:r>
          </w:p>
        </w:tc>
        <w:tc>
          <w:tcPr>
            <w:tcW w:w="17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6580" w:type="dxa"/>
            <w:vAlign w:val="bottom"/>
          </w:tcPr>
          <w:p>
            <w:pPr>
              <w:ind w:left="180"/>
              <w:spacing w:after="0"/>
              <w:rPr>
                <w:sz w:val="20"/>
                <w:szCs w:val="20"/>
                <w:color w:val="auto"/>
              </w:rPr>
            </w:pPr>
            <w:r>
              <w:rPr>
                <w:rFonts w:ascii="Arial" w:cs="Arial" w:eastAsia="Arial" w:hAnsi="Arial"/>
                <w:sz w:val="17"/>
                <w:szCs w:val="17"/>
                <w:color w:val="auto"/>
              </w:rPr>
              <w:t>Cumulative effect of adoption of ASC 326 on retained earnings, net of tax</w:t>
            </w:r>
          </w:p>
        </w:tc>
        <w:tc>
          <w:tcPr>
            <w:tcW w:w="1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(4,491)</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one loan production office in Sacramento.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Financial Statement Presentation and Consolidation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2022, and the notes thereto, included in the Company’s Annual Report on Form 10-K for the year ended December 31, 2022 (the “2022 Annual Report on Form 10-K”), which was filed with the SEC on February 24, 2023.</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consolidated financial statements include Bancorp and its wholly owned subsidiary, the Bank. All significant intercompany transactions and balances are eliminated in consolidation.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and nine months ended September 30, 2023 are not necessarily indicative of the results of operations that may be expected for any other interim period or for the year ending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Segments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Emerging Growth Company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$1 billion in non-convertible debt; or (iii) the Company becomes a large accelerated filer with a public float of more than $0.7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significant accounting policies are included in Note 1, Basis of Presentation on the 2022 Annual Report on Form 10-K. There have been no changes to these significant accounting policies during the first nine months of 2023 other than adoption of ASU No.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(Topic 326): Measurement of Credit Losses on Financial Instruments </w:t>
      </w:r>
      <w:r>
        <w:rPr>
          <w:rFonts w:ascii="Arial" w:cs="Arial" w:eastAsia="Arial" w:hAnsi="Arial"/>
          <w:sz w:val="18"/>
          <w:szCs w:val="18"/>
          <w:color w:val="auto"/>
        </w:rPr>
        <w:t>and all subsequent amendments that modified 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“ASC 326”) as discussed below in this Note, which impacted the following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(“ACL”)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determined pools based primarily on regulatory reporting codes as the loans within each pool share similar risk characteristics and there is sufficient historical peer loss data from the Federal Financial Institutions Examination Council to provide statistically meaningful support in the models developed. The Company further stratified the C&amp;I portfolio into traditional C&amp;I loans and SBA loans, as the loans in these pools have different repayment structures and credit risk characteristics. The Company also stratified C&amp;I loans and consumer loans that do not require reserves, as the Company has third party agreements in place to cover loan losses. The Company has identified the following pools subject to an estimate of credit loss: (1) 1-4 Family Construction; (2) Other Construction; (3) Farmland; (4) Revolving Secured by 1-4 Family; (5) Residential Secured by First Liens; (6) Residential Secured by Junior Liens; (7) Multifamily; (8) CRE Owner Occupied; (9) CRE Non-Owner Occupied; (10) Agriculture; (11) C&amp;I; (12) C&amp;I SBA; (13) Consumer; and (14) Municipal.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determined, given its limited loss experience, that peer data and other external data to support loss history provides the best basis for its assessment of expected credit losses. The Company believes that the use of peer loss data from 2008 to 2019 presents loss histories that appropriately reflect a full economic cycle, reflects asset-specific risk characteristics at each pool level identified, and includes a historical look-back period that is objective and reflective of future expected credit losses. Loss data from 2020 to 2021 was excluded from the data set to exclude pandemic-related data in the models.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 for determining the estimate of lifetime credit losses includes, among other things, the following main components: (i) the use of Probability of Default (“PD”) and Loss Given Default (“LGD”)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Given the inherent limitations of a quantitative-only model, qualitative adjustments are included to factor in data points not captured from a quantitative analysis alone.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Qualitative criteria that can be considered includes, among other things, the following:</w:t>
      </w:r>
    </w:p>
    <w:p>
      <w:pPr>
        <w:spacing w:after="0" w:line="7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Concentrations – the existence and effect of any concentrations of credit, and changes in the level of such concentrations;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Volume – changes in the nature and volume of the portfolio and in the terms of the loans;</w:t>
      </w:r>
    </w:p>
    <w:p>
      <w:pPr>
        <w:spacing w:after="0" w:line="7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 changes in international, national, regional, and local economic and business conditions and developments that affect the collectability of the portfolio, including the condition of various market segments;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Policy – changes in lending policies and procedures, including changes in underwriting standards and collection, charge-off, and recovery practices not considered elsewhere in estimating credit losses;</w:t>
      </w:r>
    </w:p>
    <w:p>
      <w:pPr>
        <w:spacing w:after="0" w:line="35"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Quality – changes in the volume and severity of past due loans, the volume of non-accrual loans, and the volume and severity of adversely classified or graded loans; and</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External – the effect of other external factors, such as competition and legal and regulatory requirements on the level of estimated credit losses in the Company’s loan portfolio.</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Accrued interest receivable is excluded from amortized cost of all financial instrument types and included in “Interest receivable and other assets” in the unaudited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Individually Assessed Loans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 individual loan’s characteristics have deteriorated to below a range of the overall pool, the loan would be individually assessed. Individually assessed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(“AFS”</w:t>
      </w:r>
      <w:r>
        <w:rPr>
          <w:rFonts w:ascii="Arial" w:cs="Arial" w:eastAsia="Arial" w:hAnsi="Arial"/>
          <w:sz w:val="18"/>
          <w:szCs w:val="18"/>
          <w:color w:val="auto"/>
        </w:rPr>
        <w:t>)</w:t>
      </w:r>
      <w:r>
        <w:rPr>
          <w:rFonts w:ascii="Arial" w:cs="Arial" w:eastAsia="Arial" w:hAnsi="Arial"/>
          <w:sz w:val="18"/>
          <w:szCs w:val="18"/>
          <w:i w:val="1"/>
          <w:iCs w:val="1"/>
          <w:color w:val="auto"/>
        </w:rPr>
        <w:t xml:space="preserve"> Debt Securities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Unrealized credit losses are recognized through an allowance for credit losses instead of an adjustment to amortized cost basis, eliminating the other-than-temporary impairment concept. For AFS debt securities in an unrealized loss 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AFS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AFS debt security are recognized in other comprehensive income, net of applicable taxes. Changes in the allowance for credit losses, if any, are recognized as a provision for (or reversal of) credit losses. As of September 30, 2023, the Company’s portfolio of AFS debt securities is comprised primarily of debt, mortgage-backed securities, and collateralized mortgage obligations issued by the U.S. government, its agencies, or government-sponsored enterprises, which are either explicitly or implicitly guaranteed by the U.S. government. The remainder of the portfolio is primarily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comprised of obligations of state and political subdivisions, which are generally rated as high grade. The history of minimal credit losses from these issuers indicates that expectation of non-payment of the amortized cost basis is zero. As such, the Company determined that the unrealized loss positions in AFS securities were not due to credit losses, but instead related to changes in interest rates and general market conditions and therefore, no credit loss expense was recognized.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commitments not unconditionally cancellable are subject to an estimate of credit loss under the CECL model. The Company’s process for determining the estimate of credit loss on loan commitments is the same as it is on loans. Unfunded loan commitment reserves are included in “Interest payable and other liabilities” in the unaudited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 Debt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process for determining the estimate of credit loss on held-to-maturity debt securities is substantially similar to what it is on loans, with segmenting not being applicable. As the amount of held-to-maturity debt securities that the Company carries is limited and given the determination that expected credit loss was immaterial, an immaterial amount was recognized in the ACL upon adoption and no credit loss expense was recorded for the three and nine months ended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TDRs and Other Loan Modifications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the adoption of ASC 326, which includes ASU No. 2022-02, </w:t>
      </w:r>
      <w:r>
        <w:rPr>
          <w:rFonts w:ascii="Arial" w:cs="Arial" w:eastAsia="Arial" w:hAnsi="Arial"/>
          <w:sz w:val="18"/>
          <w:szCs w:val="18"/>
          <w:i w:val="1"/>
          <w:iCs w:val="1"/>
          <w:color w:val="auto"/>
        </w:rPr>
        <w:t>Financial Instruments-Credit Losses (Topic 326): Troubled Debt</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Restructurings and Vintage Disclosures</w:t>
      </w:r>
      <w:r>
        <w:rPr>
          <w:rFonts w:ascii="Arial" w:cs="Arial" w:eastAsia="Arial" w:hAnsi="Arial"/>
          <w:sz w:val="18"/>
          <w:szCs w:val="18"/>
          <w:color w:val="auto"/>
        </w:rPr>
        <w:t>, accounting guidance for TDRs for creditors has been eliminated. New guidance with respect to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disclosures of loans for borrowers experiencing financial difficulties supersedes guidance on TDRs. As of September 30, 2023, the amount of loans modified for borrowers due to experiencing financial difficulties under criteria of principal forgiveness, interest rate reduction, other-than-insignificant payment delay, or term extension was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Recently Issued Accounting Standards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information reflects recent accounting standards that have been adopted or are pending adoption by the Company.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January 1, 2023, the Company adopted ASC 326, which replaces the current “incurred loss” model for recognizing credit losses with an “expected loss” model referred to as the Current Expected Credit Loss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was effective for financial assets measured at amortized cost. For certain new disclosures required under ASC 326, such as credit quality indicators by year of origination, we have not restated comparative financial information before January 1, 2023 to conform under ASC 326. This adoption method is considered a change in accounting principle requiring additional disclosure of the nature and reason for the change, which is solely due to adoption of ASC 326. On January 1, 2023, the Company also adopted ASU No. 2022-02, </w:t>
      </w:r>
      <w:r>
        <w:rPr>
          <w:rFonts w:ascii="Arial" w:cs="Arial" w:eastAsia="Arial" w:hAnsi="Arial"/>
          <w:sz w:val="16"/>
          <w:szCs w:val="16"/>
          <w:i w:val="1"/>
          <w:iCs w:val="1"/>
          <w:color w:val="auto"/>
        </w:rPr>
        <w:t xml:space="preserve">Financial Instruments-Credit Losses (Topic 326): Troubled Debt Restructurings and Vintage Disclosures, </w:t>
      </w:r>
      <w:r>
        <w:rPr>
          <w:rFonts w:ascii="Arial" w:cs="Arial" w:eastAsia="Arial" w:hAnsi="Arial"/>
          <w:sz w:val="16"/>
          <w:szCs w:val="16"/>
          <w:color w:val="auto"/>
        </w:rPr>
        <w:t>which had no material impact.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reflects the cumulative-effect adjustments the Company recorded on January 1, 2023 for the adoption of ASC 326.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8"/>
              </w:rPr>
              <w:t>January 1, 2023</w:t>
            </w: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9"/>
                <w:szCs w:val="19"/>
                <w:color w:val="auto"/>
              </w:rPr>
            </w:pPr>
          </w:p>
        </w:tc>
        <w:tc>
          <w:tcPr>
            <w:tcW w:w="2140" w:type="dxa"/>
            <w:vAlign w:val="bottom"/>
            <w:gridSpan w:val="2"/>
          </w:tcPr>
          <w:p>
            <w:pPr>
              <w:ind w:left="80"/>
              <w:spacing w:after="0"/>
              <w:rPr>
                <w:sz w:val="20"/>
                <w:szCs w:val="20"/>
                <w:color w:val="auto"/>
              </w:rPr>
            </w:pPr>
            <w:r>
              <w:rPr>
                <w:rFonts w:ascii="Arial" w:cs="Arial" w:eastAsia="Arial" w:hAnsi="Arial"/>
                <w:sz w:val="18"/>
                <w:szCs w:val="18"/>
                <w:color w:val="auto"/>
              </w:rPr>
              <w:t>Pre-ASC 326 Adoption</w:t>
            </w:r>
          </w:p>
        </w:tc>
        <w:tc>
          <w:tcPr>
            <w:tcW w:w="234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Impact of ASC 326 Adoption</w:t>
            </w:r>
          </w:p>
        </w:tc>
        <w:tc>
          <w:tcPr>
            <w:tcW w:w="180" w:type="dxa"/>
            <w:vAlign w:val="bottom"/>
          </w:tcPr>
          <w:p>
            <w:pPr>
              <w:spacing w:after="0"/>
              <w:rPr>
                <w:sz w:val="19"/>
                <w:szCs w:val="19"/>
                <w:color w:val="auto"/>
              </w:rPr>
            </w:pPr>
          </w:p>
        </w:tc>
        <w:tc>
          <w:tcPr>
            <w:tcW w:w="2060" w:type="dxa"/>
            <w:vAlign w:val="bottom"/>
          </w:tcPr>
          <w:p>
            <w:pPr>
              <w:jc w:val="right"/>
              <w:ind w:right="150"/>
              <w:spacing w:after="0"/>
              <w:rPr>
                <w:sz w:val="20"/>
                <w:szCs w:val="20"/>
                <w:color w:val="auto"/>
              </w:rPr>
            </w:pPr>
            <w:r>
              <w:rPr>
                <w:rFonts w:ascii="Arial" w:cs="Arial" w:eastAsia="Arial" w:hAnsi="Arial"/>
                <w:sz w:val="18"/>
                <w:szCs w:val="18"/>
                <w:color w:val="auto"/>
                <w:w w:val="94"/>
              </w:rPr>
              <w:t>Post-ASC 326 Adoption</w:t>
            </w: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r>
      <w:tr>
        <w:trPr>
          <w:trHeight w:val="229"/>
        </w:trPr>
        <w:tc>
          <w:tcPr>
            <w:tcW w:w="432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ind w:left="1250"/>
              <w:spacing w:after="0"/>
              <w:rPr>
                <w:sz w:val="20"/>
                <w:szCs w:val="20"/>
                <w:color w:val="auto"/>
              </w:rPr>
            </w:pPr>
            <w:r>
              <w:rPr>
                <w:rFonts w:ascii="Arial" w:cs="Arial" w:eastAsia="Arial" w:hAnsi="Arial"/>
                <w:sz w:val="18"/>
                <w:szCs w:val="18"/>
                <w:color w:val="auto"/>
                <w:w w:val="91"/>
              </w:rPr>
              <w:t>(5,282)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(33,671)</w:t>
            </w:r>
          </w:p>
        </w:tc>
      </w:tr>
      <w:tr>
        <w:trPr>
          <w:trHeight w:val="230"/>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Deferred Tax Asset (Interest receivable and other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1,883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r>
      <w:tr>
        <w:trPr>
          <w:trHeight w:val="270"/>
        </w:trPr>
        <w:tc>
          <w:tcPr>
            <w:tcW w:w="4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r>
      <w:tr>
        <w:trPr>
          <w:trHeight w:val="176"/>
        </w:trPr>
        <w:tc>
          <w:tcPr>
            <w:tcW w:w="43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Reserve for Unfunded Commitments (Interest payable</w:t>
            </w: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243"/>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and other liabilities)</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00" w:type="dxa"/>
            <w:vAlign w:val="bottom"/>
          </w:tcPr>
          <w:p>
            <w:pPr>
              <w:jc w:val="center"/>
              <w:ind w:left="1250"/>
              <w:spacing w:after="0"/>
              <w:rPr>
                <w:sz w:val="20"/>
                <w:szCs w:val="20"/>
                <w:color w:val="auto"/>
              </w:rPr>
            </w:pPr>
            <w:r>
              <w:rPr>
                <w:rFonts w:ascii="Arial" w:cs="Arial" w:eastAsia="Arial" w:hAnsi="Arial"/>
                <w:sz w:val="18"/>
                <w:szCs w:val="18"/>
                <w:color w:val="auto"/>
                <w:w w:val="91"/>
              </w:rPr>
              <w:t>(1,092)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0"/>
        </w:trPr>
        <w:tc>
          <w:tcPr>
            <w:tcW w:w="4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93"/>
              </w:rPr>
              <w:t>4,491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(42,245)</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beginning January 1, 2023, there have been no new accounting standards issued but not yet adopted that are expected to be material to the Company. There are also no accounting standards issued before January 1, 2023 yet to be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 and 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Company’s assets and liabilities that were required to be recorded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Quoted Prices in</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Measurement</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93"/>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3"/>
              </w:rPr>
              <w:t>Significant</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Categories:</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6"/>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Unobservable</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Changes in Fair</w:t>
            </w:r>
          </w:p>
        </w:tc>
        <w:tc>
          <w:tcPr>
            <w:tcW w:w="0" w:type="dxa"/>
            <w:vAlign w:val="bottom"/>
          </w:tcPr>
          <w:p>
            <w:pPr>
              <w:spacing w:after="0"/>
              <w:rPr>
                <w:sz w:val="1"/>
                <w:szCs w:val="1"/>
                <w:color w:val="auto"/>
              </w:rPr>
            </w:pPr>
          </w:p>
        </w:tc>
      </w:tr>
      <w:tr>
        <w:trPr>
          <w:trHeight w:val="189"/>
        </w:trPr>
        <w:tc>
          <w:tcPr>
            <w:tcW w:w="43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93"/>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3"/>
              </w:rPr>
              <w:t>Inputs</w:t>
            </w: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Value Recorded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c>
          <w:tcPr>
            <w:tcW w:w="1360" w:type="dxa"/>
            <w:vAlign w:val="bottom"/>
          </w:tcPr>
          <w:p>
            <w:pPr>
              <w:jc w:val="center"/>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2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104,086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104,086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32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320" w:type="dxa"/>
            <w:vAlign w:val="bottom"/>
            <w:gridSpan w:val="2"/>
          </w:tcPr>
          <w:p>
            <w:pPr>
              <w:ind w:left="240"/>
              <w:spacing w:after="0" w:line="176" w:lineRule="exact"/>
              <w:rPr>
                <w:sz w:val="20"/>
                <w:szCs w:val="20"/>
                <w:color w:val="auto"/>
              </w:rPr>
            </w:pPr>
            <w:r>
              <w:rPr>
                <w:rFonts w:ascii="Arial" w:cs="Arial" w:eastAsia="Arial" w:hAnsi="Arial"/>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115,988</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115,988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September 30, 2023 and December 31, 2022, there were no Level 1 available-for-sale securities and no transfers between Level 1 and Level 2 classifications for assets or liabilities measured at fair value on a recurring basis.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September 30, 2023 and December 31, 2022, the carrying amount of assets measured at fair value on a non-recurring basis was immaterial to the Company.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Disclosures about 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is a summary of fair value estimates for financial instruments as of September 30, 2023 and December 31, 2022.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730"/>
              <w:spacing w:after="0"/>
              <w:rPr>
                <w:sz w:val="20"/>
                <w:szCs w:val="20"/>
                <w:color w:val="auto"/>
              </w:rPr>
            </w:pPr>
            <w:r>
              <w:rPr>
                <w:rFonts w:ascii="Arial" w:cs="Arial" w:eastAsia="Arial" w:hAnsi="Arial"/>
                <w:sz w:val="18"/>
                <w:szCs w:val="18"/>
                <w:color w:val="auto"/>
                <w:w w:val="88"/>
              </w:rPr>
              <w:t>September 30, 2023</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8"/>
                <w:szCs w:val="18"/>
                <w:color w:val="auto"/>
                <w:w w:val="89"/>
              </w:rPr>
              <w:t>December 31, 2022</w:t>
            </w:r>
          </w:p>
        </w:tc>
        <w:tc>
          <w:tcPr>
            <w:tcW w:w="1000" w:type="dxa"/>
            <w:vAlign w:val="bottom"/>
            <w:tcBorders>
              <w:bottom w:val="single" w:sz="8" w:color="auto"/>
            </w:tcBorders>
          </w:tcPr>
          <w:p>
            <w:pPr>
              <w:spacing w:after="0"/>
              <w:rPr>
                <w:sz w:val="20"/>
                <w:szCs w:val="20"/>
                <w:color w:val="auto"/>
              </w:rPr>
            </w:pPr>
          </w:p>
        </w:tc>
      </w:tr>
      <w:tr>
        <w:trPr>
          <w:trHeight w:val="169"/>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line="169" w:lineRule="exact"/>
              <w:rPr>
                <w:sz w:val="20"/>
                <w:szCs w:val="20"/>
                <w:color w:val="auto"/>
              </w:rPr>
            </w:pPr>
            <w:r>
              <w:rPr>
                <w:rFonts w:ascii="Arial" w:cs="Arial" w:eastAsia="Arial" w:hAnsi="Arial"/>
                <w:sz w:val="18"/>
                <w:szCs w:val="18"/>
                <w:color w:val="auto"/>
              </w:rPr>
              <w:t>Carrying</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ind w:left="60"/>
              <w:spacing w:after="0" w:line="169" w:lineRule="exact"/>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9"/>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Arial" w:cs="Arial" w:eastAsia="Arial" w:hAnsi="Arial"/>
                <w:sz w:val="18"/>
                <w:szCs w:val="18"/>
                <w:color w:val="auto"/>
                <w:w w:val="97"/>
              </w:rPr>
              <w:t>Fair Value</w:t>
            </w: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Amounts</w:t>
            </w:r>
          </w:p>
        </w:tc>
        <w:tc>
          <w:tcPr>
            <w:tcW w:w="140" w:type="dxa"/>
            <w:vAlign w:val="bottom"/>
          </w:tcPr>
          <w:p>
            <w:pPr>
              <w:spacing w:after="0"/>
              <w:rPr>
                <w:sz w:val="21"/>
                <w:szCs w:val="21"/>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Fair Value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w w:val="98"/>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Fair Value</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Hierarchy</w:t>
            </w: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323,548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323,548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259,991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259,991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1</w:t>
            </w:r>
          </w:p>
        </w:tc>
      </w:tr>
      <w:tr>
        <w:trPr>
          <w:trHeight w:val="229"/>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 deposits in banks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1</w:t>
            </w:r>
          </w:p>
        </w:tc>
      </w:tr>
      <w:tr>
        <w:trPr>
          <w:trHeight w:val="23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r>
      <w:tr>
        <w:trPr>
          <w:trHeight w:val="229"/>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 held-to-maturity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r>
      <w:tr>
        <w:trPr>
          <w:trHeight w:val="229"/>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r>
      <w:tr>
        <w:trPr>
          <w:trHeight w:val="176"/>
        </w:trPr>
        <w:tc>
          <w:tcPr>
            <w:tcW w:w="41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Loans held for investment, net of allowance for</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4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credit losses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2,975,902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2,762,937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2,570,176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r>
      <w:tr>
        <w:trPr>
          <w:trHeight w:val="230"/>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FHLB stock and other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640"/>
              <w:spacing w:after="0"/>
              <w:rPr>
                <w:sz w:val="20"/>
                <w:szCs w:val="20"/>
                <w:color w:val="auto"/>
              </w:rPr>
            </w:pPr>
            <w:r>
              <w:rPr>
                <w:rFonts w:ascii="Arial" w:cs="Arial" w:eastAsia="Arial" w:hAnsi="Arial"/>
                <w:sz w:val="18"/>
                <w:szCs w:val="18"/>
                <w:color w:val="auto"/>
              </w:rPr>
              <w:t>N/A</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660"/>
              <w:spacing w:after="0"/>
              <w:rPr>
                <w:sz w:val="20"/>
                <w:szCs w:val="20"/>
                <w:color w:val="auto"/>
              </w:rPr>
            </w:pPr>
            <w:r>
              <w:rPr>
                <w:rFonts w:ascii="Arial" w:cs="Arial" w:eastAsia="Arial" w:hAnsi="Arial"/>
                <w:sz w:val="18"/>
                <w:szCs w:val="18"/>
                <w:color w:val="auto"/>
              </w:rPr>
              <w:t>N/A</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r>
      <w:tr>
        <w:trPr>
          <w:trHeight w:val="230"/>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r>
      <w:tr>
        <w:trPr>
          <w:trHeight w:val="229"/>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FHLB advances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Level 2</w:t>
            </w:r>
          </w:p>
        </w:tc>
      </w:tr>
      <w:tr>
        <w:trPr>
          <w:trHeight w:val="230"/>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to estimate the fair value of its financial instruments at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 securities</w:t>
      </w:r>
      <w:r>
        <w:rPr>
          <w:rFonts w:ascii="Arial" w:cs="Arial" w:eastAsia="Arial" w:hAnsi="Arial"/>
          <w:sz w:val="18"/>
          <w:szCs w:val="18"/>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held for investment, net of allowance for credit losses</w:t>
      </w:r>
      <w:r>
        <w:rPr>
          <w:rFonts w:ascii="Arial" w:cs="Arial" w:eastAsia="Arial" w:hAnsi="Arial"/>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FHLB stock and other investments</w:t>
      </w:r>
      <w:r>
        <w:rPr>
          <w:rFonts w:ascii="Arial" w:cs="Arial" w:eastAsia="Arial" w:hAnsi="Arial"/>
          <w:sz w:val="18"/>
          <w:szCs w:val="18"/>
          <w:color w:val="auto"/>
        </w:rPr>
        <w:t>: Carrying amounts of these investments are reasonable estimates of fair value because the securities are restricted to member banks and do not have a readily determinable market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 interest rate swap</w:t>
      </w:r>
      <w:r>
        <w:rPr>
          <w:rFonts w:ascii="Arial" w:cs="Arial" w:eastAsia="Arial" w:hAnsi="Arial"/>
          <w:sz w:val="16"/>
          <w:szCs w:val="16"/>
          <w:color w:val="auto"/>
        </w:rPr>
        <w:t>: See above for a discussion of the methods and assumptions used by the Company to estimate the fair value of derivatives.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FHLB advances</w:t>
      </w:r>
      <w:r>
        <w:rPr>
          <w:rFonts w:ascii="Arial" w:cs="Arial" w:eastAsia="Arial" w:hAnsi="Arial"/>
          <w:sz w:val="18"/>
          <w:szCs w:val="18"/>
          <w:color w:val="auto"/>
        </w:rPr>
        <w:t>: For FHLB advances, the carrying amount is estimated to be fair value.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u w:val="single" w:color="auto"/>
          <w:color w:val="auto"/>
        </w:rPr>
        <w:t>Subordinated notes</w:t>
      </w:r>
      <w:r>
        <w:rPr>
          <w:rFonts w:ascii="Arial" w:cs="Arial" w:eastAsia="Arial" w:hAnsi="Arial"/>
          <w:sz w:val="18"/>
          <w:szCs w:val="18"/>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government sponsored entities, and corporate bonds, as reflected in the following tables.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amortized cost and fair value related to securities held-to-maturity as of September 30, 2023 and December 31, 2022 is presented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Gross Unrealized</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Gains</w:t>
            </w:r>
          </w:p>
        </w:tc>
        <w:tc>
          <w:tcPr>
            <w:tcW w:w="1060" w:type="dxa"/>
            <w:vAlign w:val="bottom"/>
          </w:tcPr>
          <w:p>
            <w:pPr>
              <w:jc w:val="right"/>
              <w:spacing w:after="0"/>
              <w:rPr>
                <w:sz w:val="20"/>
                <w:szCs w:val="20"/>
                <w:color w:val="auto"/>
              </w:rPr>
            </w:pPr>
            <w:r>
              <w:rPr>
                <w:rFonts w:ascii="Arial" w:cs="Arial" w:eastAsia="Arial" w:hAnsi="Arial"/>
                <w:sz w:val="18"/>
                <w:szCs w:val="18"/>
                <w:color w:val="auto"/>
              </w:rPr>
              <w:t>(Losses)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5"/>
              </w:rPr>
              <w:t>(293)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held-to-maturity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Arial" w:cs="Arial" w:eastAsia="Arial" w:hAnsi="Arial"/>
                <w:sz w:val="18"/>
                <w:szCs w:val="18"/>
                <w:color w:val="auto"/>
              </w:rPr>
              <w:t>Total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(324)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adopted ASC 326 on January 1, 2023, which affects accounting of credit loss expense on held-to-maturity and available-for-sale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Basis of Presentation and Summary of Significant Accounting Policies, for further detail.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 summary of the amortized cost and fair value related to securities available-for-sale as of September 30, 2023 and December 31, 2022 is presented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Gross Unrealized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11,281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36,351</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government agencies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61,271</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38,426</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Arial" w:cs="Arial" w:eastAsia="Arial" w:hAnsi="Arial"/>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115,988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51"/>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The amortized cost and fair value of investment securities by contractual maturity at September 30, 2023 and December 31, 2022 are shown below. Expected maturities may differ from contractual maturities if the issuers of the securities have the right to call or prepay obligations with or without call or prepayment penalties.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September 30, 2023</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rPr>
              <w:t>December 31, 2022</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50"/>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Arial" w:cs="Arial" w:eastAsia="Arial" w:hAnsi="Arial"/>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Arial" w:cs="Arial" w:eastAsia="Arial" w:hAnsi="Arial"/>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Arial" w:cs="Arial" w:eastAsia="Arial" w:hAnsi="Arial"/>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Arial" w:cs="Arial" w:eastAsia="Arial" w:hAnsi="Arial"/>
                <w:sz w:val="18"/>
                <w:szCs w:val="18"/>
                <w:color w:val="auto"/>
                <w:w w:val="97"/>
              </w:rPr>
              <w:t>Available-for-Sale</w:t>
            </w:r>
          </w:p>
        </w:tc>
      </w:tr>
      <w:tr>
        <w:trPr>
          <w:trHeight w:val="169"/>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color w:val="auto"/>
              </w:rPr>
              <w:t>Amortized</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Cost</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Cost</w:t>
            </w:r>
          </w:p>
        </w:tc>
        <w:tc>
          <w:tcPr>
            <w:tcW w:w="920" w:type="dxa"/>
            <w:vAlign w:val="bottom"/>
            <w:gridSpan w:val="3"/>
          </w:tcPr>
          <w:p>
            <w:pPr>
              <w:ind w:left="6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Cost</w:t>
            </w:r>
          </w:p>
        </w:tc>
        <w:tc>
          <w:tcPr>
            <w:tcW w:w="900" w:type="dxa"/>
            <w:vAlign w:val="bottom"/>
            <w:gridSpan w:val="3"/>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Cost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5"/>
              </w:rPr>
              <w:t>Fair Value</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After one but within five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33,164</w:t>
            </w:r>
          </w:p>
        </w:tc>
      </w:tr>
      <w:tr>
        <w:trPr>
          <w:trHeight w:val="270"/>
        </w:trPr>
        <w:tc>
          <w:tcPr>
            <w:tcW w:w="3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175"/>
        </w:trPr>
        <w:tc>
          <w:tcPr>
            <w:tcW w:w="40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Investment securities not due at a single maturity</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7"/>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agencies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61,271</w:t>
            </w:r>
          </w:p>
        </w:tc>
      </w:tr>
      <w:tr>
        <w:trPr>
          <w:trHeight w:val="229"/>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48"/>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126,703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104,086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135,087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115,988</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Sales of investment securities and gross gains and losses are shown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For the three months ended</w:t>
            </w: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w w:val="89"/>
              </w:rPr>
              <w:t>For the nine months ended</w:t>
            </w:r>
          </w:p>
        </w:tc>
        <w:tc>
          <w:tcPr>
            <w:tcW w:w="580" w:type="dxa"/>
            <w:vAlign w:val="bottom"/>
            <w:tcBorders>
              <w:bottom w:val="single" w:sz="8" w:color="auto"/>
            </w:tcBorders>
          </w:tcPr>
          <w:p>
            <w:pPr>
              <w:spacing w:after="0"/>
              <w:rPr>
                <w:sz w:val="20"/>
                <w:szCs w:val="20"/>
                <w:color w:val="auto"/>
              </w:rPr>
            </w:pPr>
          </w:p>
        </w:tc>
      </w:tr>
      <w:tr>
        <w:trPr>
          <w:trHeight w:val="412"/>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5"/>
              </w:rPr>
              <w:t>September 30, 2023</w:t>
            </w:r>
          </w:p>
        </w:tc>
        <w:tc>
          <w:tcPr>
            <w:tcW w:w="1600" w:type="dxa"/>
            <w:vAlign w:val="bottom"/>
            <w:gridSpan w:val="4"/>
          </w:tcPr>
          <w:p>
            <w:pPr>
              <w:ind w:left="20"/>
              <w:spacing w:after="0"/>
              <w:rPr>
                <w:sz w:val="20"/>
                <w:szCs w:val="20"/>
                <w:color w:val="auto"/>
              </w:rPr>
            </w:pPr>
            <w:r>
              <w:rPr>
                <w:rFonts w:ascii="Arial" w:cs="Arial" w:eastAsia="Arial" w:hAnsi="Arial"/>
                <w:sz w:val="18"/>
                <w:szCs w:val="18"/>
                <w:color w:val="auto"/>
                <w:w w:val="95"/>
              </w:rPr>
              <w:t>September 30, 2022</w:t>
            </w:r>
          </w:p>
        </w:tc>
        <w:tc>
          <w:tcPr>
            <w:tcW w:w="1600" w:type="dxa"/>
            <w:vAlign w:val="bottom"/>
            <w:gridSpan w:val="5"/>
          </w:tcPr>
          <w:p>
            <w:pPr>
              <w:ind w:left="40"/>
              <w:spacing w:after="0"/>
              <w:rPr>
                <w:sz w:val="20"/>
                <w:szCs w:val="20"/>
                <w:color w:val="auto"/>
              </w:rPr>
            </w:pPr>
            <w:r>
              <w:rPr>
                <w:rFonts w:ascii="Arial" w:cs="Arial" w:eastAsia="Arial" w:hAnsi="Arial"/>
                <w:sz w:val="18"/>
                <w:szCs w:val="18"/>
                <w:color w:val="auto"/>
                <w:w w:val="94"/>
              </w:rPr>
              <w:t>September 30, 2023</w:t>
            </w:r>
          </w:p>
        </w:tc>
        <w:tc>
          <w:tcPr>
            <w:tcW w:w="4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w w:val="89"/>
              </w:rPr>
              <w:t>September 30, 2022</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Sales proceeds</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0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1,623</w:t>
            </w:r>
          </w:p>
        </w:tc>
      </w:tr>
      <w:tr>
        <w:trPr>
          <w:trHeight w:val="229"/>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527"/>
        </w:trPr>
        <w:tc>
          <w:tcPr>
            <w:tcW w:w="4900" w:type="dxa"/>
            <w:vAlign w:val="bottom"/>
            <w:gridSpan w:val="2"/>
          </w:tcPr>
          <w:p>
            <w:pPr>
              <w:spacing w:after="0"/>
              <w:rPr>
                <w:sz w:val="20"/>
                <w:szCs w:val="20"/>
                <w:color w:val="auto"/>
              </w:rPr>
            </w:pPr>
            <w:r>
              <w:rPr>
                <w:rFonts w:ascii="Arial" w:cs="Arial" w:eastAsia="Arial" w:hAnsi="Arial"/>
                <w:sz w:val="18"/>
                <w:szCs w:val="18"/>
                <w:color w:val="auto"/>
                <w:w w:val="97"/>
              </w:rPr>
              <w:t>Pledged investment securities are shown in the following table:</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73"/>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4"/>
          </w:tcPr>
          <w:p>
            <w:pPr>
              <w:ind w:left="20"/>
              <w:spacing w:after="0"/>
              <w:rPr>
                <w:sz w:val="20"/>
                <w:szCs w:val="20"/>
                <w:color w:val="auto"/>
              </w:rPr>
            </w:pPr>
            <w:r>
              <w:rPr>
                <w:rFonts w:ascii="Arial" w:cs="Arial" w:eastAsia="Arial" w:hAnsi="Arial"/>
                <w:sz w:val="18"/>
                <w:szCs w:val="18"/>
                <w:color w:val="auto"/>
                <w:w w:val="91"/>
              </w:rPr>
              <w:t>September 30, 2023</w:t>
            </w:r>
          </w:p>
        </w:tc>
        <w:tc>
          <w:tcPr>
            <w:tcW w:w="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89"/>
              </w:rPr>
              <w:t>December 31, 2022</w:t>
            </w:r>
          </w:p>
        </w:tc>
      </w:tr>
      <w:tr>
        <w:trPr>
          <w:trHeight w:val="223"/>
        </w:trPr>
        <w:tc>
          <w:tcPr>
            <w:tcW w:w="4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Pledged to:</w:t>
            </w:r>
          </w:p>
        </w:tc>
        <w:tc>
          <w:tcPr>
            <w:tcW w:w="5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30"/>
        </w:trPr>
        <w:tc>
          <w:tcPr>
            <w:tcW w:w="5480" w:type="dxa"/>
            <w:vAlign w:val="bottom"/>
            <w:gridSpan w:val="3"/>
          </w:tcPr>
          <w:p>
            <w:pPr>
              <w:ind w:left="180"/>
              <w:spacing w:after="0"/>
              <w:rPr>
                <w:sz w:val="20"/>
                <w:szCs w:val="20"/>
                <w:color w:val="auto"/>
              </w:rPr>
            </w:pPr>
            <w:r>
              <w:rPr>
                <w:rFonts w:ascii="Arial" w:cs="Arial" w:eastAsia="Arial" w:hAnsi="Arial"/>
                <w:sz w:val="18"/>
                <w:szCs w:val="18"/>
                <w:color w:val="auto"/>
                <w:w w:val="91"/>
              </w:rPr>
              <w:t>The State of California, securing deposits of public funds and borrowings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54,076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40,465</w:t>
            </w:r>
          </w:p>
        </w:tc>
      </w:tr>
      <w:tr>
        <w:trPr>
          <w:trHeight w:val="229"/>
        </w:trPr>
        <w:tc>
          <w:tcPr>
            <w:tcW w:w="54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4"/>
              </w:rPr>
              <w:t>The Federal Reserve Discount Window, increasing borrowing capacity</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49,128</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Total pledged investment securities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103,204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40,465</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September 30, 2023 and 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ind w:left="320"/>
              <w:spacing w:after="0"/>
              <w:rPr>
                <w:sz w:val="20"/>
                <w:szCs w:val="20"/>
                <w:color w:val="auto"/>
              </w:rPr>
            </w:pPr>
            <w:r>
              <w:rPr>
                <w:rFonts w:ascii="Arial" w:cs="Arial" w:eastAsia="Arial" w:hAnsi="Arial"/>
                <w:sz w:val="18"/>
                <w:szCs w:val="18"/>
                <w:color w:val="auto"/>
              </w:rPr>
              <w:t>Less than 12 months</w:t>
            </w:r>
          </w:p>
        </w:tc>
        <w:tc>
          <w:tcPr>
            <w:tcW w:w="160" w:type="dxa"/>
            <w:vAlign w:val="bottom"/>
          </w:tcPr>
          <w:p>
            <w:pPr>
              <w:spacing w:after="0"/>
              <w:rPr>
                <w:sz w:val="20"/>
                <w:szCs w:val="20"/>
                <w:color w:val="auto"/>
              </w:rPr>
            </w:pPr>
          </w:p>
        </w:tc>
        <w:tc>
          <w:tcPr>
            <w:tcW w:w="2360" w:type="dxa"/>
            <w:vAlign w:val="bottom"/>
            <w:gridSpan w:val="5"/>
          </w:tcPr>
          <w:p>
            <w:pPr>
              <w:ind w:left="380"/>
              <w:spacing w:after="0"/>
              <w:rPr>
                <w:sz w:val="20"/>
                <w:szCs w:val="20"/>
                <w:color w:val="auto"/>
              </w:rPr>
            </w:pPr>
            <w:r>
              <w:rPr>
                <w:rFonts w:ascii="Arial" w:cs="Arial" w:eastAsia="Arial" w:hAnsi="Arial"/>
                <w:sz w:val="18"/>
                <w:szCs w:val="18"/>
                <w:color w:val="auto"/>
              </w:rPr>
              <w:t>12 months or more</w:t>
            </w:r>
          </w:p>
        </w:tc>
        <w:tc>
          <w:tcPr>
            <w:tcW w:w="2440" w:type="dxa"/>
            <w:vAlign w:val="bottom"/>
            <w:gridSpan w:val="5"/>
          </w:tcPr>
          <w:p>
            <w:pPr>
              <w:ind w:left="40"/>
              <w:spacing w:after="0"/>
              <w:rPr>
                <w:sz w:val="20"/>
                <w:szCs w:val="20"/>
                <w:color w:val="auto"/>
              </w:rPr>
            </w:pPr>
            <w:r>
              <w:rPr>
                <w:rFonts w:ascii="Arial" w:cs="Arial" w:eastAsia="Arial" w:hAnsi="Arial"/>
                <w:sz w:val="18"/>
                <w:szCs w:val="18"/>
                <w:color w:val="auto"/>
                <w:w w:val="91"/>
              </w:rPr>
              <w:t>Total securities in a loss position</w:t>
            </w:r>
          </w:p>
        </w:tc>
      </w:tr>
      <w:tr>
        <w:trPr>
          <w:trHeight w:val="182"/>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70"/>
              <w:spacing w:after="0" w:line="182" w:lineRule="exact"/>
              <w:rPr>
                <w:sz w:val="20"/>
                <w:szCs w:val="20"/>
                <w:color w:val="auto"/>
              </w:rPr>
            </w:pPr>
            <w:r>
              <w:rPr>
                <w:rFonts w:ascii="Arial" w:cs="Arial" w:eastAsia="Arial" w:hAnsi="Arial"/>
                <w:sz w:val="18"/>
                <w:szCs w:val="18"/>
                <w:color w:val="auto"/>
                <w:w w:val="92"/>
              </w:rPr>
              <w:t>Unrealized</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70"/>
              <w:spacing w:after="0" w:line="182"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92"/>
              </w:rPr>
              <w:t>Unrealized</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Loss</w:t>
            </w: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8,294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(14,252)</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(7,974)</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w:t>
            </w:r>
          </w:p>
        </w:tc>
      </w:tr>
      <w:tr>
        <w:trPr>
          <w:trHeight w:val="230"/>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36,377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(6,818)</w:t>
            </w:r>
          </w:p>
        </w:tc>
      </w:tr>
      <w:tr>
        <w:trPr>
          <w:trHeight w:val="23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48"/>
        </w:trPr>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154 and 152 available-for-sale securities in unrealized loss positions at September 30, 2023 and December 31, 2022, respectively. As of September 30, 2023, the investment portfolio included 148 investment securities that had been in a continuous loss position for twelve months or more and six investment securities that had been in a loss position for less than twelve months.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one held-to-maturity security in a continuous unrealized loss position at September 30, 2023, which had been in a continuous loss position for more than twelve months.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Securities Included in Other Assets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u w:val="single" w:color="auto"/>
          <w:color w:val="auto"/>
        </w:rPr>
        <w:t>FHLB capital stock</w:t>
      </w:r>
      <w:r>
        <w:rPr>
          <w:rFonts w:ascii="Arial" w:cs="Arial" w:eastAsia="Arial" w:hAnsi="Arial"/>
          <w:sz w:val="16"/>
          <w:szCs w:val="16"/>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and $10.9 million of FHLB stock at September 30, 2023 and December 31, 2022,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September 30, 2023 and December 31, 2022. On July 27, 2023, the FHLB announced a cash dividend for the second quarter of 2023 at an annualized dividend rate of 7.75%, which was paid on August 10, 2023. Cash dividends received on FHLB capital stock amounted to $0.3 million and $0.2 million for the three months ended September 30, 2023 and 2022, respectively, and $0.7 million and $0.4 million for the nine months ended September 30, 2023 and 2022, respectively, and were recorded as non-interest income on the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4: Loans and Allowance for Credit Losses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The following table presents the balance of each major product type within the Company’s portfolio as of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2023</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2022</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2,599,616</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2,394,674</w:t>
            </w: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95,352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88,669</w:t>
            </w: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29"/>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25,431</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Subtotal</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3,012,195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2,793,466</w:t>
            </w:r>
          </w:p>
        </w:tc>
      </w:tr>
      <w:tr>
        <w:trPr>
          <w:trHeight w:val="229"/>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deferred loan fees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29"/>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(28,389)</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 net of allowance for credit losses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2,975,902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2,762,937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Real estate loans</w:t>
      </w:r>
      <w:r>
        <w:rPr>
          <w:rFonts w:ascii="Arial" w:cs="Arial" w:eastAsia="Arial" w:hAnsi="Arial"/>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Construction loans</w:t>
      </w:r>
      <w:r>
        <w:rPr>
          <w:rFonts w:ascii="Arial" w:cs="Arial" w:eastAsia="Arial" w:hAnsi="Arial"/>
          <w:sz w:val="17"/>
          <w:szCs w:val="17"/>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2" w:name="page23"/>
    <w:bookmarkEnd w:id="22"/>
    <w:p>
      <w:pPr>
        <w:jc w:val="both"/>
        <w:spacing w:after="0" w:line="301" w:lineRule="auto"/>
        <w:rPr>
          <w:sz w:val="20"/>
          <w:szCs w:val="20"/>
          <w:color w:val="auto"/>
        </w:rPr>
      </w:pPr>
      <w:r>
        <w:rPr>
          <w:rFonts w:ascii="Arial" w:cs="Arial" w:eastAsia="Arial" w:hAnsi="Arial"/>
          <w:sz w:val="16"/>
          <w:szCs w:val="16"/>
          <w:color w:val="auto"/>
        </w:rPr>
        <w:t>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The amortized cost basis of the Company’s loans by origination year, where origination is defined as the later of origination or renewal date, and credit quality indicator as of September 30, 2023 was as follows (disclosure not comparative due to adoption of ASC 326 on January 1, 2023 – refer to Note 1, Basis of Presentation and Summary of Significant Accounting Policies, for further details):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9"/>
          </w:tcPr>
          <w:p>
            <w:pPr>
              <w:jc w:val="right"/>
              <w:spacing w:after="0"/>
              <w:rPr>
                <w:sz w:val="20"/>
                <w:szCs w:val="20"/>
                <w:color w:val="auto"/>
              </w:rPr>
            </w:pPr>
            <w:r>
              <w:rPr>
                <w:rFonts w:ascii="Arial" w:cs="Arial" w:eastAsia="Arial" w:hAnsi="Arial"/>
                <w:sz w:val="14"/>
                <w:szCs w:val="14"/>
                <w:color w:val="auto"/>
              </w:rPr>
              <w:t>Amortized Cost Basis by Origination Year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restart"/>
          </w:tcPr>
          <w:p>
            <w:pPr>
              <w:jc w:val="center"/>
              <w:ind w:right="400"/>
              <w:spacing w:after="0"/>
              <w:rPr>
                <w:sz w:val="20"/>
                <w:szCs w:val="20"/>
                <w:color w:val="auto"/>
              </w:rPr>
            </w:pPr>
            <w:r>
              <w:rPr>
                <w:rFonts w:ascii="Arial" w:cs="Arial" w:eastAsia="Arial" w:hAnsi="Arial"/>
                <w:sz w:val="14"/>
                <w:szCs w:val="14"/>
                <w:color w:val="auto"/>
                <w:w w:val="97"/>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7"/>
              </w:rPr>
              <w:t>Revolving</w:t>
            </w:r>
          </w:p>
        </w:tc>
        <w:tc>
          <w:tcPr>
            <w:tcW w:w="1160" w:type="dxa"/>
            <w:vAlign w:val="bottom"/>
            <w:gridSpan w:val="4"/>
          </w:tcPr>
          <w:p>
            <w:pPr>
              <w:jc w:val="center"/>
              <w:ind w:right="300"/>
              <w:spacing w:after="0" w:line="141" w:lineRule="exact"/>
              <w:rPr>
                <w:sz w:val="20"/>
                <w:szCs w:val="20"/>
                <w:color w:val="auto"/>
              </w:rPr>
            </w:pPr>
            <w:r>
              <w:rPr>
                <w:rFonts w:ascii="Arial" w:cs="Arial" w:eastAsia="Arial" w:hAnsi="Arial"/>
                <w:sz w:val="14"/>
                <w:szCs w:val="14"/>
                <w:color w:val="auto"/>
                <w:w w:val="92"/>
              </w:rPr>
              <w:t>Converted 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Prior</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7"/>
                <w:szCs w:val="17"/>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color w:val="auto"/>
                <w:w w:val="91"/>
              </w:rPr>
              <w:t>Term</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251,745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987,248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712,268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239,894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124,560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248,634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2,568,493</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26,523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251,745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989,970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717,959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247,026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256,168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2,596,936</w:t>
            </w:r>
          </w:p>
        </w:tc>
        <w:tc>
          <w:tcPr>
            <w:tcW w:w="0" w:type="dxa"/>
            <w:vAlign w:val="bottom"/>
          </w:tcPr>
          <w:p>
            <w:pPr>
              <w:spacing w:after="0"/>
              <w:rPr>
                <w:sz w:val="1"/>
                <w:szCs w:val="1"/>
                <w:color w:val="auto"/>
              </w:rPr>
            </w:pPr>
          </w:p>
        </w:tc>
      </w:tr>
      <w:tr>
        <w:trPr>
          <w:trHeight w:val="16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Commercial land and development</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15,455</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15,455</w:t>
            </w:r>
          </w:p>
        </w:tc>
        <w:tc>
          <w:tcPr>
            <w:tcW w:w="0" w:type="dxa"/>
            <w:vAlign w:val="bottom"/>
          </w:tcPr>
          <w:p>
            <w:pPr>
              <w:spacing w:after="0"/>
              <w:rPr>
                <w:sz w:val="1"/>
                <w:szCs w:val="1"/>
                <w:color w:val="auto"/>
              </w:rPr>
            </w:pPr>
          </w:p>
        </w:tc>
      </w:tr>
      <w:tr>
        <w:trPr>
          <w:trHeight w:val="16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Commercial construction</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33,946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89,057</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5,897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33,946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94,954</w:t>
            </w:r>
          </w:p>
        </w:tc>
        <w:tc>
          <w:tcPr>
            <w:tcW w:w="0" w:type="dxa"/>
            <w:vAlign w:val="bottom"/>
          </w:tcPr>
          <w:p>
            <w:pPr>
              <w:spacing w:after="0"/>
              <w:rPr>
                <w:sz w:val="1"/>
                <w:szCs w:val="1"/>
                <w:color w:val="auto"/>
              </w:rPr>
            </w:pPr>
          </w:p>
        </w:tc>
      </w:tr>
      <w:tr>
        <w:trPr>
          <w:trHeight w:val="16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Residential construction</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13,912</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13,912</w:t>
            </w:r>
          </w:p>
        </w:tc>
        <w:tc>
          <w:tcPr>
            <w:tcW w:w="0" w:type="dxa"/>
            <w:vAlign w:val="bottom"/>
          </w:tcPr>
          <w:p>
            <w:pPr>
              <w:spacing w:after="0"/>
              <w:rPr>
                <w:sz w:val="1"/>
                <w:szCs w:val="1"/>
                <w:color w:val="auto"/>
              </w:rPr>
            </w:pPr>
          </w:p>
        </w:tc>
      </w:tr>
      <w:tr>
        <w:trPr>
          <w:trHeight w:val="16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25,057</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25,057</w:t>
            </w:r>
          </w:p>
        </w:tc>
        <w:tc>
          <w:tcPr>
            <w:tcW w:w="0" w:type="dxa"/>
            <w:vAlign w:val="bottom"/>
          </w:tcPr>
          <w:p>
            <w:pPr>
              <w:spacing w:after="0"/>
              <w:rPr>
                <w:sz w:val="1"/>
                <w:szCs w:val="1"/>
                <w:color w:val="auto"/>
              </w:rPr>
            </w:pPr>
          </w:p>
        </w:tc>
      </w:tr>
      <w:tr>
        <w:trPr>
          <w:trHeight w:val="16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Farmland</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12,767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51,898</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12,767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51,898</w:t>
            </w:r>
          </w:p>
        </w:tc>
        <w:tc>
          <w:tcPr>
            <w:tcW w:w="0" w:type="dxa"/>
            <w:vAlign w:val="bottom"/>
          </w:tcPr>
          <w:p>
            <w:pPr>
              <w:spacing w:after="0"/>
              <w:rPr>
                <w:sz w:val="1"/>
                <w:szCs w:val="1"/>
                <w:color w:val="auto"/>
              </w:rPr>
            </w:pPr>
          </w:p>
        </w:tc>
      </w:tr>
      <w:tr>
        <w:trPr>
          <w:trHeight w:val="162"/>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Secured</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Pr>
          <w:p>
            <w:pPr>
              <w:jc w:val="right"/>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44,970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18,656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156,588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44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20,091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44,970</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18,693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13,237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10,874</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12,310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37,613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157,788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9"/>
          </w:tcPr>
          <w:p>
            <w:pPr>
              <w:jc w:val="right"/>
              <w:spacing w:after="0"/>
              <w:rPr>
                <w:sz w:val="20"/>
                <w:szCs w:val="20"/>
                <w:color w:val="auto"/>
              </w:rPr>
            </w:pPr>
            <w:r>
              <w:rPr>
                <w:rFonts w:ascii="Arial" w:cs="Arial" w:eastAsia="Arial" w:hAnsi="Arial"/>
                <w:sz w:val="14"/>
                <w:szCs w:val="14"/>
                <w:color w:val="auto"/>
              </w:rPr>
              <w:t>Amortized Cost Basis by Origination Year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restart"/>
          </w:tcPr>
          <w:p>
            <w:pPr>
              <w:jc w:val="center"/>
              <w:ind w:right="328"/>
              <w:spacing w:after="0"/>
              <w:rPr>
                <w:sz w:val="20"/>
                <w:szCs w:val="20"/>
                <w:color w:val="auto"/>
              </w:rPr>
            </w:pPr>
            <w:r>
              <w:rPr>
                <w:rFonts w:ascii="Arial" w:cs="Arial" w:eastAsia="Arial" w:hAnsi="Arial"/>
                <w:sz w:val="14"/>
                <w:szCs w:val="14"/>
                <w:color w:val="auto"/>
                <w:w w:val="97"/>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7"/>
              </w:rPr>
              <w:t>Revolving</w:t>
            </w:r>
          </w:p>
        </w:tc>
        <w:tc>
          <w:tcPr>
            <w:tcW w:w="1160" w:type="dxa"/>
            <w:vAlign w:val="bottom"/>
            <w:gridSpan w:val="4"/>
          </w:tcPr>
          <w:p>
            <w:pPr>
              <w:jc w:val="right"/>
              <w:ind w:right="288"/>
              <w:spacing w:after="0" w:line="141" w:lineRule="exact"/>
              <w:rPr>
                <w:sz w:val="20"/>
                <w:szCs w:val="20"/>
                <w:color w:val="auto"/>
              </w:rPr>
            </w:pPr>
            <w:r>
              <w:rPr>
                <w:rFonts w:ascii="Arial" w:cs="Arial" w:eastAsia="Arial" w:hAnsi="Arial"/>
                <w:sz w:val="14"/>
                <w:szCs w:val="14"/>
                <w:color w:val="auto"/>
                <w:w w:val="97"/>
              </w:rPr>
              <w:t>Converted to</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880" w:type="dxa"/>
            <w:vAlign w:val="bottom"/>
          </w:tcPr>
          <w:p>
            <w:pPr>
              <w:jc w:val="right"/>
              <w:ind w:right="22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Prior</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Loans</w:t>
            </w:r>
          </w:p>
        </w:tc>
        <w:tc>
          <w:tcPr>
            <w:tcW w:w="120" w:type="dxa"/>
            <w:vAlign w:val="bottom"/>
          </w:tcPr>
          <w:p>
            <w:pPr>
              <w:spacing w:after="0"/>
              <w:rPr>
                <w:sz w:val="17"/>
                <w:szCs w:val="17"/>
                <w:color w:val="auto"/>
              </w:rPr>
            </w:pPr>
          </w:p>
        </w:tc>
        <w:tc>
          <w:tcPr>
            <w:tcW w:w="1040" w:type="dxa"/>
            <w:vAlign w:val="bottom"/>
            <w:gridSpan w:val="3"/>
          </w:tcPr>
          <w:p>
            <w:pPr>
              <w:jc w:val="center"/>
              <w:ind w:right="348"/>
              <w:spacing w:after="0"/>
              <w:rPr>
                <w:sz w:val="20"/>
                <w:szCs w:val="20"/>
                <w:color w:val="auto"/>
              </w:rPr>
            </w:pPr>
            <w:r>
              <w:rPr>
                <w:rFonts w:ascii="Arial" w:cs="Arial" w:eastAsia="Arial" w:hAnsi="Arial"/>
                <w:sz w:val="14"/>
                <w:szCs w:val="14"/>
                <w:color w:val="auto"/>
                <w:w w:val="91"/>
              </w:rPr>
              <w:t>Term</w:t>
            </w:r>
          </w:p>
        </w:tc>
        <w:tc>
          <w:tcPr>
            <w:tcW w:w="740" w:type="dxa"/>
            <w:vAlign w:val="bottom"/>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Unsecured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3,081</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24,009</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4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3,081</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24,009</w:t>
            </w:r>
          </w:p>
        </w:tc>
        <w:tc>
          <w:tcPr>
            <w:tcW w:w="0" w:type="dxa"/>
            <w:vAlign w:val="bottom"/>
          </w:tcPr>
          <w:p>
            <w:pPr>
              <w:spacing w:after="0"/>
              <w:rPr>
                <w:sz w:val="1"/>
                <w:szCs w:val="1"/>
                <w:color w:val="auto"/>
              </w:rPr>
            </w:pPr>
          </w:p>
        </w:tc>
      </w:tr>
      <w:tr>
        <w:trPr>
          <w:trHeight w:val="162"/>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Consumer and other</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29,884</w:t>
            </w:r>
          </w:p>
        </w:tc>
        <w:tc>
          <w:tcPr>
            <w:tcW w:w="0" w:type="dxa"/>
            <w:vAlign w:val="bottom"/>
          </w:tcPr>
          <w:p>
            <w:pPr>
              <w:spacing w:after="0"/>
              <w:rPr>
                <w:sz w:val="1"/>
                <w:szCs w:val="1"/>
                <w:color w:val="auto"/>
              </w:rPr>
            </w:pPr>
          </w:p>
        </w:tc>
      </w:tr>
      <w:tr>
        <w:trPr>
          <w:trHeight w:val="18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7,977</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29,921</w:t>
            </w:r>
          </w:p>
        </w:tc>
        <w:tc>
          <w:tcPr>
            <w:tcW w:w="0" w:type="dxa"/>
            <w:vAlign w:val="bottom"/>
          </w:tcPr>
          <w:p>
            <w:pPr>
              <w:spacing w:after="0"/>
              <w:rPr>
                <w:sz w:val="1"/>
                <w:szCs w:val="1"/>
                <w:color w:val="auto"/>
              </w:rPr>
            </w:pPr>
          </w:p>
        </w:tc>
      </w:tr>
      <w:tr>
        <w:trPr>
          <w:trHeight w:val="162"/>
        </w:trPr>
        <w:tc>
          <w:tcPr>
            <w:tcW w:w="24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301,455</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1,106,963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811,687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280,291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151,335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275,795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46,827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2,974,353</w:t>
            </w:r>
          </w:p>
        </w:tc>
        <w:tc>
          <w:tcPr>
            <w:tcW w:w="0" w:type="dxa"/>
            <w:vAlign w:val="bottom"/>
          </w:tcPr>
          <w:p>
            <w:pPr>
              <w:spacing w:after="0"/>
              <w:rPr>
                <w:sz w:val="1"/>
                <w:szCs w:val="1"/>
                <w:color w:val="auto"/>
              </w:rPr>
            </w:pPr>
          </w:p>
        </w:tc>
      </w:tr>
      <w:tr>
        <w:trPr>
          <w:trHeight w:val="18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Watch</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33,557</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Substandard</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2"/>
        </w:trPr>
        <w:tc>
          <w:tcPr>
            <w:tcW w:w="2440" w:type="dxa"/>
            <w:vAlign w:val="bottom"/>
            <w:gridSpan w:val="2"/>
          </w:tcPr>
          <w:p>
            <w:pPr>
              <w:ind w:left="180"/>
              <w:spacing w:after="0"/>
              <w:rPr>
                <w:sz w:val="20"/>
                <w:szCs w:val="20"/>
                <w:color w:val="auto"/>
              </w:rPr>
            </w:pPr>
            <w:r>
              <w:rPr>
                <w:rFonts w:ascii="Arial" w:cs="Arial" w:eastAsia="Arial" w:hAnsi="Arial"/>
                <w:sz w:val="14"/>
                <w:szCs w:val="14"/>
                <w:color w:val="auto"/>
              </w:rPr>
              <w:t>Doubtful</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301,455</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1,109,722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817,415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287,454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290,152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3,009,930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September 30, 2023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1"/>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color w:val="auto"/>
              </w:rPr>
              <w:t>Greater Than</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5"/>
              </w:rPr>
              <w:t>Total Loans</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90 Days</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7"/>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8"/>
              </w:rPr>
              <w:t>Receivable</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2,596,936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2,596,936</w:t>
            </w:r>
          </w:p>
        </w:tc>
      </w:tr>
      <w:tr>
        <w:trPr>
          <w:trHeight w:val="230"/>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w:t>
            </w: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94,954</w:t>
            </w: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13,912</w:t>
            </w: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25,057</w:t>
            </w:r>
          </w:p>
        </w:tc>
      </w:tr>
      <w:tr>
        <w:trPr>
          <w:trHeight w:val="230"/>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157,788</w:t>
            </w: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24,009</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w:t>
            </w: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3,009,774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3,009,930</w:t>
            </w:r>
          </w:p>
        </w:tc>
      </w:tr>
      <w:tr>
        <w:trPr>
          <w:trHeight w:val="21"/>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greater than 90 days past due and still accruing interest income as of September 30,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age analysis of past due loans by class as of December 31, 2022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Past Due</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1"/>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Greater Than</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5"/>
              </w:rPr>
              <w:t>Total Loans</w:t>
            </w:r>
          </w:p>
        </w:tc>
      </w:tr>
      <w:tr>
        <w:trPr>
          <w:trHeight w:val="243"/>
        </w:trPr>
        <w:tc>
          <w:tcPr>
            <w:tcW w:w="35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60-89 Days</w:t>
            </w:r>
          </w:p>
        </w:tc>
        <w:tc>
          <w:tcPr>
            <w:tcW w:w="1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90 Days</w:t>
            </w:r>
          </w:p>
        </w:tc>
        <w:tc>
          <w:tcPr>
            <w:tcW w:w="1240" w:type="dxa"/>
            <w:vAlign w:val="bottom"/>
            <w:gridSpan w:val="5"/>
          </w:tcPr>
          <w:p>
            <w:pPr>
              <w:ind w:left="40"/>
              <w:spacing w:after="0"/>
              <w:rPr>
                <w:sz w:val="20"/>
                <w:szCs w:val="20"/>
                <w:color w:val="auto"/>
              </w:rPr>
            </w:pPr>
            <w:r>
              <w:rPr>
                <w:rFonts w:ascii="Arial" w:cs="Arial" w:eastAsia="Arial" w:hAnsi="Arial"/>
                <w:sz w:val="18"/>
                <w:szCs w:val="18"/>
                <w:color w:val="auto"/>
                <w:w w:val="99"/>
              </w:rPr>
              <w:t>Total Past Due</w:t>
            </w:r>
          </w:p>
        </w:tc>
        <w:tc>
          <w:tcPr>
            <w:tcW w:w="24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Current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w w:val="98"/>
              </w:rPr>
              <w:t>Receivable</w:t>
            </w: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2,392,053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2,392,053</w:t>
            </w: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88,314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88,314</w:t>
            </w: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9"/>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24,088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24,263</w:t>
            </w: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52,446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52,446</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165,609</w:t>
            </w:r>
          </w:p>
        </w:tc>
      </w:tr>
      <w:tr>
        <w:trPr>
          <w:trHeight w:val="229"/>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25,488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25,488</w:t>
            </w: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29,013</w:t>
            </w: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2,790,957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2,791,326</w:t>
            </w:r>
          </w:p>
        </w:tc>
      </w:tr>
      <w:tr>
        <w:trPr>
          <w:trHeight w:val="21"/>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20"/>
        </w:trPr>
        <w:tc>
          <w:tcPr>
            <w:tcW w:w="7980" w:type="dxa"/>
            <w:vAlign w:val="bottom"/>
            <w:gridSpan w:val="12"/>
          </w:tcPr>
          <w:p>
            <w:pPr>
              <w:spacing w:after="0"/>
              <w:rPr>
                <w:sz w:val="20"/>
                <w:szCs w:val="20"/>
                <w:color w:val="auto"/>
              </w:rPr>
            </w:pPr>
            <w:r>
              <w:rPr>
                <w:rFonts w:ascii="Arial" w:cs="Arial" w:eastAsia="Arial" w:hAnsi="Arial"/>
                <w:sz w:val="18"/>
                <w:szCs w:val="18"/>
                <w:color w:val="auto"/>
                <w:w w:val="89"/>
              </w:rPr>
              <w:t>There were no loans greater than 90 days past due and still accruing interest income as of 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6200" w:type="dxa"/>
            <w:vAlign w:val="bottom"/>
            <w:gridSpan w:val="9"/>
          </w:tcPr>
          <w:p>
            <w:pPr>
              <w:spacing w:after="0"/>
              <w:rPr>
                <w:sz w:val="20"/>
                <w:szCs w:val="20"/>
                <w:color w:val="auto"/>
              </w:rPr>
            </w:pPr>
            <w:r>
              <w:rPr>
                <w:rFonts w:ascii="Arial" w:cs="Arial" w:eastAsia="Arial" w:hAnsi="Arial"/>
                <w:sz w:val="18"/>
                <w:szCs w:val="18"/>
                <w:color w:val="auto"/>
                <w:w w:val="91"/>
              </w:rPr>
              <w:t>No collateral dependent loans were in process of foreclosure at September 30, 2023.</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7980" w:type="dxa"/>
            <w:vAlign w:val="bottom"/>
            <w:gridSpan w:val="12"/>
          </w:tcPr>
          <w:p>
            <w:pPr>
              <w:spacing w:after="0"/>
              <w:rPr>
                <w:sz w:val="20"/>
                <w:szCs w:val="20"/>
                <w:color w:val="auto"/>
              </w:rPr>
            </w:pPr>
            <w:r>
              <w:rPr>
                <w:rFonts w:ascii="Arial" w:cs="Arial" w:eastAsia="Arial" w:hAnsi="Arial"/>
                <w:sz w:val="18"/>
                <w:szCs w:val="18"/>
                <w:color w:val="auto"/>
                <w:w w:val="92"/>
              </w:rPr>
              <w:t>Non-accrual loans, segregated by class, were as follows as of September 30, 2023 and 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72"/>
        </w:trPr>
        <w:tc>
          <w:tcPr>
            <w:tcW w:w="35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5"/>
          </w:tcPr>
          <w:p>
            <w:pPr>
              <w:jc w:val="right"/>
              <w:ind w:right="120"/>
              <w:spacing w:after="0"/>
              <w:rPr>
                <w:sz w:val="20"/>
                <w:szCs w:val="20"/>
                <w:color w:val="auto"/>
              </w:rPr>
            </w:pPr>
            <w:r>
              <w:rPr>
                <w:rFonts w:ascii="Arial" w:cs="Arial" w:eastAsia="Arial" w:hAnsi="Arial"/>
                <w:sz w:val="18"/>
                <w:szCs w:val="18"/>
                <w:color w:val="auto"/>
                <w:w w:val="88"/>
              </w:rPr>
              <w:t>September 30, 2023</w:t>
            </w:r>
          </w:p>
        </w:tc>
        <w:tc>
          <w:tcPr>
            <w:tcW w:w="1480" w:type="dxa"/>
            <w:vAlign w:val="bottom"/>
            <w:gridSpan w:val="4"/>
          </w:tcPr>
          <w:p>
            <w:pPr>
              <w:ind w:left="40"/>
              <w:spacing w:after="0"/>
              <w:rPr>
                <w:sz w:val="20"/>
                <w:szCs w:val="20"/>
                <w:color w:val="auto"/>
              </w:rPr>
            </w:pPr>
            <w:r>
              <w:rPr>
                <w:rFonts w:ascii="Arial" w:cs="Arial" w:eastAsia="Arial" w:hAnsi="Arial"/>
                <w:sz w:val="18"/>
                <w:szCs w:val="18"/>
                <w:color w:val="auto"/>
                <w:w w:val="89"/>
              </w:rPr>
              <w:t>December 31, 2022</w:t>
            </w:r>
          </w:p>
        </w:tc>
      </w:tr>
      <w:tr>
        <w:trPr>
          <w:trHeight w:val="223"/>
        </w:trPr>
        <w:tc>
          <w:tcPr>
            <w:tcW w:w="3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3580" w:type="dxa"/>
            <w:vAlign w:val="bottom"/>
            <w:gridSpan w:val="2"/>
          </w:tcPr>
          <w:p>
            <w:pPr>
              <w:ind w:left="400"/>
              <w:spacing w:after="0"/>
              <w:rPr>
                <w:sz w:val="20"/>
                <w:szCs w:val="20"/>
                <w:color w:val="auto"/>
              </w:rPr>
            </w:pPr>
            <w:r>
              <w:rPr>
                <w:rFonts w:ascii="Arial" w:cs="Arial" w:eastAsia="Arial" w:hAnsi="Arial"/>
                <w:sz w:val="18"/>
                <w:szCs w:val="18"/>
                <w:color w:val="auto"/>
              </w:rPr>
              <w:t>Total non-accrual loans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interest income was recognized on non-accrual loans in the three and nine months ended September 30, 2023 or September 30, 2022. Non-accrual real estate loans did not have an allowance for credit losses as of September 30, 2023. Interest income can be recognized on non-accrual loans in cases where resolution occurs through a sale or full payment is received on the non-accrual loan.</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amount of foregone interest income related to non-accrual loans was $27.1 thousand and $62.3 thousand for the three and nine months ended September 30, 2023, respectively, compared to $6.9 thousand and $32.0 thousand for the three and nine months ended September 30, 2022,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Allowance for Credit Losses</w:t>
            </w: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900" w:type="dxa"/>
            <w:vAlign w:val="bottom"/>
            <w:gridSpan w:val="12"/>
          </w:tcPr>
          <w:p>
            <w:pPr>
              <w:spacing w:after="0"/>
              <w:rPr>
                <w:sz w:val="20"/>
                <w:szCs w:val="20"/>
                <w:color w:val="auto"/>
              </w:rPr>
            </w:pPr>
            <w:r>
              <w:rPr>
                <w:rFonts w:ascii="Arial" w:cs="Arial" w:eastAsia="Arial" w:hAnsi="Arial"/>
                <w:sz w:val="18"/>
                <w:szCs w:val="18"/>
                <w:color w:val="auto"/>
                <w:w w:val="93"/>
              </w:rPr>
              <w:t>The following table discloses activity in the allowance for credit losses for the three months ended September 30, 2023.</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3"/>
        </w:trPr>
        <w:tc>
          <w:tcPr>
            <w:tcW w:w="3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7"/>
              </w:rPr>
              <w:t>Beginning Balance</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Recoveries</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1"/>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27,901</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34,028</w:t>
            </w: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credit losses for the three months ended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7"/>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Recoveries</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1"/>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18,309</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27,838</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2"/>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8"/>
        </w:trPr>
        <w:tc>
          <w:tcPr>
            <w:tcW w:w="3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discloses activity in the allowance for credit losses for the nine months ended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2"/>
              </w:rPr>
              <w:t>Beginning</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Effect of</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auto"/>
              </w:rPr>
              <w:t>Provision</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6"/>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ASC 326</w:t>
            </w:r>
          </w:p>
        </w:tc>
        <w:tc>
          <w:tcPr>
            <w:tcW w:w="14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(Benefit)</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w w:val="90"/>
              </w:rPr>
              <w:t>Ending Balance</w:t>
            </w:r>
          </w:p>
        </w:tc>
        <w:tc>
          <w:tcPr>
            <w:tcW w:w="0" w:type="dxa"/>
            <w:vAlign w:val="bottom"/>
          </w:tcPr>
          <w:p>
            <w:pPr>
              <w:spacing w:after="0"/>
              <w:rPr>
                <w:sz w:val="1"/>
                <w:szCs w:val="1"/>
                <w:color w:val="auto"/>
              </w:rPr>
            </w:pPr>
          </w:p>
        </w:tc>
      </w:tr>
      <w:tr>
        <w:trPr>
          <w:trHeight w:val="223"/>
        </w:trPr>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27,901</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Unallocated</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credit losses for the nine months ended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7"/>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Recoveries</w:t>
            </w:r>
          </w:p>
        </w:tc>
        <w:tc>
          <w:tcPr>
            <w:tcW w:w="1560" w:type="dxa"/>
            <w:vAlign w:val="bottom"/>
            <w:gridSpan w:val="3"/>
          </w:tcPr>
          <w:p>
            <w:pPr>
              <w:ind w:left="40"/>
              <w:spacing w:after="0"/>
              <w:rPr>
                <w:sz w:val="20"/>
                <w:szCs w:val="20"/>
                <w:color w:val="auto"/>
              </w:rPr>
            </w:pPr>
            <w:r>
              <w:rPr>
                <w:rFonts w:ascii="Arial" w:cs="Arial" w:eastAsia="Arial" w:hAnsi="Arial"/>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1"/>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18,309</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r>
      <w:tr>
        <w:trPr>
          <w:trHeight w:val="23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2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27,838</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2"/>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5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8"/>
        </w:trPr>
        <w:tc>
          <w:tcPr>
            <w:tcW w:w="3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Unfunded Loan Commitment Reserves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 Prior to adoption of ASC 326, provisions for unfunded loan commitments were included in “Other operating expenses” in the unaudited consolidated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62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2020" w:type="dxa"/>
            <w:vAlign w:val="bottom"/>
            <w:gridSpan w:val="3"/>
          </w:tcPr>
          <w:p>
            <w:pPr>
              <w:ind w:left="360"/>
              <w:spacing w:after="0"/>
              <w:rPr>
                <w:sz w:val="20"/>
                <w:szCs w:val="20"/>
                <w:color w:val="auto"/>
              </w:rPr>
            </w:pPr>
            <w:r>
              <w:rPr>
                <w:rFonts w:ascii="Arial" w:cs="Arial" w:eastAsia="Arial" w:hAnsi="Arial"/>
                <w:sz w:val="18"/>
                <w:szCs w:val="18"/>
                <w:color w:val="auto"/>
              </w:rPr>
              <w:t>Nine months ended</w:t>
            </w:r>
          </w:p>
        </w:tc>
        <w:tc>
          <w:tcPr>
            <w:tcW w:w="580" w:type="dxa"/>
            <w:vAlign w:val="bottom"/>
          </w:tcPr>
          <w:p>
            <w:pPr>
              <w:spacing w:after="0"/>
              <w:rPr>
                <w:sz w:val="20"/>
                <w:szCs w:val="20"/>
                <w:color w:val="auto"/>
              </w:rPr>
            </w:pPr>
          </w:p>
        </w:tc>
      </w:tr>
      <w:tr>
        <w:trPr>
          <w:trHeight w:val="169"/>
        </w:trPr>
        <w:tc>
          <w:tcPr>
            <w:tcW w:w="5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color w:val="auto"/>
                <w:w w:val="89"/>
              </w:rPr>
              <w:t>September 30,</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2023</w:t>
            </w:r>
          </w:p>
        </w:tc>
        <w:tc>
          <w:tcPr>
            <w:tcW w:w="1480" w:type="dxa"/>
            <w:vAlign w:val="bottom"/>
            <w:gridSpan w:val="2"/>
          </w:tcPr>
          <w:p>
            <w:pPr>
              <w:ind w:left="20"/>
              <w:spacing w:after="0"/>
              <w:rPr>
                <w:sz w:val="20"/>
                <w:szCs w:val="20"/>
                <w:color w:val="auto"/>
              </w:rPr>
            </w:pPr>
            <w:r>
              <w:rPr>
                <w:rFonts w:ascii="Arial" w:cs="Arial" w:eastAsia="Arial" w:hAnsi="Arial"/>
                <w:sz w:val="18"/>
                <w:szCs w:val="18"/>
                <w:color w:val="auto"/>
                <w:w w:val="88"/>
              </w:rPr>
              <w:t>September 30, 2022</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Effect of adoption of ASC 326</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0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1"/>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Loans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FHLB line of credit is secured under terms of a collateral agreement by a pledge of certain qualifying loans with unpaid principal balances of $1.7 billion and $1.6 billion at September 30, 2023 and December 31, 2022, respectively. In addition, the Company pledges eligible tenants in common loans, which totaled $39.3 million and $41.9 million at September 30, 2023 and December 31, 2022, respectively, to secure its borrowing capacity with the Federal Reserve Bank of San Francisco. See Note 6, Long Term Debt and Other Borrowings, for further discussion of these borrowings.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5: Interest-Bearing Deposits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Arial" w:cs="Arial" w:eastAsia="Arial" w:hAnsi="Arial"/>
                <w:sz w:val="18"/>
                <w:szCs w:val="18"/>
                <w:color w:val="auto"/>
                <w:w w:val="99"/>
              </w:rPr>
              <w:t>Interest-bearing deposits consisted of the following as of September 30, 2023 and December 31, 2022:</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2"/>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2023</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2022</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242,632</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138,029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154,581</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1,335,545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1,073,528</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Time accounts, more than $250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330,913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198,159</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time accounts</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96,611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144,355</w:t>
            </w:r>
          </w:p>
        </w:tc>
      </w:tr>
      <w:tr>
        <w:trPr>
          <w:trHeight w:val="223"/>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time deposits</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342,514</w:t>
            </w: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interest-bearing deposits</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2,198,776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1,813,255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Time deposits totaled $427.5 million and $342.5 million as of September 30, 2023 and December 31, 2022, respectively. As of September 30, 2023, scheduled maturities of time deposits for the next five years were as follows: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Arial" w:cs="Arial" w:eastAsia="Arial" w:hAnsi="Arial"/>
                <w:sz w:val="18"/>
                <w:szCs w:val="18"/>
                <w:color w:val="auto"/>
                <w:w w:val="89"/>
              </w:rPr>
              <w:t>2023</w:t>
            </w:r>
          </w:p>
        </w:tc>
        <w:tc>
          <w:tcPr>
            <w:tcW w:w="668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218,703</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Arial" w:cs="Arial" w:eastAsia="Arial" w:hAnsi="Arial"/>
                <w:sz w:val="18"/>
                <w:szCs w:val="18"/>
                <w:color w:val="auto"/>
                <w:w w:val="89"/>
              </w:rPr>
              <w:t>2024</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186,345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w w:val="89"/>
              </w:rPr>
              <w:t>2025</w:t>
            </w:r>
          </w:p>
        </w:tc>
        <w:tc>
          <w:tcPr>
            <w:tcW w:w="6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21,135</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Arial" w:cs="Arial" w:eastAsia="Arial" w:hAnsi="Arial"/>
                <w:sz w:val="18"/>
                <w:szCs w:val="18"/>
                <w:color w:val="auto"/>
                <w:w w:val="89"/>
              </w:rPr>
              <w:t>2026</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w w:val="89"/>
              </w:rPr>
              <w:t>2027</w:t>
            </w:r>
          </w:p>
        </w:tc>
        <w:tc>
          <w:tcPr>
            <w:tcW w:w="62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Arial" w:cs="Arial" w:eastAsia="Arial" w:hAnsi="Arial"/>
                <w:sz w:val="18"/>
                <w:szCs w:val="18"/>
                <w:color w:val="auto"/>
              </w:rPr>
              <w:t>Total time deposits</w:t>
            </w:r>
          </w:p>
        </w:tc>
        <w:tc>
          <w:tcPr>
            <w:tcW w:w="6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427,524</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6220" w:type="dxa"/>
            <w:vAlign w:val="bottom"/>
            <w:vMerge w:val="restart"/>
          </w:tcPr>
          <w:p>
            <w:pPr>
              <w:jc w:val="right"/>
              <w:ind w:right="3975"/>
              <w:spacing w:after="0"/>
              <w:rPr>
                <w:sz w:val="20"/>
                <w:szCs w:val="20"/>
                <w:color w:val="auto"/>
              </w:rPr>
            </w:pPr>
            <w:r>
              <w:rPr>
                <w:rFonts w:ascii="Arial" w:cs="Arial" w:eastAsia="Arial" w:hAnsi="Arial"/>
                <w:sz w:val="16"/>
                <w:szCs w:val="16"/>
                <w:color w:val="auto"/>
              </w:rPr>
              <w:t>27</w:t>
            </w: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5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9" w:name="page30"/>
    <w:bookmarkEnd w:id="29"/>
    <w:p>
      <w:pPr>
        <w:spacing w:after="0" w:line="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and interest checking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September 30, 2023 and December 31, 2022. The composition of network deposits as of September 30, 2023 and December 31, 2022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2023</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2022</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13,248</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ICS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272,719</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network deposits</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285,967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periods ended September 30, 2023 and 2022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7"/>
              </w:rPr>
              <w:t>Three months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color w:val="auto"/>
              </w:rPr>
              <w:t>Nine months ended</w:t>
            </w:r>
          </w:p>
        </w:tc>
        <w:tc>
          <w:tcPr>
            <w:tcW w:w="660" w:type="dxa"/>
            <w:vAlign w:val="bottom"/>
            <w:tcBorders>
              <w:bottom w:val="single" w:sz="8" w:color="auto"/>
            </w:tcBorders>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5"/>
              </w:rPr>
              <w:t>September 30, 2023</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89"/>
              </w:rPr>
              <w:t>September 30, 2022</w:t>
            </w:r>
          </w:p>
        </w:tc>
        <w:tc>
          <w:tcPr>
            <w:tcW w:w="100" w:type="dxa"/>
            <w:vAlign w:val="bottom"/>
          </w:tcPr>
          <w:p>
            <w:pPr>
              <w:spacing w:after="0"/>
              <w:rPr>
                <w:sz w:val="19"/>
                <w:szCs w:val="19"/>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4"/>
              </w:rPr>
              <w:t>September 30, 2023</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9"/>
              </w:rPr>
              <w:t>September 30, 2022</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Time accounts, $250 or more</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time accounts</w:t>
            </w: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Total interest expense on interest-bearing deposits</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16,386</w:t>
            </w:r>
          </w:p>
        </w:tc>
        <w:tc>
          <w:tcPr>
            <w:tcW w:w="100" w:type="dxa"/>
            <w:vAlign w:val="bottom"/>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39,733</w:t>
            </w:r>
          </w:p>
        </w:tc>
        <w:tc>
          <w:tcPr>
            <w:tcW w:w="80" w:type="dxa"/>
            <w:vAlign w:val="bottom"/>
          </w:tcPr>
          <w:p>
            <w:pPr>
              <w:spacing w:after="0"/>
              <w:rPr>
                <w:sz w:val="19"/>
                <w:szCs w:val="19"/>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 Term Debt and Other Borrowings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Subordinated notes</w:t>
      </w:r>
      <w:r>
        <w:rPr>
          <w:rFonts w:ascii="Arial" w:cs="Arial" w:eastAsia="Arial" w:hAnsi="Arial"/>
          <w:sz w:val="17"/>
          <w:szCs w:val="17"/>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(8.70% as of September 30, 2023)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$0.2 million has been amortized as of September 30, 2023. The Company reflects debt issuance costs as a direct deduction from the face of the note. The debt issuance costs are amortized into interest expense through the maturity period. At September 30, 2023 and December 31, 2022, the Company’s subordinated debt outstanding was $73.7 million and $73.6 million, respectively.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Other borrowings</w:t>
      </w:r>
      <w:r>
        <w:rPr>
          <w:rFonts w:ascii="Arial" w:cs="Arial" w:eastAsia="Arial" w:hAnsi="Arial"/>
          <w:sz w:val="17"/>
          <w:szCs w:val="17"/>
          <w:color w:val="auto"/>
        </w:rPr>
        <w:t>: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$1.1 billion at September 30, 2023 and $1.0 billion at December 31, 2022. At September 30, 2023 and December 31, 2022, the Company had $90.0 million and $100.0 million of outstanding borrowings, respectively. As of September 30, 2023 and December 31, 2022, the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Company had letters of credit (“LCs”) issued on its behalf totaling $671.5 million and $686.5 million, respectively, as discussed below.</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2023 and December 31, 2022, LCs totaling $261.5 million and $206.5 million, respectively, were pledged to secure State of California deposits, and LCs totaling $410.0 million and $480.0 million, respectively, were pledged to secure local agency deposits. The LCs issued reduced the Company’s available borrowing capacity to $292.1 million and $216.3 million as of September 30, 2023 and December 31, 2022,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Company had five unsecured federal funds lines of credit with its correspondent banks totaling $175.0 million. At December 31, 2022, the Company had seven unsecured federal funds lines of credit with its correspondent banks totaling $190.0 million. There were no amounts outstanding at September 30, 2023 and December 31,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and December 31, 2022, the Company had the ability to borrow from the Federal Reserve Discount Window. At September 30, 2023 and December 31, 2022, the borrowing capacity under this arrangement was $69.0 million and $21.9 million, respectively. There were no amounts outstanding at September 30, 2023 and December 31, 2022. The borrowing line is secured by liens on the Company’s construction and agricultural loan portfolios and certain available-for-sale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EPS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w:t>
      </w:r>
    </w:p>
    <w:p>
      <w:pPr>
        <w:sectPr>
          <w:pgSz w:w="11900" w:h="16890" w:orient="portrait"/>
          <w:cols w:equalWidth="0" w:num="1">
            <w:col w:w="11240"/>
          </w:cols>
          <w:pgMar w:left="320" w:top="1151" w:right="339" w:bottom="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7"/>
          <w:szCs w:val="17"/>
          <w:color w:val="auto"/>
        </w:rPr>
        <w:t>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 except share count and earnings per common</w:t>
            </w:r>
          </w:p>
        </w:tc>
        <w:tc>
          <w:tcPr>
            <w:tcW w:w="380" w:type="dxa"/>
            <w:vAlign w:val="bottom"/>
          </w:tcPr>
          <w:p>
            <w:pPr>
              <w:spacing w:after="0"/>
              <w:rPr>
                <w:sz w:val="20"/>
                <w:szCs w:val="20"/>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c>
          <w:tcPr>
            <w:tcW w:w="2740" w:type="dxa"/>
            <w:vAlign w:val="bottom"/>
            <w:gridSpan w:val="4"/>
          </w:tcPr>
          <w:p>
            <w:pPr>
              <w:jc w:val="right"/>
              <w:ind w:right="7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56"/>
        </w:trPr>
        <w:tc>
          <w:tcPr>
            <w:tcW w:w="4900" w:type="dxa"/>
            <w:vAlign w:val="bottom"/>
            <w:gridSpan w:val="2"/>
            <w:vMerge w:val="continue"/>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share)</w:t>
            </w: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5"/>
              </w:rPr>
              <w:t>September 30, 2023</w:t>
            </w:r>
          </w:p>
        </w:tc>
        <w:tc>
          <w:tcPr>
            <w:tcW w:w="1600" w:type="dxa"/>
            <w:vAlign w:val="bottom"/>
            <w:gridSpan w:val="3"/>
          </w:tcPr>
          <w:p>
            <w:pPr>
              <w:ind w:left="20"/>
              <w:spacing w:after="0"/>
              <w:rPr>
                <w:sz w:val="20"/>
                <w:szCs w:val="20"/>
                <w:color w:val="auto"/>
              </w:rPr>
            </w:pPr>
            <w:r>
              <w:rPr>
                <w:rFonts w:ascii="Arial" w:cs="Arial" w:eastAsia="Arial" w:hAnsi="Arial"/>
                <w:sz w:val="18"/>
                <w:szCs w:val="18"/>
                <w:color w:val="auto"/>
                <w:w w:val="95"/>
              </w:rPr>
              <w:t>September 30, 2022</w:t>
            </w: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4"/>
              </w:rPr>
              <w:t>September 30, 2023</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9"/>
              </w:rPr>
              <w:t>September 30, 2022</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17,140,435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17,163,609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17,123,016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 Dilutive effects of assumed vesting of restricted stock</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Total dilutive weighted average common shares outstanding</w:t>
            </w: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17,194,825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17,168,447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17,186,235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17,160,810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Diluted EPS</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anti-dilutive shares at September 30, 2023 or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July 20, 2023, the board of directors declared a $0.20 per common share dividend, totaling $3.5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Stock-Based Incentive Arrangement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8"/>
          <w:szCs w:val="18"/>
          <w:color w:val="auto"/>
        </w:rPr>
        <w:t>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Non-cash stock compensation expense recognized for the three months ended September 30, 2023 and 2022 was $0.2 million and $0.3 million, respectively. Non-cash stock compensation expense recognized for the nine months ended September 30, 2023 and 2022 was $0.7 million and $0.8 million, respectively.</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2023 and 2022, there were 82,324 and 104,348 unvested restricted shares, respectively. As of September 30, 2023, there was approximately $1.4 million of unrecognized compensation expense related to the 82,324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2.67 years as of September 30, 2023. The impact of tax benefits for dividends paid on unvested restricted stock on the Company’s unaudited consolidated statements of income for the three and nine months ended September 30, 2023 and 2022 was immaterial.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restricted shares for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4620" w:type="dxa"/>
            <w:vAlign w:val="bottom"/>
            <w:gridSpan w:val="11"/>
          </w:tcPr>
          <w:p>
            <w:pPr>
              <w:ind w:left="740"/>
              <w:spacing w:after="0"/>
              <w:rPr>
                <w:sz w:val="20"/>
                <w:szCs w:val="20"/>
                <w:color w:val="auto"/>
              </w:rPr>
            </w:pPr>
            <w:r>
              <w:rPr>
                <w:rFonts w:ascii="Arial" w:cs="Arial" w:eastAsia="Arial" w:hAnsi="Arial"/>
                <w:sz w:val="18"/>
                <w:szCs w:val="18"/>
                <w:color w:val="auto"/>
              </w:rPr>
              <w:t>For the three months ended September 30,</w:t>
            </w:r>
          </w:p>
        </w:tc>
        <w:tc>
          <w:tcPr>
            <w:tcW w:w="4580" w:type="dxa"/>
            <w:vAlign w:val="bottom"/>
            <w:gridSpan w:val="9"/>
          </w:tcPr>
          <w:p>
            <w:pPr>
              <w:jc w:val="right"/>
              <w:ind w:right="690"/>
              <w:spacing w:after="0"/>
              <w:rPr>
                <w:sz w:val="20"/>
                <w:szCs w:val="20"/>
                <w:color w:val="auto"/>
              </w:rPr>
            </w:pPr>
            <w:r>
              <w:rPr>
                <w:rFonts w:ascii="Arial" w:cs="Arial" w:eastAsia="Arial" w:hAnsi="Arial"/>
                <w:sz w:val="18"/>
                <w:szCs w:val="18"/>
                <w:color w:val="auto"/>
              </w:rPr>
              <w:t>For the nine months ended September 30,</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2023</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9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2023</w:t>
            </w: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2022</w:t>
            </w:r>
          </w:p>
        </w:tc>
        <w:tc>
          <w:tcPr>
            <w:tcW w:w="9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20"/>
              <w:spacing w:after="0" w:line="196" w:lineRule="exact"/>
              <w:rPr>
                <w:sz w:val="20"/>
                <w:szCs w:val="20"/>
                <w:color w:val="auto"/>
              </w:rPr>
            </w:pPr>
            <w:r>
              <w:rPr>
                <w:rFonts w:ascii="Arial" w:cs="Arial" w:eastAsia="Arial" w:hAnsi="Arial"/>
                <w:sz w:val="18"/>
                <w:szCs w:val="18"/>
                <w:color w:val="auto"/>
                <w:w w:val="89"/>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00"/>
              <w:spacing w:after="0" w:line="196" w:lineRule="exact"/>
              <w:rPr>
                <w:sz w:val="20"/>
                <w:szCs w:val="20"/>
                <w:color w:val="auto"/>
              </w:rPr>
            </w:pPr>
            <w:r>
              <w:rPr>
                <w:rFonts w:ascii="Arial" w:cs="Arial" w:eastAsia="Arial" w:hAnsi="Arial"/>
                <w:sz w:val="18"/>
                <w:szCs w:val="18"/>
                <w:color w:val="auto"/>
                <w:w w:val="92"/>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line="196" w:lineRule="exact"/>
              <w:rPr>
                <w:sz w:val="20"/>
                <w:szCs w:val="20"/>
                <w:color w:val="auto"/>
              </w:rPr>
            </w:pPr>
            <w:r>
              <w:rPr>
                <w:rFonts w:ascii="Arial" w:cs="Arial" w:eastAsia="Arial" w:hAnsi="Arial"/>
                <w:sz w:val="18"/>
                <w:szCs w:val="18"/>
                <w:color w:val="auto"/>
                <w:w w:val="89"/>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9" w:lineRule="exact"/>
              <w:rPr>
                <w:sz w:val="20"/>
                <w:szCs w:val="20"/>
                <w:color w:val="auto"/>
              </w:rPr>
            </w:pPr>
            <w:r>
              <w:rPr>
                <w:rFonts w:ascii="Arial" w:cs="Arial" w:eastAsia="Arial" w:hAnsi="Arial"/>
                <w:sz w:val="18"/>
                <w:szCs w:val="18"/>
                <w:color w:val="auto"/>
                <w:w w:val="90"/>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80"/>
              <w:spacing w:after="0" w:line="189" w:lineRule="exact"/>
              <w:rPr>
                <w:sz w:val="20"/>
                <w:szCs w:val="20"/>
                <w:color w:val="auto"/>
              </w:rPr>
            </w:pPr>
            <w:r>
              <w:rPr>
                <w:rFonts w:ascii="Arial" w:cs="Arial" w:eastAsia="Arial" w:hAnsi="Arial"/>
                <w:sz w:val="18"/>
                <w:szCs w:val="18"/>
                <w:color w:val="auto"/>
                <w:w w:val="90"/>
              </w:rPr>
              <w:t>Average Grant</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88"/>
              </w:rPr>
              <w:t>Average Grant</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1"/>
              </w:rPr>
              <w:t>Date Fair</w:t>
            </w: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89"/>
              </w:rPr>
              <w:t>Date Fair</w:t>
            </w: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1"/>
              </w:rPr>
              <w:t>Date Fair</w:t>
            </w: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Date Fair</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Beginning of the period</w:t>
            </w: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82,324</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Shares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Shares 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End of the period balance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82,324</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104,348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does for on-balance sheet instruments, including obtaining collateral at exercise of the commitment. The contractual amounts of unfunded loan commitments and standby letters of credit not reflected in the unaudited consolidated balance sheets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30, 2023</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2022</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147,021</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Undisbursed construction loans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80,726</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Undisbursed commercial real estate loans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79,121</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Agricultural lines of credit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10,399</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Undisbursed residential real estate loans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Undisbursed agricultural real estate loans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23"/>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Total commitments and standby letters of credit</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401,934</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329,148</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$1.5 million as of September 30, 2023 and $0.1 million as of December 31, 2022, which is recorded in “Interest payable and other liabilities” in the unaudited consolidated balance sheets.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Concentrations of credit risk</w:t>
      </w:r>
      <w:r>
        <w:rPr>
          <w:rFonts w:ascii="Arial" w:cs="Arial" w:eastAsia="Arial" w:hAnsi="Arial"/>
          <w:sz w:val="16"/>
          <w:szCs w:val="16"/>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92.71% of the Company’s loan portfolio at September 30, 2023 and 91.84% of the Company’s loan portfolio at December 31, 2022.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 concentrations</w:t>
      </w:r>
      <w:r>
        <w:rPr>
          <w:rFonts w:ascii="Arial" w:cs="Arial" w:eastAsia="Arial" w:hAnsi="Arial"/>
          <w:sz w:val="18"/>
          <w:szCs w:val="18"/>
          <w:color w:val="auto"/>
        </w:rPr>
        <w:t>: At September 30, 2023, the Company had 86 deposit relationships that exceeded $5.0 million each, totaling $1.9 billion, or approximately 61.64% of total deposits. The Company’s largest single deposit relationship at September 30, 2023 totaled $250.0 million, or approximately 8.24% of total deposits. Management maintains the Company’s liquidity position and lines of credit with correspondent banks to mitigate the risk of large withdrawals by this group of large depositors.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Correspondent banking agreements</w:t>
      </w:r>
      <w:r>
        <w:rPr>
          <w:rFonts w:ascii="Arial" w:cs="Arial" w:eastAsia="Arial" w:hAnsi="Arial"/>
          <w:sz w:val="18"/>
          <w:szCs w:val="18"/>
          <w:color w:val="auto"/>
        </w:rPr>
        <w:t>: The Company maintains funds on deposit with other FDIC-insured financial institutions under correspondent banking agreements. Uninsured deposits through these agreements totaled $22.1 million and $16.2 million at September 30, 2023 and December 31,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19, 2023, the Board of Directors of the Company authorized a cash dividend of $0.20 per common share, payable on November 13, 2023 to shareholders of record as of November 6,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2022 Annual Report on Form 10-K, which was filed with the SEC on February 24, 2023. Average balances, including balances used in calculating certain financial ratios, are generally comprised of average daily balances.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28" w:lineRule="exact"/>
        <w:rPr>
          <w:sz w:val="20"/>
          <w:szCs w:val="20"/>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market interest rates that affect the pricing of our loans and deposits, our net interest income, and our borrowers’ ability to repay loans;</w:t>
      </w:r>
    </w:p>
    <w:p>
      <w:pPr>
        <w:spacing w:after="0" w:line="86"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U.S. economy, including an economic slowdown, inflation, deflation, housing prices, employment levels, rate of growth, and general business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related to or resulting from recent bank failures and other economic and industry volatility, including increased regulatory requirements and costs and potential impacts to macroeconomic conditions;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effects of increased competition from a wide variety of local, regional, national, and other providers of financial and investment services;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maintain capital necessary to fund our growth strategy and operations and to satisfy minimum regulatory capital levels;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Federal Reserve;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or impact of climate change or natural or man-made disasters or calamities, such as wildfires, droughts, and earthquakes;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that are discussed in the section entitled “Management’s Discussion and Analysis of Financial Condition and Results of Operations.”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2022 Annual Report on Form 10-K and our Quarterly Reports on Form 10-Q for the three months ended March 31, 2023 and June 30, 2023,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and one loan production office.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September 30, 2023, we had total assets of $3.5 billion, total loans held for investment, net of allowance for credit losses, of $3.0 billion, and total deposits of $3.0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2022 Annual Report on Form 10-K and the notes thereto.</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2022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2022 Annual Report on Form 10-K.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for the three and nine months ended September 30, 2023 totaled $11.0 million and $36.9 million, respectively, compared to net income of $11.7 million and $31.5 million for the three and nine months ended September 30,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of our operating and financial performance, and financial condition for the dates and periods presented:</w:t>
      </w:r>
    </w:p>
    <w:p>
      <w:pPr>
        <w:spacing w:after="0" w:line="225" w:lineRule="exact"/>
        <w:rPr>
          <w:sz w:val="20"/>
          <w:szCs w:val="20"/>
          <w:color w:val="auto"/>
        </w:rPr>
      </w:pPr>
    </w:p>
    <w:p>
      <w:pPr>
        <w:jc w:val="both"/>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Deposits. </w:t>
      </w:r>
      <w:r>
        <w:rPr>
          <w:rFonts w:ascii="Arial" w:cs="Arial" w:eastAsia="Arial" w:hAnsi="Arial"/>
          <w:sz w:val="18"/>
          <w:szCs w:val="18"/>
          <w:color w:val="auto"/>
        </w:rPr>
        <w:t>Total deposits increased by $250.2 million from $2.8 billion at December 31, 2022 to $3.0 billion at September 30, 2023. Non-brokered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increased by $300.2 million in the first nine months of 2023 to $3.0 billion. Non-interest-bearing deposits decreased by $135.3 million in the first nine months of 2023 to $833.4 million, and represented 27.49% of total deposits at September 30, 2023, as compared to 34.82% of total deposits at December 31, 2022. Total deposit increases were primarily attributable to an increase in the number of new deposit relationships, as well as normal fluctuations in some of our large existing accounts. Our loan to deposit ratio was 99.57% at September 30, 2023, as compared to 100.67% at December 31, 2022.</w:t>
      </w:r>
    </w:p>
    <w:p>
      <w:pPr>
        <w:spacing w:after="0" w:line="19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were $3.5 billion at September 30, 2023, representing a $277.9 million, or 8.61%, increase compared to $3.2 billion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Loans. </w:t>
      </w:r>
      <w:r>
        <w:rPr>
          <w:rFonts w:ascii="Arial" w:cs="Arial" w:eastAsia="Arial" w:hAnsi="Arial"/>
          <w:sz w:val="16"/>
          <w:szCs w:val="16"/>
          <w:color w:val="auto"/>
        </w:rPr>
        <w:t>Total loans held for investment were $3.0 billion at September 30, 2023, compared to $2.8 billion at December 31, 2022, an increase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$218.6 million, or 7.83%. The increase was primarily attributable to increases of $204.9 million in commercial real estate loans, $8.0 million in commercial land and development loans, $7.2 million in residential construction loans, and $6.7 million in commercial construction loans.</w:t>
      </w:r>
    </w:p>
    <w:p>
      <w:pPr>
        <w:spacing w:after="0" w:line="148"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Quality. </w:t>
      </w:r>
      <w:r>
        <w:rPr>
          <w:rFonts w:ascii="Arial" w:cs="Arial" w:eastAsia="Arial" w:hAnsi="Arial"/>
          <w:sz w:val="16"/>
          <w:szCs w:val="16"/>
          <w:color w:val="auto"/>
        </w:rPr>
        <w:t>Credit quality remains strong, with non-accrual loans representing $2.0 million, or 0.07% of total loans held for investment,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2023, as compared to $0.4 million, or 0.01% of total loans held for investment, at December 31, 2022. The ratio of allowance for credit losses to total loans held for investment, or total loans at period end, was 1.13% at September 30, 2023 and 1.02% at December 31, 2022.</w:t>
      </w:r>
    </w:p>
    <w:p>
      <w:pPr>
        <w:spacing w:after="0" w:line="148"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Interest Margin. </w:t>
      </w:r>
      <w:r>
        <w:rPr>
          <w:rFonts w:ascii="Arial" w:cs="Arial" w:eastAsia="Arial" w:hAnsi="Arial"/>
          <w:sz w:val="18"/>
          <w:szCs w:val="18"/>
          <w:color w:val="auto"/>
        </w:rPr>
        <w:t>Net interest margin was 3.31% and 3.50% for the three and nine months ended September 30, 2023, respectively, and 3.86%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3.73% for the three and nine months ended September 30, 2022, respectively. The decrease in net interest margin for the both the three and nine months ended September 30, 2023 compared to the three and nine months ended September 30, 2022 was primarily due to an increase in deposit costs more than offsetting increases in yields on earning assets, as the effective Federal Funds rate increased from 3.08% at September 30, 2022 to 5.33% at September 30, 2023.</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Efficiency Ratio. </w:t>
      </w:r>
      <w:r>
        <w:rPr>
          <w:rFonts w:ascii="Arial" w:cs="Arial" w:eastAsia="Arial" w:hAnsi="Arial"/>
          <w:sz w:val="18"/>
          <w:szCs w:val="18"/>
          <w:color w:val="auto"/>
        </w:rPr>
        <w:t>Efficiency ratio was 41.63% for the three months ended September 30, 2023, up from 35.13% for the corresponding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Additionally, efficiency ratio was 39.11% for the nine months ended September 30, 2023, up from 37.68% for the corresponding period of 2022.</w:t>
      </w:r>
    </w:p>
    <w:p>
      <w:pPr>
        <w:spacing w:after="0" w:line="183"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Capital Ratios</w:t>
      </w:r>
      <w:r>
        <w:rPr>
          <w:rFonts w:ascii="Arial" w:cs="Arial" w:eastAsia="Arial" w:hAnsi="Arial"/>
          <w:sz w:val="17"/>
          <w:szCs w:val="17"/>
          <w:color w:val="auto"/>
        </w:rPr>
        <w:t>. All capital ratios were above well-capitalized regulatory thresholds as of September 30, 2023. The total risk-based capital ratio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was 12.37% at September 30, 2023, compared to 12.46% at December 31, 2022. The Tier 1 leverage ratio was 8.58% at September 30, 2023, as compared to 8.60% at December 31, 2022. For additional information about the regulatory capital requirements applicable to the Company and the Bank, see the section entitled “—Financial Condition Summary—Capital Adequacy” below.</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board of directors declared a cash dividend of $0.20 per share on July 20,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Highlights of our financial results are presented in the following tables: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September 30, 2023</w:t>
            </w:r>
          </w:p>
        </w:tc>
        <w:tc>
          <w:tcPr>
            <w:tcW w:w="12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 2022</w:t>
            </w:r>
          </w:p>
        </w:tc>
      </w:tr>
      <w:tr>
        <w:trPr>
          <w:trHeight w:val="223"/>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3,505,040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3,227,159</w:t>
            </w:r>
          </w:p>
        </w:tc>
      </w:tr>
      <w:tr>
        <w:trPr>
          <w:trHeight w:val="23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3,009,930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2,791,326</w:t>
            </w:r>
          </w:p>
        </w:tc>
      </w:tr>
      <w:tr>
        <w:trPr>
          <w:trHeight w:val="229"/>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Total deposits</w:t>
            </w: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3,032,210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2,782,004</w:t>
            </w:r>
          </w:p>
        </w:tc>
      </w:tr>
      <w:tr>
        <w:trPr>
          <w:trHeight w:val="23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subordinated notes, net</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73,606</w:t>
            </w:r>
          </w:p>
        </w:tc>
      </w:tr>
      <w:tr>
        <w:trPr>
          <w:trHeight w:val="229"/>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274,024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252,825</w:t>
            </w:r>
          </w:p>
        </w:tc>
      </w:tr>
      <w:tr>
        <w:trPr>
          <w:trHeight w:val="22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 quality ratios: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Allowance for credit losses to total loans held for investment</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29"/>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Allowance for credit losses to nonperforming loans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7,026.98 %</w:t>
            </w:r>
          </w:p>
        </w:tc>
      </w:tr>
      <w:tr>
        <w:trPr>
          <w:trHeight w:val="230"/>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Nonperforming loans to total loans held for investment</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0.01 %</w:t>
            </w:r>
          </w:p>
        </w:tc>
      </w:tr>
      <w:tr>
        <w:trPr>
          <w:trHeight w:val="22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Capital ratios: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Total capital (to risk-weighted assets)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12.46 %</w:t>
            </w:r>
          </w:p>
        </w:tc>
      </w:tr>
      <w:tr>
        <w:trPr>
          <w:trHeight w:val="230"/>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Tier 1 capital (to risk-weighted assets)</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8.99 %</w:t>
            </w:r>
          </w:p>
        </w:tc>
      </w:tr>
      <w:tr>
        <w:trPr>
          <w:trHeight w:val="229"/>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Common equity Tier 1 capital (to risk-weighted assets)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8.99 %</w:t>
            </w:r>
          </w:p>
        </w:tc>
      </w:tr>
      <w:tr>
        <w:trPr>
          <w:trHeight w:val="229"/>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Tier 1 leverage</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r>
      <w:tr>
        <w:trPr>
          <w:trHeight w:val="230"/>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 to total assets</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7.83 %</w:t>
            </w:r>
          </w:p>
        </w:tc>
      </w:tr>
      <w:tr>
        <w:trPr>
          <w:trHeight w:val="229"/>
        </w:trPr>
        <w:tc>
          <w:tcPr>
            <w:tcW w:w="77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Tangible shareholders’ equity to tangible assets</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7.83 %</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360" w:type="dxa"/>
            <w:vAlign w:val="bottom"/>
          </w:tcPr>
          <w:p>
            <w:pPr>
              <w:spacing w:after="0"/>
              <w:rPr>
                <w:sz w:val="20"/>
                <w:szCs w:val="20"/>
                <w:color w:val="auto"/>
              </w:rPr>
            </w:pPr>
          </w:p>
        </w:tc>
        <w:tc>
          <w:tcPr>
            <w:tcW w:w="29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 except per share data)</w:t>
            </w:r>
          </w:p>
        </w:tc>
        <w:tc>
          <w:tcPr>
            <w:tcW w:w="17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September 30, 2023</w:t>
            </w: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2022</w:t>
            </w:r>
          </w:p>
        </w:tc>
        <w:tc>
          <w:tcPr>
            <w:tcW w:w="100" w:type="dxa"/>
            <w:vAlign w:val="bottom"/>
          </w:tcPr>
          <w:p>
            <w:pPr>
              <w:spacing w:after="0"/>
              <w:rPr>
                <w:sz w:val="19"/>
                <w:szCs w:val="19"/>
                <w:color w:val="auto"/>
              </w:rPr>
            </w:pPr>
          </w:p>
        </w:tc>
        <w:tc>
          <w:tcPr>
            <w:tcW w:w="17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7"/>
              </w:rPr>
              <w:t>September 30, 2023</w:t>
            </w: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September 30, 2022</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Net interest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27,523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84,202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73,935</w:t>
            </w:r>
          </w:p>
        </w:tc>
      </w:tr>
      <w:tr>
        <w:trPr>
          <w:trHeight w:val="23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5,450</w:t>
            </w: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Non-interest income</w:t>
            </w: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5,556</w:t>
            </w:r>
          </w:p>
        </w:tc>
      </w:tr>
      <w:tr>
        <w:trPr>
          <w:trHeight w:val="229"/>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Non-interest expense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35,112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29,952</w:t>
            </w: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11,045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11,704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36,935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31,519</w:t>
            </w:r>
          </w:p>
        </w:tc>
      </w:tr>
      <w:tr>
        <w:trPr>
          <w:trHeight w:val="257"/>
        </w:trPr>
        <w:tc>
          <w:tcPr>
            <w:tcW w:w="4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 per common share: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54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1.84</w:t>
            </w:r>
          </w:p>
        </w:tc>
      </w:tr>
      <w:tr>
        <w:trPr>
          <w:trHeight w:val="230"/>
        </w:trPr>
        <w:tc>
          <w:tcPr>
            <w:tcW w:w="4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w:t>
            </w: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Book value per share</w:t>
            </w:r>
          </w:p>
        </w:tc>
        <w:tc>
          <w:tcPr>
            <w:tcW w:w="3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13.87</w:t>
            </w: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Tangible book value per share</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13.87</w:t>
            </w:r>
          </w:p>
        </w:tc>
      </w:tr>
      <w:tr>
        <w:trPr>
          <w:trHeight w:val="257"/>
        </w:trPr>
        <w:tc>
          <w:tcPr>
            <w:tcW w:w="4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Performance and other financial ratios: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ROAA</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1.53 %</w:t>
            </w:r>
          </w:p>
        </w:tc>
      </w:tr>
      <w:tr>
        <w:trPr>
          <w:trHeight w:val="23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ROAE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17.85 %</w:t>
            </w:r>
          </w:p>
        </w:tc>
      </w:tr>
      <w:tr>
        <w:trPr>
          <w:trHeight w:val="23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funds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0.35 %</w:t>
            </w:r>
          </w:p>
        </w:tc>
      </w:tr>
      <w:tr>
        <w:trPr>
          <w:trHeight w:val="229"/>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Efficiency ratio</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37.68 %</w:t>
            </w:r>
          </w:p>
        </w:tc>
      </w:tr>
      <w:tr>
        <w:trPr>
          <w:trHeight w:val="230"/>
        </w:trPr>
        <w:tc>
          <w:tcPr>
            <w:tcW w:w="45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Cash dividend payout ratio on common stock</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24.53 %</w:t>
            </w:r>
          </w:p>
        </w:tc>
      </w:tr>
    </w:tbl>
    <w:p>
      <w:pPr>
        <w:spacing w:after="0" w:line="287" w:lineRule="exact"/>
        <w:rPr>
          <w:sz w:val="20"/>
          <w:szCs w:val="20"/>
          <w:color w:val="auto"/>
        </w:rPr>
      </w:pPr>
    </w:p>
    <w:p>
      <w:pPr>
        <w:jc w:val="both"/>
        <w:ind w:left="340" w:hanging="332"/>
        <w:spacing w:after="0" w:line="235" w:lineRule="auto"/>
        <w:tabs>
          <w:tab w:leader="none" w:pos="339"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8" w:name="page39"/>
    <w:bookmarkEnd w:id="38"/>
    <w:p>
      <w:pPr>
        <w:jc w:val="both"/>
        <w:ind w:left="332"/>
        <w:spacing w:after="0" w:line="269" w:lineRule="auto"/>
        <w:rPr>
          <w:sz w:val="20"/>
          <w:szCs w:val="20"/>
          <w:color w:val="auto"/>
        </w:rPr>
      </w:pPr>
      <w:r>
        <w:rPr>
          <w:rFonts w:ascii="Arial" w:cs="Arial" w:eastAsia="Arial" w:hAnsi="Arial"/>
          <w:sz w:val="16"/>
          <w:szCs w:val="16"/>
          <w:color w:val="auto"/>
        </w:rPr>
        <w:t>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spacing w:after="0" w:line="178" w:lineRule="exact"/>
        <w:rPr>
          <w:sz w:val="20"/>
          <w:szCs w:val="20"/>
          <w:color w:val="auto"/>
        </w:rPr>
      </w:pPr>
    </w:p>
    <w:p>
      <w:pPr>
        <w:jc w:val="both"/>
        <w:ind w:left="332" w:hanging="332"/>
        <w:spacing w:after="0" w:line="243" w:lineRule="auto"/>
        <w:tabs>
          <w:tab w:leader="none" w:pos="33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Tangible book value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98" w:lineRule="exact"/>
        <w:rPr>
          <w:sz w:val="20"/>
          <w:szCs w:val="20"/>
          <w:color w:val="auto"/>
        </w:rPr>
      </w:pPr>
    </w:p>
    <w:p>
      <w:pPr>
        <w:ind w:left="5532" w:right="2040" w:hanging="5532"/>
        <w:spacing w:after="0" w:line="905" w:lineRule="auto"/>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dividend payout ratio on common stock is calculated as dividends on common shares divided by basic earnings per common share.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-364490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of our results of operations compares the three and nine months ended September 30, 2023 to the three and nine months ended September 30, 2022. The results of operations for the three and nine months ended September 30, 2023 are not necessarily indicative of the results of operations that may be expected for the year ending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2023 compared to three months ended September 30, 2022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interest income remained consistent at $27.5 million for the three months ended September 30, 2023 and September 30, 2022 and our net interest margin of 3.31% for the three months ended September 30, 2023 decreased from 3.86% for the three months ended September 30, 2022. The contraction of our net interest margin was primarily due to the increased rates paid on interest-bearing liabilities more than offsetting the increased yields earned on interest-earning assets. These changes related to the change in the effective Federal Funds rate from 3.08% at September 30, 2022 to 5.33% at September 30, 2023. Additional detail relating to net interest margin in each period is provided below.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or rate paid for each period reported. The average balances are daily averages and include both performing and nonperforming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9"/>
              </w:rPr>
              <w:t>For the 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2023</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2022</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Interest</w:t>
            </w:r>
          </w:p>
        </w:tc>
        <w:tc>
          <w:tcPr>
            <w:tcW w:w="114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20"/>
              <w:spacing w:after="0" w:line="173" w:lineRule="exact"/>
              <w:rPr>
                <w:sz w:val="20"/>
                <w:szCs w:val="20"/>
                <w:color w:val="auto"/>
              </w:rPr>
            </w:pPr>
            <w:r>
              <w:rPr>
                <w:rFonts w:ascii="Arial" w:cs="Arial" w:eastAsia="Arial" w:hAnsi="Arial"/>
                <w:sz w:val="18"/>
                <w:szCs w:val="18"/>
                <w:b w:val="1"/>
                <w:bCs w:val="1"/>
                <w:color w:val="auto"/>
              </w:rPr>
              <w:t>Interest</w:t>
            </w:r>
          </w:p>
        </w:tc>
        <w:tc>
          <w:tcPr>
            <w:tcW w:w="114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Income/Expense</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Income/Expense</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198,751</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210,179</w:t>
            </w:r>
          </w:p>
        </w:tc>
        <w:tc>
          <w:tcPr>
            <w:tcW w:w="4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Loans held for investment and sale</w:t>
            </w:r>
            <w:r>
              <w:rPr>
                <w:rFonts w:ascii="Arial" w:cs="Arial" w:eastAsia="Arial" w:hAnsi="Arial"/>
                <w:sz w:val="23"/>
                <w:szCs w:val="23"/>
                <w:color w:val="auto"/>
                <w:vertAlign w:val="superscript"/>
              </w:rPr>
              <w:t>1,3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2,982,140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2,494,468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3,293,045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2,831,380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tcPr>
          <w:p>
            <w:pPr>
              <w:ind w:left="140"/>
              <w:spacing w:after="0" w:line="223" w:lineRule="exact"/>
              <w:rPr>
                <w:sz w:val="20"/>
                <w:szCs w:val="20"/>
                <w:color w:val="auto"/>
              </w:rPr>
            </w:pPr>
            <w:r>
              <w:rPr>
                <w:rFonts w:ascii="Arial" w:cs="Arial" w:eastAsia="Arial" w:hAnsi="Arial"/>
                <w:sz w:val="18"/>
                <w:szCs w:val="18"/>
                <w:color w:val="auto"/>
              </w:rPr>
              <w:t>Interest receivable and other assets, net</w:t>
            </w:r>
            <w:r>
              <w:rPr>
                <w:rFonts w:ascii="Arial" w:cs="Arial" w:eastAsia="Arial" w:hAnsi="Arial"/>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3,370,802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2,909,492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Interest-bearing transaction accounts</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296,230</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213,926</w:t>
            </w: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Savings accounts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134,920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103,142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Money market accounts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1,015,698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0.69 %</w:t>
            </w: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Time accounts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399,514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208,678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Subordinated debt and other borrowings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2,238,039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1,613,639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Demand accounts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Interest payable and other liabilities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3,370,802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2,909,492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46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2"/>
                <w:szCs w:val="22"/>
                <w:color w:val="auto"/>
                <w:vertAlign w:val="superscript"/>
              </w:rPr>
              <w:t>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2.31 %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04"/>
        </w:trPr>
        <w:tc>
          <w:tcPr>
            <w:tcW w:w="346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3"/>
                <w:szCs w:val="23"/>
                <w:color w:val="auto"/>
                <w:vertAlign w:val="superscript"/>
              </w:rPr>
              <w:t>6</w:t>
            </w: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27,476</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27,523</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hanging="332"/>
        <w:spacing w:after="0" w:line="227" w:lineRule="auto"/>
        <w:tabs>
          <w:tab w:leader="none" w:pos="331"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202" w:lineRule="exact"/>
        <w:rPr>
          <w:sz w:val="20"/>
          <w:szCs w:val="20"/>
          <w:color w:val="auto"/>
        </w:rPr>
      </w:pPr>
    </w:p>
    <w:p>
      <w:pPr>
        <w:ind w:left="340" w:hanging="332"/>
        <w:spacing w:after="0" w:line="227" w:lineRule="auto"/>
        <w:tabs>
          <w:tab w:leader="none" w:pos="331"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Yields on available-for-sale securities are calculated based on fair value. Investment security interest is earned on a 30/360 day basis monthly. Yields are not calculated on a tax-equivalent basis.</w:t>
      </w:r>
    </w:p>
    <w:p>
      <w:pPr>
        <w:spacing w:after="0" w:line="202" w:lineRule="exact"/>
        <w:rPr>
          <w:sz w:val="20"/>
          <w:szCs w:val="20"/>
          <w:color w:val="auto"/>
        </w:rPr>
      </w:pPr>
    </w:p>
    <w:p>
      <w:pPr>
        <w:ind w:left="340" w:hanging="332"/>
        <w:spacing w:after="0" w:line="238" w:lineRule="auto"/>
        <w:tabs>
          <w:tab w:leader="none" w:pos="331"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51"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37" w:lineRule="exact"/>
        <w:rPr>
          <w:sz w:val="20"/>
          <w:szCs w:val="20"/>
          <w:color w:val="auto"/>
        </w:rPr>
      </w:pPr>
    </w:p>
    <w:p>
      <w:pPr>
        <w:ind w:left="20" w:hanging="8"/>
        <w:spacing w:after="0" w:line="277" w:lineRule="auto"/>
        <w:rPr>
          <w:sz w:val="20"/>
          <w:szCs w:val="20"/>
          <w:color w:val="auto"/>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51" w:right="339" w:bottom="1440" w:gutter="0" w:footer="0" w:header="0"/>
          <w:type w:val="continuous"/>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1" w:name="page42"/>
    <w:bookmarkEnd w:id="41"/>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17"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For the three months ended</w:t>
      </w:r>
    </w:p>
    <w:p>
      <w:pPr>
        <w:jc w:val="center"/>
        <w:ind w:left="6260"/>
        <w:spacing w:after="0" w:line="219" w:lineRule="auto"/>
        <w:rPr>
          <w:sz w:val="20"/>
          <w:szCs w:val="20"/>
          <w:color w:val="auto"/>
        </w:rPr>
      </w:pPr>
      <w:r>
        <w:rPr>
          <w:rFonts w:ascii="Arial" w:cs="Arial" w:eastAsia="Arial" w:hAnsi="Arial"/>
          <w:sz w:val="18"/>
          <w:szCs w:val="18"/>
          <w:b w:val="1"/>
          <w:bCs w:val="1"/>
          <w:color w:val="auto"/>
        </w:rPr>
        <w:t>September 30, 2023 compared to</w:t>
      </w:r>
    </w:p>
    <w:p>
      <w:pPr>
        <w:ind w:left="7080"/>
        <w:spacing w:after="0"/>
        <w:rPr>
          <w:sz w:val="20"/>
          <w:szCs w:val="20"/>
          <w:color w:val="auto"/>
        </w:rPr>
      </w:pPr>
      <w:r>
        <w:rPr>
          <w:rFonts w:ascii="Arial" w:cs="Arial" w:eastAsia="Arial" w:hAnsi="Arial"/>
          <w:sz w:val="18"/>
          <w:szCs w:val="18"/>
          <w:b w:val="1"/>
          <w:bCs w:val="1"/>
          <w:color w:val="auto"/>
        </w:rPr>
        <w:t>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4445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Increase</w:t>
            </w:r>
          </w:p>
        </w:tc>
      </w:tr>
      <w:tr>
        <w:trPr>
          <w:trHeight w:val="241"/>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Yield/Rate</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(Decrease)</w:t>
            </w:r>
          </w:p>
        </w:tc>
      </w:tr>
      <w:tr>
        <w:trPr>
          <w:trHeight w:val="25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deposits with banks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11,975</w:t>
            </w:r>
          </w:p>
        </w:tc>
      </w:tr>
      <w:tr>
        <w:trPr>
          <w:trHeight w:val="25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13,452</w:t>
            </w:r>
          </w:p>
        </w:tc>
      </w:tr>
      <w:tr>
        <w:trPr>
          <w:trHeight w:val="25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6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4,141</w:t>
            </w:r>
          </w:p>
        </w:tc>
      </w:tr>
      <w:tr>
        <w:trPr>
          <w:trHeight w:val="25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Subordinated debt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13,499</w:t>
            </w:r>
          </w:p>
        </w:tc>
      </w:tr>
      <w:tr>
        <w:trPr>
          <w:trHeight w:val="281"/>
        </w:trPr>
        <w:tc>
          <w:tcPr>
            <w:tcW w:w="6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decreased $47.0 thousand, and net interest margin decreased 55 basis points for the three months ended September 30, 2023 compared to the same quarter of the prior year. The decrease in net interest income is primarily attributable to an additional $13.6 million in deposit interest expense due to increases in interest rates and average balances as compared to the same quarter of the prior year. The cost of interest-bearing deposits increased 228 basis points as compared to the same quarter of the prior year, while average balances increased 40.06%. In addition, the average balance of non-interest-bearing deposits decreased by $216.0 million as compared to the same quarter of the prior year. The increase in deposit interest expense was partially offset by an increase in total interest income of $13.5 million, as compared to the same quarter of the prior year. Average loan yields increased 82 basis points as compared to the same quarter of the prior year, while average balances increased 19.55%.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2023 compared to nine months ended September 30, 2022</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interest income increased by $10.3 million, or 13.89%, for the nine months ended September 30, 2023 as compared to the nine months ended September 30, 2022, while our net interest margin decreased 23 basis points during the same period. The contraction of our net interest margin was primarily due to the increased rates paid on interest-bearing liabilities more than offsetting the increased yields earned on interest-earning assets, relating to changes in the effective Federal Funds rate in each period. Additional detail relating to net interest margin in each period is provided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or rate paid for each period reported. The average balances are daily averages and include both performing and nonperforming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For the nine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4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For the nine months ended</w:t>
            </w: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2023</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September 30, 2022</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Interest</w:t>
            </w:r>
          </w:p>
        </w:tc>
        <w:tc>
          <w:tcPr>
            <w:tcW w:w="114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w w:val="98"/>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20"/>
              <w:spacing w:after="0" w:line="173" w:lineRule="exact"/>
              <w:rPr>
                <w:sz w:val="20"/>
                <w:szCs w:val="20"/>
                <w:color w:val="auto"/>
              </w:rPr>
            </w:pPr>
            <w:r>
              <w:rPr>
                <w:rFonts w:ascii="Arial" w:cs="Arial" w:eastAsia="Arial" w:hAnsi="Arial"/>
                <w:sz w:val="18"/>
                <w:szCs w:val="18"/>
                <w:b w:val="1"/>
                <w:bCs w:val="1"/>
                <w:color w:val="auto"/>
              </w:rPr>
              <w:t>Interest</w:t>
            </w:r>
          </w:p>
        </w:tc>
        <w:tc>
          <w:tcPr>
            <w:tcW w:w="1140" w:type="dxa"/>
            <w:vAlign w:val="bottom"/>
          </w:tcPr>
          <w:p>
            <w:pPr>
              <w:jc w:val="right"/>
              <w:ind w:right="170"/>
              <w:spacing w:after="0" w:line="173"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34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Income/Expense</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Balance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Income/Expense</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192,976</w:t>
            </w:r>
          </w:p>
        </w:tc>
        <w:tc>
          <w:tcPr>
            <w:tcW w:w="3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280,994</w:t>
            </w:r>
          </w:p>
        </w:tc>
        <w:tc>
          <w:tcPr>
            <w:tcW w:w="4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Loans held for investment and sale</w:t>
            </w:r>
            <w:r>
              <w:rPr>
                <w:rFonts w:ascii="Arial" w:cs="Arial" w:eastAsia="Arial" w:hAnsi="Arial"/>
                <w:sz w:val="23"/>
                <w:szCs w:val="23"/>
                <w:color w:val="auto"/>
                <w:vertAlign w:val="superscript"/>
              </w:rPr>
              <w:t>1,3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2,911,397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119,284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2,234,958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4.60 %</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3,220,257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tcPr>
          <w:p>
            <w:pPr>
              <w:ind w:left="140"/>
              <w:spacing w:after="0" w:line="223" w:lineRule="exact"/>
              <w:rPr>
                <w:sz w:val="20"/>
                <w:szCs w:val="20"/>
                <w:color w:val="auto"/>
              </w:rPr>
            </w:pPr>
            <w:r>
              <w:rPr>
                <w:rFonts w:ascii="Arial" w:cs="Arial" w:eastAsia="Arial" w:hAnsi="Arial"/>
                <w:sz w:val="18"/>
                <w:szCs w:val="18"/>
                <w:color w:val="auto"/>
              </w:rPr>
              <w:t>Interest receivable and other assets, net</w:t>
            </w:r>
            <w:r>
              <w:rPr>
                <w:rFonts w:ascii="Arial" w:cs="Arial" w:eastAsia="Arial" w:hAnsi="Arial"/>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3,294,441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2,760,822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Interest-bearing transaction accounts</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320,013</w:t>
            </w: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248,540</w:t>
            </w:r>
          </w:p>
        </w:tc>
        <w:tc>
          <w:tcPr>
            <w:tcW w:w="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Savings accounts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96,986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Money market accounts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Time accounts</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357,433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12,213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170,912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0.92 %</w:t>
            </w: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Subordinated debt and other borrowings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94,923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6.75 %</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interest-bearing liabilities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2,150,886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1,532,959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Demand accounts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Interest payable and other liabilities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264,064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3,294,441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2,760,822</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46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2"/>
                <w:szCs w:val="22"/>
                <w:color w:val="auto"/>
                <w:vertAlign w:val="superscript"/>
              </w:rPr>
              <w:t>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2.58 %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3"/>
                <w:szCs w:val="23"/>
                <w:color w:val="auto"/>
                <w:vertAlign w:val="superscript"/>
              </w:rPr>
              <w:t>6</w:t>
            </w: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84,202</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73,935</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hanging="332"/>
        <w:spacing w:after="0" w:line="227" w:lineRule="auto"/>
        <w:tabs>
          <w:tab w:leader="none" w:pos="331"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202" w:lineRule="exact"/>
        <w:rPr>
          <w:sz w:val="20"/>
          <w:szCs w:val="20"/>
          <w:color w:val="auto"/>
        </w:rPr>
      </w:pPr>
    </w:p>
    <w:p>
      <w:pPr>
        <w:ind w:left="340" w:hanging="332"/>
        <w:spacing w:after="0" w:line="227" w:lineRule="auto"/>
        <w:tabs>
          <w:tab w:leader="none" w:pos="331"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Yields on available-for-sale securities are calculated based on fair value. Investment security interest is earned on a 30/360 day basis monthly. Yields are not calculated on a tax-equivalent basis.</w:t>
      </w:r>
    </w:p>
    <w:p>
      <w:pPr>
        <w:spacing w:after="0" w:line="202" w:lineRule="exact"/>
        <w:rPr>
          <w:sz w:val="20"/>
          <w:szCs w:val="20"/>
          <w:color w:val="auto"/>
        </w:rPr>
      </w:pPr>
    </w:p>
    <w:p>
      <w:pPr>
        <w:ind w:left="340" w:hanging="332"/>
        <w:spacing w:after="0" w:line="238" w:lineRule="auto"/>
        <w:tabs>
          <w:tab w:leader="none" w:pos="331"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51"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37" w:lineRule="exact"/>
        <w:rPr>
          <w:sz w:val="20"/>
          <w:szCs w:val="20"/>
          <w:color w:val="auto"/>
        </w:rPr>
      </w:pPr>
    </w:p>
    <w:p>
      <w:pPr>
        <w:ind w:left="20" w:hanging="8"/>
        <w:spacing w:after="0" w:line="277" w:lineRule="auto"/>
        <w:rPr>
          <w:sz w:val="20"/>
          <w:szCs w:val="20"/>
          <w:color w:val="auto"/>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200" w:lineRule="exact"/>
        <w:rPr>
          <w:sz w:val="20"/>
          <w:szCs w:val="20"/>
          <w:color w:val="auto"/>
        </w:rPr>
      </w:pPr>
    </w:p>
    <w:p>
      <w:pPr>
        <w:sectPr>
          <w:pgSz w:w="11900" w:h="16838" w:orient="portrait"/>
          <w:cols w:equalWidth="0" w:num="2">
            <w:col w:w="60" w:space="260"/>
            <w:col w:w="10920"/>
          </w:cols>
          <w:pgMar w:left="320" w:top="1151" w:right="339" w:bottom="1440" w:gutter="0" w:footer="0" w:header="0"/>
          <w:type w:val="continuous"/>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3" w:name="page44"/>
    <w:bookmarkEnd w:id="43"/>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17"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For the nine months ended</w:t>
      </w:r>
    </w:p>
    <w:p>
      <w:pPr>
        <w:jc w:val="center"/>
        <w:ind w:left="6260"/>
        <w:spacing w:after="0" w:line="219" w:lineRule="auto"/>
        <w:rPr>
          <w:sz w:val="20"/>
          <w:szCs w:val="20"/>
          <w:color w:val="auto"/>
        </w:rPr>
      </w:pPr>
      <w:r>
        <w:rPr>
          <w:rFonts w:ascii="Arial" w:cs="Arial" w:eastAsia="Arial" w:hAnsi="Arial"/>
          <w:sz w:val="18"/>
          <w:szCs w:val="18"/>
          <w:b w:val="1"/>
          <w:bCs w:val="1"/>
          <w:color w:val="auto"/>
        </w:rPr>
        <w:t>September 30, 2023 compared to</w:t>
      </w:r>
    </w:p>
    <w:p>
      <w:pPr>
        <w:ind w:left="7120"/>
        <w:spacing w:after="0"/>
        <w:rPr>
          <w:sz w:val="20"/>
          <w:szCs w:val="20"/>
          <w:color w:val="auto"/>
        </w:rPr>
      </w:pPr>
      <w:r>
        <w:rPr>
          <w:rFonts w:ascii="Arial" w:cs="Arial" w:eastAsia="Arial" w:hAnsi="Arial"/>
          <w:sz w:val="18"/>
          <w:szCs w:val="18"/>
          <w:b w:val="1"/>
          <w:bCs w:val="1"/>
          <w:color w:val="auto"/>
        </w:rPr>
        <w:t>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4445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Total Increase</w:t>
            </w:r>
          </w:p>
        </w:tc>
      </w:tr>
      <w:tr>
        <w:trPr>
          <w:trHeight w:val="248"/>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Yield/Rate</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(Decrease)</w:t>
            </w:r>
          </w:p>
        </w:tc>
      </w:tr>
      <w:tr>
        <w:trPr>
          <w:trHeight w:val="25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deposits with banks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5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42,407</w:t>
            </w:r>
          </w:p>
        </w:tc>
      </w:tr>
      <w:tr>
        <w:trPr>
          <w:trHeight w:val="25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47,686</w:t>
            </w:r>
          </w:p>
        </w:tc>
      </w:tr>
      <w:tr>
        <w:trPr>
          <w:trHeight w:val="256"/>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2,054</w:t>
            </w:r>
          </w:p>
        </w:tc>
      </w:tr>
      <w:tr>
        <w:trPr>
          <w:trHeight w:val="263"/>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20,283</w:t>
            </w:r>
          </w:p>
        </w:tc>
      </w:tr>
      <w:tr>
        <w:trPr>
          <w:trHeight w:val="25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11,034</w:t>
            </w:r>
          </w:p>
        </w:tc>
      </w:tr>
      <w:tr>
        <w:trPr>
          <w:trHeight w:val="25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Subordinated debt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50"/>
        </w:trPr>
        <w:tc>
          <w:tcPr>
            <w:tcW w:w="6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37,419</w:t>
            </w:r>
          </w:p>
        </w:tc>
      </w:tr>
      <w:tr>
        <w:trPr>
          <w:trHeight w:val="281"/>
        </w:trPr>
        <w:tc>
          <w:tcPr>
            <w:tcW w:w="6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interest income increased by 13.89%, while net interest margin decreased 23 basis points for the nine months ended September 30, 2023 as compared to the nine months ended September 30, 2022. The increase in net interest income is primarily attributable to an additional $42.4 million in interest income on loans due to increases in interest rates and average balances as compared to the same period of the prior year. The average yield on loans increased 88 basis points as compared to the same period of the prior year, while average balances increased $676.4 million, or 30.27%. The cost of interest-bearing deposits increased 219 basis points as compared to the same period of the prior year due to increases in interest rates and an increase in average balances of $566.6 million, or 38.04%. In addition, the average balance of non-interest-bearing deposits decreased by $126.3 million, or 12.91%, as compared to the same period of the prior year. While the increase in total interest income more than offset the increase in total interest expense, net interest income relative to interest-earning assets decreased as compared to the same period of the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Beginning January 1, 2023, we adopted ASC 326, which replaced the former “incurred loss” model for recognizing credit losses with an “expected loss” model referred to as the CECL model. The CECL allowance model calculates reserves over the life of the loan and is largely driven by portfolio characteristics, economic outlook, and other key methodology assumptions. Under the CECL model, the calculated allowance for credit losses was $5.3 million higher on January 1, 2023 than the allowance under the incurred loss model. Utilizing CECL may have an impact on our allowance for credit losses going forward and may result in a lack of comparability between the 2022 and 2023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Three months ended September 30, 2023 compared to three months ended September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$1.1 million provision for credit losses in the third quarter of 2023, as compared to a $2.3 million provision for credit losses recorded for the same period of 2022. As explained above, utilizing CECL may result in a lack of comparability between the 2022 and 2023 periods. The provision recorded is primarily due to loan growth, loan type mix, and updates in the macroeconomic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2023 compared to nine months ended September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$3.2 million provision for credit losses in the first nine months of 2023, as compared to a $5.5 million provision for credit losses for the same period of 2022. As explained above, utilizing CECL may result in a lack of comparability between the 2022 and 2023 periods. The provision recorded is primarily due to loan growth, loan type mix, and updates in the macroeconomic environment.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of service charges on deposit accounts, net gain on sale of securities, gain on sale of loans, loan-related fees, FHLB stock dividends, earnings on BOLI, and other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2023 compared to three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89"/>
              </w:rPr>
              <w:t>For the 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September 30,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19.70 %</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(27.74)%</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fees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FHLB stock dividends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80.26 %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on BOLI</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24.51 %</w:t>
            </w: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42.31 %</w:t>
            </w:r>
          </w:p>
        </w:tc>
      </w:tr>
      <w:tr>
        <w:trPr>
          <w:trHeight w:val="24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income</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The decrease in gain on sale of loans related primarily to an overall decline in the volume of loans sold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as compared to the three months ended September 30, 2022. During the three months ended September 30, 2023, approximately $7.0 million of loans were sold with an effective yield of 5.63%, as compared to approximately $10.5 million of loans sold with an effective yield of 5.20% during the three months ended September 30,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FHLB stock dividends. </w:t>
      </w:r>
      <w:r>
        <w:rPr>
          <w:rFonts w:ascii="Arial" w:cs="Arial" w:eastAsia="Arial" w:hAnsi="Arial"/>
          <w:sz w:val="18"/>
          <w:szCs w:val="18"/>
          <w:color w:val="auto"/>
        </w:rPr>
        <w:t>The increase in FHLB stock dividends was primarily due to increased yields from dividends received of 7.75%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as compared to 6.00% for the three months ended September 30,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7580" w:type="dxa"/>
            <w:vAlign w:val="bottom"/>
            <w:gridSpan w:val="7"/>
          </w:tcPr>
          <w:p>
            <w:pPr>
              <w:spacing w:after="0"/>
              <w:rPr>
                <w:sz w:val="20"/>
                <w:szCs w:val="20"/>
                <w:color w:val="auto"/>
              </w:rPr>
            </w:pPr>
            <w:r>
              <w:rPr>
                <w:rFonts w:ascii="Arial" w:cs="Arial" w:eastAsia="Arial" w:hAnsi="Arial"/>
                <w:sz w:val="18"/>
                <w:szCs w:val="18"/>
                <w:color w:val="auto"/>
              </w:rPr>
              <w:t>Nine months ended September 30, 2023 compared to nine months ended September 30, 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67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2"/>
              </w:rPr>
              <w:t>The following table details the components of non-interest income for the periods indicated.</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90"/>
              </w:rPr>
              <w:t>For the nine months ended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September 30,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10.81 %</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Net gain on sale of securities</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Loan-related fees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 stock dividends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85.84 %</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Earnings on BOLI</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21.16 %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234.93 %</w:t>
            </w:r>
          </w:p>
        </w:tc>
      </w:tr>
      <w:tr>
        <w:trPr>
          <w:trHeight w:val="223"/>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Total non-interest income</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0.34 %</w:t>
            </w:r>
          </w:p>
        </w:tc>
      </w:tr>
      <w:tr>
        <w:trPr>
          <w:trHeight w:val="21"/>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The decrease in gain on sale of loans related primarily to an overall decline in the volume and yields on loans sold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2023 compared to the nine months ended September 30, 2022. During the nine months ended September 30, 2023, approximately $30.6 million of loans were sold with an effective yield of 5.34%, as compared to approximately $36.3 million of loans sold with an effective yield of 6.33% during the nine months ended September 30,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Loan-related fees</w:t>
      </w:r>
      <w:r>
        <w:rPr>
          <w:rFonts w:ascii="Arial" w:cs="Arial" w:eastAsia="Arial" w:hAnsi="Arial"/>
          <w:sz w:val="18"/>
          <w:szCs w:val="18"/>
          <w:color w:val="auto"/>
        </w:rPr>
        <w:t>. The decrease in loan-related fees primarily related to $0.1 million of swap referral fees recognized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as compared to $0.8 million recognized in the nine months ended September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FHLB stock dividends. </w:t>
      </w:r>
      <w:r>
        <w:rPr>
          <w:rFonts w:ascii="Arial" w:cs="Arial" w:eastAsia="Arial" w:hAnsi="Arial"/>
          <w:sz w:val="18"/>
          <w:szCs w:val="18"/>
          <w:color w:val="auto"/>
        </w:rPr>
        <w:t>The increase in FHLB stock dividends was primarily due to increased yields on dividends received combined with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FHLB shares outstanding between September 30, 2022 and September 30,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resulted primarily from a $1.3 million gain recorded for distributions received from venture-backed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during the nine months ended September 30, 2023 compared to a $0.3 million gain recorded during the nine months ended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7200" w:type="dxa"/>
            <w:vAlign w:val="bottom"/>
            <w:gridSpan w:val="7"/>
          </w:tcPr>
          <w:p>
            <w:pPr>
              <w:spacing w:after="0"/>
              <w:rPr>
                <w:sz w:val="20"/>
                <w:szCs w:val="20"/>
                <w:color w:val="auto"/>
              </w:rPr>
            </w:pPr>
            <w:r>
              <w:rPr>
                <w:rFonts w:ascii="Arial" w:cs="Arial" w:eastAsia="Arial" w:hAnsi="Arial"/>
                <w:sz w:val="18"/>
                <w:szCs w:val="18"/>
                <w:color w:val="auto"/>
                <w:w w:val="92"/>
              </w:rPr>
              <w:t>Three months ended September 30, 2023 compared to three months ended September 30, 2022</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68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2"/>
              </w:rPr>
              <w:t>The following table details the components of non-interest expense for the periods indicated.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gridSpan w:val="6"/>
          </w:tcPr>
          <w:p>
            <w:pPr>
              <w:ind w:left="24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58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0"/>
              </w:rPr>
              <w:t>September 30,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21.81 %</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8.93 %</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processing and software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27.98 %</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FDIC insurance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92.31 %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Advertising and promotional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4.49 %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expenses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31.68 %</w:t>
            </w: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10.25 %</w:t>
            </w:r>
          </w:p>
        </w:tc>
      </w:tr>
      <w:tr>
        <w:trPr>
          <w:trHeight w:val="24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The increase in salaries and employee benefits was primarily a result of: (i) a $0.8 million increase in salaries,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benefits as a result of a 8.72% increase in headcount during the three months ended September 30, 2023, as compared to the three months ended September 30, 2022 and (ii) a $0.8 million decrease in loan origination costs due to lower loan production period-over-period. These increases were partially offset by $0.4 million of lower commission expenses due to lower loan production during the three months ended September 30, 2023, as compared to the three months ended September 30,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Data processing and software. </w:t>
      </w:r>
      <w:r>
        <w:rPr>
          <w:rFonts w:ascii="Arial" w:cs="Arial" w:eastAsia="Arial" w:hAnsi="Arial"/>
          <w:sz w:val="18"/>
          <w:szCs w:val="18"/>
          <w:color w:val="auto"/>
        </w:rPr>
        <w:t>The increase in data processing and software expense was primarily due to: (i) increased usage of our digital banking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(ii) higher transaction volumes related to the increased number of loan and deposit accounts; and (iii) an increased number of licenses required for new users on our loan origination and documentation system.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FDIC insurance. </w:t>
      </w:r>
      <w:r>
        <w:rPr>
          <w:rFonts w:ascii="Arial" w:cs="Arial" w:eastAsia="Arial" w:hAnsi="Arial"/>
          <w:sz w:val="18"/>
          <w:szCs w:val="18"/>
          <w:color w:val="auto"/>
        </w:rPr>
        <w:t>The increase related primarily to a final rule adopted by the FDIC to increase initial base deposit insurance assessment rates for insured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depository institutions by two basis points, beginning with the first quarterly assessment period of 2023. FDIC insurance also increased for the three months ended September 30, 2023 compared to the three months ended September 30, 2022, due to a $320.8 million increase in the assessment base period-over-period.</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The increase in other operating expenses was primarily due to a $0.1 million increase in IntraFi Network fees resulting from an</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increase in balances carried in the network. The remainder of the increase related to an overall increase in travel, conference fees, and professional membership fees during the three months ended September 30, 2023, as compared to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540" w:type="dxa"/>
            <w:vAlign w:val="bottom"/>
            <w:gridSpan w:val="7"/>
          </w:tcPr>
          <w:p>
            <w:pPr>
              <w:spacing w:after="0"/>
              <w:rPr>
                <w:sz w:val="20"/>
                <w:szCs w:val="20"/>
                <w:color w:val="auto"/>
              </w:rPr>
            </w:pPr>
            <w:r>
              <w:rPr>
                <w:rFonts w:ascii="Arial" w:cs="Arial" w:eastAsia="Arial" w:hAnsi="Arial"/>
                <w:sz w:val="18"/>
                <w:szCs w:val="18"/>
                <w:color w:val="auto"/>
                <w:w w:val="99"/>
              </w:rPr>
              <w:t>Nine months ended September 30, 2023 compared to nine months ended September 30, 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53"/>
        </w:trPr>
        <w:tc>
          <w:tcPr>
            <w:tcW w:w="67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1"/>
              </w:rPr>
              <w:t>The following table details the components of non-interest expense for the periods indicated.</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73"/>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w w:val="89"/>
              </w:rPr>
              <w:t>For the nine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0"/>
              </w:rPr>
              <w:t>September 30, 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18.03 %</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Occupancy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5.62 %</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processing and software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29.00 %</w:t>
            </w: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FDIC insurance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96.20 %</w:t>
            </w:r>
          </w:p>
        </w:tc>
      </w:tr>
      <w:tr>
        <w:trPr>
          <w:trHeight w:val="22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0.16 %</w:t>
            </w: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Advertising and promotional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25.82 %</w:t>
            </w: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10.06 %</w:t>
            </w:r>
          </w:p>
        </w:tc>
      </w:tr>
      <w:tr>
        <w:trPr>
          <w:trHeight w:val="24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The increase in salaries and employee benefits was primarily a result of: (i) a $2.1 million increase in salaries,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benefits as a result of a 8.72% increase in headcount; (ii) a $1.9 million decrease in loan origination costs due to lower loan production period-over-period; and (iii) a $0.3 million increase in bonus expense during the nine months ended September 30, 2023, as compared to the nine months ended September 30, 2022. These increases were partially offset by a reduction of $1.4 million of commission expenses for the nine months ended September 30, 2023, as compared to the nine months ended September 30,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Data processing and software. </w:t>
      </w:r>
      <w:r>
        <w:rPr>
          <w:rFonts w:ascii="Arial" w:cs="Arial" w:eastAsia="Arial" w:hAnsi="Arial"/>
          <w:sz w:val="18"/>
          <w:szCs w:val="18"/>
          <w:color w:val="auto"/>
        </w:rPr>
        <w:t>The increase in data processing and software was primarily due to: (i) increased usage of our digital banking platform; (ii)</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transaction volumes related to the increased number of loan and deposit accounts; and (iii) an increased number of licenses required for new users on our loan origination and documentation system.</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FDIC insurance. </w:t>
      </w:r>
      <w:r>
        <w:rPr>
          <w:rFonts w:ascii="Arial" w:cs="Arial" w:eastAsia="Arial" w:hAnsi="Arial"/>
          <w:sz w:val="18"/>
          <w:szCs w:val="18"/>
          <w:color w:val="auto"/>
        </w:rPr>
        <w:t>The increase related primarily to a final rule adopted by the FDIC to increase initial base deposit insurance assessment rates for insured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depository institutions by two basis points, beginning with the first quarterly assessment period of 2023. FDIC insurance also increased for the nine months ended September 30, 2023 compared to the nine months ended September 30, 2022, due to a $320.8 million increase in the assessment base period-over-period.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Advertising and promotional. </w:t>
      </w:r>
      <w:r>
        <w:rPr>
          <w:rFonts w:ascii="Arial" w:cs="Arial" w:eastAsia="Arial" w:hAnsi="Arial"/>
          <w:sz w:val="18"/>
          <w:szCs w:val="18"/>
          <w:color w:val="auto"/>
        </w:rPr>
        <w:t>The increase in advertising and promotional costs was primarily due to an increased customer base and a 28.57%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Business Development Officers from 21 as of September 30, 2022 to 27 as of September 30,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The increase in other operating expenses was primarily due to a $0.2 million increase in travel and a $0.2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IntraFi Network fees resulting from an overall increase in balances carried in the network during the nine months ended September 30, 2023, as compared to the nine months ended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2023 compared to three months ended September 30, 2022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provision for income taxes was $4.8 million for the three months ended September 30, 2023, compared to $4.8 million for the three months ended September 30, 2022. There was a decline in the provision due to an overall decrease in pre-tax income period-over-period, which was partially offset by a $0.2 million adjustment to the provision recorded during the three months ended September 30, 2023 to true-up the year-to-date effective tax rate. The effective income tax rates for the three months ended September 30, 2023 and 2022 were 30.07% and 29.21%,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2023 compared to nine months ended September 30, 2022</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provision for income taxes was $14.5 million for the nine months ended September 30, 2023, compared to $12.6 million for the nine months ended September 30, 2022. The increase was primarily due to an overall increase in pre-tax</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income period-over-period, which was partially offset by a $0.5 million state tax benefit recorded during the nine months ended September 30, 2023 relating to an overall reduction in the state tax blended rate for the Company since its transition to a C Corporation. The effective tax rates for the nine months ended September 30, 2023 and 2022 were 28.23% and 28.51%,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discussion compares our financial condition as of September 30, 2023 to our financial condition as of December 31, 2022. The following table summarizes selected components of our unaudited consolidated balance sheets as of September 30, 2023 and December 31, 2022.</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September 30, 2023</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2022</w:t>
            </w: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3,505,040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3,227,159</w:t>
            </w:r>
          </w:p>
        </w:tc>
      </w:tr>
      <w:tr>
        <w:trPr>
          <w:trHeight w:val="229"/>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323,548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259,991</w:t>
            </w:r>
          </w:p>
        </w:tc>
      </w:tr>
      <w:tr>
        <w:trPr>
          <w:trHeight w:val="23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119,744</w:t>
            </w:r>
          </w:p>
        </w:tc>
      </w:tr>
      <w:tr>
        <w:trPr>
          <w:trHeight w:val="229"/>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Loans held for investment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3,009,930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2,791,326</w:t>
            </w: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3,032,210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2,782,004</w:t>
            </w:r>
          </w:p>
        </w:tc>
      </w:tr>
      <w:tr>
        <w:trPr>
          <w:trHeight w:val="230"/>
        </w:trPr>
        <w:tc>
          <w:tcPr>
            <w:tcW w:w="7960" w:type="dxa"/>
            <w:vAlign w:val="bottom"/>
            <w:gridSpan w:val="2"/>
          </w:tcPr>
          <w:p>
            <w:pPr>
              <w:ind w:left="20"/>
              <w:spacing w:after="0"/>
              <w:rPr>
                <w:sz w:val="20"/>
                <w:szCs w:val="20"/>
                <w:color w:val="auto"/>
              </w:rPr>
            </w:pPr>
            <w:r>
              <w:rPr>
                <w:rFonts w:ascii="Arial" w:cs="Arial" w:eastAsia="Arial" w:hAnsi="Arial"/>
                <w:sz w:val="18"/>
                <w:szCs w:val="18"/>
                <w:color w:val="auto"/>
              </w:rPr>
              <w:t>Subordinated notes, net</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73,713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73,606</w:t>
            </w:r>
          </w:p>
        </w:tc>
      </w:tr>
      <w:tr>
        <w:trPr>
          <w:trHeight w:val="22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252,825</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total assets were $3.5 billion, an increase of $277.9 million from $3.2 billion at December 31, 2022, primarily due to increases in cash and cash equivalents of $63.6 million and loans held for investment of $218.6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cash and cash equivalents were $323.5 million at September 30, 2023, an increase of $63.5 million from $260.0 million at December 31, 2022. The increase in cash and cash equivalents was primarily due to increases in deposits of $250.2 million and net income of $36.9 million, partially offset by loan originations, net of repayments, of $212.1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total securities available-for-sale and held-to-maturity amounted to $107.2 million at September 30, 2023 and $119.7 million at December 31, 2022, representing a decrease of $12.5 million period-over-period. The decrease to available-for-sale securities was primarily due to maturities, prepayments, and calls of $8.1 million and an unrealized loss on securities of $3.5 million, with the remainder of the change due to amortization of premiums. For the three months ended September 30, 2023, other comprehensive loss was $3.0 million, primarily due to rate changes and other market conditions on securities.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presents the carrying value of our investment portfolio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1420"/>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4"/>
          </w:tcPr>
          <w:p>
            <w:pPr>
              <w:ind w:left="68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19"/>
                <w:szCs w:val="19"/>
                <w:color w:val="auto"/>
              </w:rPr>
            </w:pPr>
          </w:p>
        </w:tc>
        <w:tc>
          <w:tcPr>
            <w:tcW w:w="300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of Total</w:t>
            </w: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10.46 %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11.84 %</w:t>
            </w:r>
          </w:p>
        </w:tc>
      </w:tr>
      <w:tr>
        <w:trPr>
          <w:trHeight w:val="229"/>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51.17 %</w:t>
            </w: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36,351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38,426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32.09 %</w:t>
            </w:r>
          </w:p>
        </w:tc>
      </w:tr>
      <w:tr>
        <w:trPr>
          <w:trHeight w:val="229"/>
        </w:trPr>
        <w:tc>
          <w:tcPr>
            <w:tcW w:w="4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0.33 %</w:t>
            </w:r>
          </w:p>
        </w:tc>
      </w:tr>
      <w:tr>
        <w:trPr>
          <w:trHeight w:val="229"/>
        </w:trPr>
        <w:tc>
          <w:tcPr>
            <w:tcW w:w="4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1.44 %</w:t>
            </w:r>
          </w:p>
        </w:tc>
      </w:tr>
      <w:tr>
        <w:trPr>
          <w:trHeight w:val="223"/>
        </w:trPr>
        <w:tc>
          <w:tcPr>
            <w:tcW w:w="4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available-for-sale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97.10 %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115,988</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96.87 %</w:t>
            </w:r>
          </w:p>
        </w:tc>
      </w:tr>
      <w:tr>
        <w:trPr>
          <w:trHeight w:val="250"/>
        </w:trPr>
        <w:tc>
          <w:tcPr>
            <w:tcW w:w="4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Held-to-maturity (at amortized cost):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3.13 %</w:t>
            </w:r>
          </w:p>
        </w:tc>
      </w:tr>
      <w:tr>
        <w:trPr>
          <w:trHeight w:val="248"/>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September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4"/>
          </w:tcPr>
          <w:p>
            <w:pPr>
              <w:ind w:left="60"/>
              <w:spacing w:after="0"/>
              <w:rPr>
                <w:sz w:val="20"/>
                <w:szCs w:val="20"/>
                <w:color w:val="auto"/>
              </w:rPr>
            </w:pPr>
            <w:r>
              <w:rPr>
                <w:rFonts w:ascii="Arial" w:cs="Arial" w:eastAsia="Arial" w:hAnsi="Arial"/>
                <w:sz w:val="18"/>
                <w:szCs w:val="18"/>
                <w:b w:val="1"/>
                <w:bCs w:val="1"/>
                <w:color w:val="auto"/>
              </w:rPr>
              <w:t>Due after one year</w:t>
            </w:r>
          </w:p>
        </w:tc>
        <w:tc>
          <w:tcPr>
            <w:tcW w:w="120" w:type="dxa"/>
            <w:vAlign w:val="bottom"/>
          </w:tcPr>
          <w:p>
            <w:pPr>
              <w:spacing w:after="0"/>
              <w:rPr>
                <w:sz w:val="17"/>
                <w:szCs w:val="17"/>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Due after five years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b w:val="1"/>
                <w:bCs w:val="1"/>
                <w:color w:val="auto"/>
                <w:w w:val="93"/>
              </w:rPr>
              <w:t>Due in one year or less</w:t>
            </w: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20" w:type="dxa"/>
            <w:vAlign w:val="bottom"/>
          </w:tcPr>
          <w:p>
            <w:pPr>
              <w:spacing w:after="0"/>
              <w:rPr>
                <w:sz w:val="21"/>
                <w:szCs w:val="21"/>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through ten years</w:t>
            </w:r>
          </w:p>
        </w:tc>
        <w:tc>
          <w:tcPr>
            <w:tcW w:w="140" w:type="dxa"/>
            <w:vAlign w:val="bottom"/>
          </w:tcPr>
          <w:p>
            <w:pPr>
              <w:spacing w:after="0"/>
              <w:rPr>
                <w:sz w:val="21"/>
                <w:szCs w:val="21"/>
                <w:color w:val="auto"/>
              </w:rPr>
            </w:pPr>
          </w:p>
        </w:tc>
        <w:tc>
          <w:tcPr>
            <w:tcW w:w="1760" w:type="dxa"/>
            <w:vAlign w:val="bottom"/>
            <w:gridSpan w:val="4"/>
          </w:tcPr>
          <w:p>
            <w:pPr>
              <w:ind w:left="40"/>
              <w:spacing w:after="0"/>
              <w:rPr>
                <w:sz w:val="20"/>
                <w:szCs w:val="20"/>
                <w:color w:val="auto"/>
              </w:rPr>
            </w:pPr>
            <w:r>
              <w:rPr>
                <w:rFonts w:ascii="Arial" w:cs="Arial" w:eastAsia="Arial" w:hAnsi="Arial"/>
                <w:sz w:val="18"/>
                <w:szCs w:val="18"/>
                <w:b w:val="1"/>
                <w:bCs w:val="1"/>
                <w:color w:val="auto"/>
              </w:rPr>
              <w:t>Due after ten years</w:t>
            </w:r>
          </w:p>
        </w:tc>
        <w:tc>
          <w:tcPr>
            <w:tcW w:w="100" w:type="dxa"/>
            <w:vAlign w:val="bottom"/>
          </w:tcPr>
          <w:p>
            <w:pPr>
              <w:spacing w:after="0"/>
              <w:rPr>
                <w:sz w:val="21"/>
                <w:szCs w:val="21"/>
                <w:color w:val="auto"/>
              </w:rPr>
            </w:pPr>
          </w:p>
        </w:tc>
        <w:tc>
          <w:tcPr>
            <w:tcW w:w="17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0"/>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0"/>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3"/>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w w:val="99"/>
              </w:rPr>
              <w:t>(dollars in thousands)</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250"/>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U.S. government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gridSpan w:val="2"/>
          </w:tcPr>
          <w:p>
            <w:pPr>
              <w:ind w:left="360"/>
              <w:spacing w:after="0"/>
              <w:rPr>
                <w:sz w:val="20"/>
                <w:szCs w:val="20"/>
                <w:color w:val="auto"/>
              </w:rPr>
            </w:pPr>
            <w:r>
              <w:rPr>
                <w:rFonts w:ascii="Arial" w:cs="Arial" w:eastAsia="Arial" w:hAnsi="Arial"/>
                <w:sz w:val="18"/>
                <w:szCs w:val="18"/>
                <w:color w:val="auto"/>
              </w:rPr>
              <w:t>agencies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5.34 %</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5.28 %</w:t>
            </w:r>
          </w:p>
        </w:tc>
        <w:tc>
          <w:tcPr>
            <w:tcW w:w="0" w:type="dxa"/>
            <w:vAlign w:val="bottom"/>
          </w:tcPr>
          <w:p>
            <w:pPr>
              <w:spacing w:after="0"/>
              <w:rPr>
                <w:sz w:val="1"/>
                <w:szCs w:val="1"/>
                <w:color w:val="auto"/>
              </w:rPr>
            </w:pPr>
          </w:p>
        </w:tc>
      </w:tr>
      <w:tr>
        <w:trPr>
          <w:trHeight w:val="222"/>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Mortgage-backed</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15"/>
        </w:trPr>
        <w:tc>
          <w:tcPr>
            <w:tcW w:w="1840" w:type="dxa"/>
            <w:vAlign w:val="bottom"/>
            <w:gridSpan w:val="2"/>
          </w:tcPr>
          <w:p>
            <w:pPr>
              <w:ind w:left="200"/>
              <w:spacing w:after="0"/>
              <w:rPr>
                <w:sz w:val="20"/>
                <w:szCs w:val="20"/>
                <w:color w:val="auto"/>
              </w:rPr>
            </w:pPr>
            <w:r>
              <w:rPr>
                <w:rFonts w:ascii="Arial" w:cs="Arial" w:eastAsia="Arial" w:hAnsi="Arial"/>
                <w:sz w:val="18"/>
                <w:szCs w:val="18"/>
                <w:color w:val="auto"/>
                <w:w w:val="99"/>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40" w:type="dxa"/>
            <w:vAlign w:val="bottom"/>
            <w:gridSpan w:val="2"/>
          </w:tcPr>
          <w:p>
            <w:pPr>
              <w:ind w:left="36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2"/>
        </w:trPr>
        <w:tc>
          <w:tcPr>
            <w:tcW w:w="1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Collateralized</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Total available-for-</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sale</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104,086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57"/>
        </w:trPr>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840" w:type="dxa"/>
            <w:vAlign w:val="bottom"/>
            <w:gridSpan w:val="2"/>
          </w:tcPr>
          <w:p>
            <w:pPr>
              <w:ind w:left="200"/>
              <w:spacing w:after="0"/>
              <w:rPr>
                <w:sz w:val="20"/>
                <w:szCs w:val="20"/>
                <w:color w:val="auto"/>
              </w:rPr>
            </w:pPr>
            <w:r>
              <w:rPr>
                <w:rFonts w:ascii="Arial" w:cs="Arial" w:eastAsia="Arial" w:hAnsi="Arial"/>
                <w:sz w:val="18"/>
                <w:szCs w:val="18"/>
                <w:color w:val="auto"/>
                <w:w w:val="99"/>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subdivisions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81"/>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107,190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4"/>
          </w:tcPr>
          <w:p>
            <w:pPr>
              <w:ind w:left="60"/>
              <w:spacing w:after="0"/>
              <w:rPr>
                <w:sz w:val="20"/>
                <w:szCs w:val="20"/>
                <w:color w:val="auto"/>
              </w:rPr>
            </w:pPr>
            <w:r>
              <w:rPr>
                <w:rFonts w:ascii="Arial" w:cs="Arial" w:eastAsia="Arial" w:hAnsi="Arial"/>
                <w:sz w:val="18"/>
                <w:szCs w:val="18"/>
                <w:b w:val="1"/>
                <w:bCs w:val="1"/>
                <w:color w:val="auto"/>
              </w:rPr>
              <w:t>Due after one year</w:t>
            </w:r>
          </w:p>
        </w:tc>
        <w:tc>
          <w:tcPr>
            <w:tcW w:w="120" w:type="dxa"/>
            <w:vAlign w:val="bottom"/>
          </w:tcPr>
          <w:p>
            <w:pPr>
              <w:spacing w:after="0"/>
              <w:rPr>
                <w:sz w:val="17"/>
                <w:szCs w:val="17"/>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Due after five years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b w:val="1"/>
                <w:bCs w:val="1"/>
                <w:color w:val="auto"/>
                <w:w w:val="93"/>
              </w:rPr>
              <w:t>Due in one year or less</w:t>
            </w: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20" w:type="dxa"/>
            <w:vAlign w:val="bottom"/>
          </w:tcPr>
          <w:p>
            <w:pPr>
              <w:spacing w:after="0"/>
              <w:rPr>
                <w:sz w:val="21"/>
                <w:szCs w:val="21"/>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through ten years</w:t>
            </w:r>
          </w:p>
        </w:tc>
        <w:tc>
          <w:tcPr>
            <w:tcW w:w="120" w:type="dxa"/>
            <w:vAlign w:val="bottom"/>
          </w:tcPr>
          <w:p>
            <w:pPr>
              <w:spacing w:after="0"/>
              <w:rPr>
                <w:sz w:val="21"/>
                <w:szCs w:val="21"/>
                <w:color w:val="auto"/>
              </w:rPr>
            </w:pPr>
          </w:p>
        </w:tc>
        <w:tc>
          <w:tcPr>
            <w:tcW w:w="1780" w:type="dxa"/>
            <w:vAlign w:val="bottom"/>
            <w:gridSpan w:val="4"/>
          </w:tcPr>
          <w:p>
            <w:pPr>
              <w:ind w:left="60"/>
              <w:spacing w:after="0"/>
              <w:rPr>
                <w:sz w:val="20"/>
                <w:szCs w:val="20"/>
                <w:color w:val="auto"/>
              </w:rPr>
            </w:pPr>
            <w:r>
              <w:rPr>
                <w:rFonts w:ascii="Arial" w:cs="Arial" w:eastAsia="Arial" w:hAnsi="Arial"/>
                <w:sz w:val="18"/>
                <w:szCs w:val="18"/>
                <w:b w:val="1"/>
                <w:bCs w:val="1"/>
                <w:color w:val="auto"/>
              </w:rPr>
              <w:t>Due after ten years</w:t>
            </w:r>
          </w:p>
        </w:tc>
        <w:tc>
          <w:tcPr>
            <w:tcW w:w="120" w:type="dxa"/>
            <w:vAlign w:val="bottom"/>
          </w:tcPr>
          <w:p>
            <w:pPr>
              <w:spacing w:after="0"/>
              <w:rPr>
                <w:sz w:val="21"/>
                <w:szCs w:val="21"/>
                <w:color w:val="auto"/>
              </w:rPr>
            </w:pPr>
          </w:p>
        </w:tc>
        <w:tc>
          <w:tcPr>
            <w:tcW w:w="16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87"/>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3"/>
        </w:trPr>
        <w:tc>
          <w:tcPr>
            <w:tcW w:w="184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1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Yield</w:t>
            </w:r>
          </w:p>
        </w:tc>
        <w:tc>
          <w:tcPr>
            <w:tcW w:w="1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12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Yield</w:t>
            </w:r>
          </w:p>
        </w:tc>
        <w:tc>
          <w:tcPr>
            <w:tcW w:w="1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U.S. government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2,625</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3.61 %</w:t>
            </w:r>
          </w:p>
        </w:tc>
        <w:tc>
          <w:tcPr>
            <w:tcW w:w="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10,699</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14,173</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7"/>
        </w:trPr>
        <w:tc>
          <w:tcPr>
            <w:tcW w:w="1840" w:type="dxa"/>
            <w:vAlign w:val="bottom"/>
            <w:gridSpan w:val="2"/>
          </w:tcPr>
          <w:p>
            <w:pPr>
              <w:ind w:left="360"/>
              <w:spacing w:after="0"/>
              <w:rPr>
                <w:sz w:val="20"/>
                <w:szCs w:val="20"/>
                <w:color w:val="auto"/>
              </w:rPr>
            </w:pPr>
            <w:r>
              <w:rPr>
                <w:rFonts w:ascii="Arial" w:cs="Arial" w:eastAsia="Arial" w:hAnsi="Arial"/>
                <w:sz w:val="18"/>
                <w:szCs w:val="18"/>
                <w:color w:val="auto"/>
              </w:rPr>
              <w:t>agencies</w:t>
            </w:r>
          </w:p>
        </w:tc>
        <w:tc>
          <w:tcPr>
            <w:tcW w:w="1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84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Mortgage-backed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61,269</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61,271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43"/>
        </w:trPr>
        <w:tc>
          <w:tcPr>
            <w:tcW w:w="1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2.80 %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4,761</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1.63 %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33,164</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38,426</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0"/>
        </w:trPr>
        <w:tc>
          <w:tcPr>
            <w:tcW w:w="1840" w:type="dxa"/>
            <w:vAlign w:val="bottom"/>
            <w:gridSpan w:val="2"/>
          </w:tcPr>
          <w:p>
            <w:pPr>
              <w:ind w:left="36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Collateralized</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mortgage</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162"/>
        </w:trPr>
        <w:tc>
          <w:tcPr>
            <w:tcW w:w="1840" w:type="dxa"/>
            <w:vAlign w:val="bottom"/>
            <w:gridSpan w:val="2"/>
            <w:shd w:val="clear" w:color="auto" w:fill="CCEEFF"/>
          </w:tcPr>
          <w:p>
            <w:pPr>
              <w:ind w:left="360"/>
              <w:spacing w:after="0" w:line="162" w:lineRule="exact"/>
              <w:rPr>
                <w:sz w:val="20"/>
                <w:szCs w:val="20"/>
                <w:color w:val="auto"/>
              </w:rPr>
            </w:pPr>
            <w:r>
              <w:rPr>
                <w:rFonts w:ascii="Arial" w:cs="Arial" w:eastAsia="Arial" w:hAnsi="Arial"/>
                <w:sz w:val="18"/>
                <w:szCs w:val="18"/>
                <w:color w:val="auto"/>
                <w:w w:val="97"/>
              </w:rPr>
              <w:t>Total available-for-</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105,527</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115,988</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37"/>
        </w:trPr>
        <w:tc>
          <w:tcPr>
            <w:tcW w:w="1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4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1,470</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3,756</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106,381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119,744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As of September 30, 2023 and December 31, 2022, our total loans amounted to $3.0 billion and $2.8 billion, respectively. The following table presents the balance and associated percentage of each major product type within our portfolio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As of</w:t>
            </w: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2,599,616</w:t>
            </w:r>
          </w:p>
        </w:tc>
        <w:tc>
          <w:tcPr>
            <w:tcW w:w="2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86.03 %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85.44 %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0.51 %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0.27 %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13,922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0.46 %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6,693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51,921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52,478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157,273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5.21 %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165,186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29,604</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 gross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3,012,195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99.69 %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99.66 %</w:t>
            </w: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3,021,521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2,802,882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(2,140)</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3,019,256</w:t>
            </w:r>
          </w:p>
        </w:tc>
        <w:tc>
          <w:tcPr>
            <w:tcW w:w="2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2,800,742</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$2.0 million are reviewed annually, at which time an internal assessment of collateral values is completed.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Arial" w:cs="Arial" w:eastAsia="Arial" w:hAnsi="Arial"/>
                <w:sz w:val="18"/>
                <w:szCs w:val="18"/>
                <w:b w:val="1"/>
                <w:bCs w:val="1"/>
                <w:color w:val="auto"/>
              </w:rPr>
              <w:t>% of Commercial</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Loan Balance</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Collateral Value</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Minimum LTV</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Maximum LTV</w:t>
            </w:r>
          </w:p>
        </w:tc>
      </w:tr>
      <w:tr>
        <w:trPr>
          <w:trHeight w:val="25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Manufactured home community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784,780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30.19 %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1,372,955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16.87 %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82.73 %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 Park</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336,158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579,226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82.94 %</w:t>
            </w: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271,271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10.44 %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521,575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6.99 %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74.38 %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426,282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w:t>
            </w: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178,020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469,562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8.37 %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78.98 %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416,343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83.62 %</w:t>
            </w: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Mini storage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157,724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322,569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16.64 %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70.00 %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73.63 %</w:t>
            </w:r>
          </w:p>
        </w:tc>
      </w:tr>
      <w:tr>
        <w:trPr>
          <w:trHeight w:val="256"/>
        </w:trPr>
        <w:tc>
          <w:tcPr>
            <w:tcW w:w="3260" w:type="dxa"/>
            <w:vAlign w:val="bottom"/>
            <w:tcBorders>
              <w:bottom w:val="single" w:sz="8" w:color="CCEEFF"/>
            </w:tcBorders>
            <w:gridSpan w:val="2"/>
          </w:tcPr>
          <w:p>
            <w:pPr>
              <w:ind w:left="20"/>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350,069</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714,214</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152.48 %</w:t>
            </w:r>
          </w:p>
        </w:tc>
      </w:tr>
      <w:tr>
        <w:trPr>
          <w:trHeight w:val="275"/>
        </w:trPr>
        <w:tc>
          <w:tcPr>
            <w:tcW w:w="3260" w:type="dxa"/>
            <w:vAlign w:val="bottom"/>
            <w:tcBorders>
              <w:bottom w:val="single" w:sz="8" w:color="CCEEFF"/>
            </w:tcBorders>
            <w:gridSpan w:val="2"/>
            <w:shd w:val="clear" w:color="auto" w:fill="CCEEFF"/>
          </w:tcPr>
          <w:p>
            <w:pPr>
              <w:ind w:left="180"/>
              <w:spacing w:after="0" w:line="250"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2,599,616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5,123,904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217"/>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Manufactured home community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673,891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28.14 %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1,174,642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17.10 %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78.19 %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 Park</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292,886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77.89 %</w:t>
            </w: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264,599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490,291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16.48 %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73.93 %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459,695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w:t>
            </w: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Industrial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166,403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10.77 %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75.00 %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Mini storage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70.04 %</w:t>
            </w:r>
          </w:p>
        </w:tc>
      </w:tr>
      <w:tr>
        <w:trPr>
          <w:trHeight w:val="250"/>
        </w:trPr>
        <w:tc>
          <w:tcPr>
            <w:tcW w:w="3260" w:type="dxa"/>
            <w:vAlign w:val="bottom"/>
            <w:gridSpan w:val="2"/>
          </w:tcPr>
          <w:p>
            <w:pPr>
              <w:ind w:left="20"/>
              <w:spacing w:after="0"/>
              <w:rPr>
                <w:sz w:val="20"/>
                <w:szCs w:val="20"/>
                <w:color w:val="auto"/>
              </w:rPr>
            </w:pPr>
            <w:r>
              <w:rPr>
                <w:rFonts w:ascii="Arial" w:cs="Arial" w:eastAsia="Arial" w:hAnsi="Arial"/>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146,740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383,321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73.55 %</w:t>
            </w:r>
          </w:p>
        </w:tc>
      </w:tr>
      <w:tr>
        <w:trPr>
          <w:trHeight w:val="263"/>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310,248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74.68 %</w:t>
            </w:r>
          </w:p>
        </w:tc>
      </w:tr>
      <w:tr>
        <w:trPr>
          <w:trHeight w:val="257"/>
        </w:trPr>
        <w:tc>
          <w:tcPr>
            <w:tcW w:w="3260" w:type="dxa"/>
            <w:vAlign w:val="bottom"/>
            <w:tcBorders>
              <w:bottom w:val="single" w:sz="8" w:color="CCEEFF"/>
            </w:tcBorders>
            <w:gridSpan w:val="2"/>
          </w:tcPr>
          <w:p>
            <w:pPr>
              <w:ind w:left="20"/>
              <w:spacing w:after="0" w:line="256" w:lineRule="exact"/>
              <w:rPr>
                <w:sz w:val="20"/>
                <w:szCs w:val="20"/>
                <w:color w:val="auto"/>
              </w:rPr>
            </w:pPr>
            <w:r>
              <w:rPr>
                <w:rFonts w:ascii="Arial" w:cs="Arial" w:eastAsia="Arial" w:hAnsi="Arial"/>
                <w:sz w:val="18"/>
                <w:szCs w:val="18"/>
                <w:color w:val="auto"/>
              </w:rPr>
              <w:t>All other types</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343,403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704,984</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152.96 %</w:t>
            </w:r>
          </w:p>
        </w:tc>
      </w:tr>
      <w:tr>
        <w:trPr>
          <w:trHeight w:val="275"/>
        </w:trPr>
        <w:tc>
          <w:tcPr>
            <w:tcW w:w="3260" w:type="dxa"/>
            <w:vAlign w:val="bottom"/>
            <w:tcBorders>
              <w:bottom w:val="single" w:sz="8" w:color="CCEEFF"/>
            </w:tcBorders>
            <w:gridSpan w:val="2"/>
            <w:shd w:val="clear" w:color="auto" w:fill="CCEEFF"/>
          </w:tcPr>
          <w:p>
            <w:pPr>
              <w:ind w:left="180"/>
              <w:spacing w:after="0" w:line="250"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2,394,674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4,685,333</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Types of collateral in the “all other types” category are those that individually make up less than 5.00% of the commercial real estate concentration.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51" w:right="339" w:bottom="1440" w:gutter="0" w:footer="0" w:header="0"/>
          <w:type w:val="continuous"/>
        </w:sectPr>
      </w:pPr>
    </w:p>
    <w:p>
      <w:pPr>
        <w:spacing w:after="0" w:line="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several years, we have experienced significant growth in our loan portfolio, although the relative composition of the portfolio has not changed significantly. Our primary focus remains commercial real estate lending (including commercial, commercial land and development, and commercial construction), which constitutes 90.05% of loans held for investment at September 30, 2023. Commercial secured lending represents 5.23% of loans held for investment at September 30, 2023.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682.70% and 680.34% as of September 30, 2023 and December 31, 2022, respectively. We have established internal concentration limits in the loan portfolio for commercial real estate loans by sector (e.g., manufactured home communities, self-storage, hospitality, etc.). All loan sectors were within our established limits as of September 30, 2023. Additionally, our loans are geographically concentrated with borrowers and collateral properties primarily in California.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Due in 1 year or</w:t>
            </w:r>
          </w:p>
        </w:tc>
        <w:tc>
          <w:tcPr>
            <w:tcW w:w="12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Due after 1 year</w:t>
            </w: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Due after 5 years</w:t>
            </w: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Due after 15</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through 5 years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229,286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2,257,419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65,395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2,599,616</w:t>
            </w:r>
          </w:p>
        </w:tc>
      </w:tr>
      <w:tr>
        <w:trPr>
          <w:trHeight w:val="263"/>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r>
      <w:tr>
        <w:trPr>
          <w:trHeight w:val="25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34,856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40,274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95,352</w:t>
            </w:r>
          </w:p>
        </w:tc>
      </w:tr>
      <w:tr>
        <w:trPr>
          <w:trHeight w:val="263"/>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13,922</w:t>
            </w:r>
          </w:p>
        </w:tc>
      </w:tr>
      <w:tr>
        <w:trPr>
          <w:trHeight w:val="25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25,028</w:t>
            </w:r>
          </w:p>
        </w:tc>
      </w:tr>
      <w:tr>
        <w:trPr>
          <w:trHeight w:val="263"/>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51,921</w:t>
            </w:r>
          </w:p>
        </w:tc>
      </w:tr>
      <w:tr>
        <w:trPr>
          <w:trHeight w:val="25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166,599</w:t>
            </w:r>
          </w:p>
        </w:tc>
      </w:tr>
      <w:tr>
        <w:trPr>
          <w:trHeight w:val="250"/>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23,997</w:t>
            </w:r>
          </w:p>
        </w:tc>
      </w:tr>
      <w:tr>
        <w:trPr>
          <w:trHeight w:val="25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w:t>
            </w:r>
          </w:p>
        </w:tc>
      </w:tr>
      <w:tr>
        <w:trPr>
          <w:trHeight w:val="25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344,780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2,486,265</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3,021,521</w:t>
            </w: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Due in 1 year or</w:t>
            </w: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Due after 1 year</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Due after 5 years</w:t>
            </w: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Due after 15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through 5 years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5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227,519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2,083,818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63,931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2,394,674</w:t>
            </w:r>
          </w:p>
        </w:tc>
      </w:tr>
      <w:tr>
        <w:trPr>
          <w:trHeight w:val="26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5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49,202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88,669</w:t>
            </w:r>
          </w:p>
        </w:tc>
      </w:tr>
      <w:tr>
        <w:trPr>
          <w:trHeight w:val="26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5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6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r>
      <w:tr>
        <w:trPr>
          <w:trHeight w:val="25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r>
      <w:tr>
        <w:trPr>
          <w:trHeight w:val="25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25,431</w:t>
            </w:r>
          </w:p>
        </w:tc>
      </w:tr>
      <w:tr>
        <w:trPr>
          <w:trHeight w:val="257"/>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5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352,580</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2,319,712</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68,152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2,802,882</w:t>
            </w:r>
          </w:p>
        </w:tc>
      </w:tr>
      <w:tr>
        <w:trPr>
          <w:trHeight w:val="21"/>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following table sets forth the sensitivity to interest rate changes of our loan portfolio as of September 30, 2023:</w:t>
      </w:r>
    </w:p>
    <w:p>
      <w:pPr>
        <w:sectPr>
          <w:pgSz w:w="11900" w:h="16838" w:orient="portrait"/>
          <w:cols w:equalWidth="0" w:num="1">
            <w:col w:w="11240"/>
          </w:cols>
          <w:pgMar w:left="320" w:top="1151" w:right="339" w:bottom="144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Floating or Adjustable</w:t>
            </w:r>
          </w:p>
        </w:tc>
        <w:tc>
          <w:tcPr>
            <w:tcW w:w="200" w:type="dxa"/>
            <w:vAlign w:val="bottom"/>
          </w:tcPr>
          <w:p>
            <w:pPr>
              <w:spacing w:after="0"/>
              <w:rPr>
                <w:sz w:val="17"/>
                <w:szCs w:val="17"/>
                <w:color w:val="auto"/>
              </w:rPr>
            </w:pPr>
          </w:p>
        </w:tc>
      </w:tr>
      <w:tr>
        <w:trPr>
          <w:trHeight w:val="24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Fixed Interest Rates</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Rates</w:t>
            </w:r>
          </w:p>
        </w:tc>
        <w:tc>
          <w:tcPr>
            <w:tcW w:w="200" w:type="dxa"/>
            <w:vAlign w:val="bottom"/>
          </w:tcPr>
          <w:p>
            <w:pPr>
              <w:spacing w:after="0"/>
              <w:rPr>
                <w:sz w:val="21"/>
                <w:szCs w:val="21"/>
                <w:color w:val="auto"/>
              </w:rPr>
            </w:pP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557,677</w:t>
            </w: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2,041,939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Commercial land and development</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5,388</w:t>
            </w:r>
          </w:p>
        </w:tc>
        <w:tc>
          <w:tcPr>
            <w:tcW w:w="200" w:type="dxa"/>
            <w:vAlign w:val="bottom"/>
          </w:tcPr>
          <w:p>
            <w:pPr>
              <w:spacing w:after="0"/>
              <w:rPr>
                <w:sz w:val="23"/>
                <w:szCs w:val="23"/>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93,164</w:t>
            </w:r>
          </w:p>
        </w:tc>
        <w:tc>
          <w:tcPr>
            <w:tcW w:w="200" w:type="dxa"/>
            <w:vAlign w:val="bottom"/>
          </w:tcPr>
          <w:p>
            <w:pPr>
              <w:spacing w:after="0"/>
              <w:rPr>
                <w:sz w:val="22"/>
                <w:szCs w:val="22"/>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10,009</w:t>
            </w:r>
          </w:p>
        </w:tc>
        <w:tc>
          <w:tcPr>
            <w:tcW w:w="200" w:type="dxa"/>
            <w:vAlign w:val="bottom"/>
          </w:tcPr>
          <w:p>
            <w:pPr>
              <w:spacing w:after="0"/>
              <w:rPr>
                <w:sz w:val="22"/>
                <w:szCs w:val="22"/>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23,724</w:t>
            </w:r>
          </w:p>
        </w:tc>
        <w:tc>
          <w:tcPr>
            <w:tcW w:w="200" w:type="dxa"/>
            <w:vAlign w:val="bottom"/>
          </w:tcPr>
          <w:p>
            <w:pPr>
              <w:spacing w:after="0"/>
              <w:rPr>
                <w:sz w:val="22"/>
                <w:szCs w:val="22"/>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Farmland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45,763</w:t>
            </w:r>
          </w:p>
        </w:tc>
        <w:tc>
          <w:tcPr>
            <w:tcW w:w="200" w:type="dxa"/>
            <w:vAlign w:val="bottom"/>
          </w:tcPr>
          <w:p>
            <w:pPr>
              <w:spacing w:after="0"/>
              <w:rPr>
                <w:sz w:val="22"/>
                <w:szCs w:val="22"/>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Secured</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39,054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127,545</w:t>
            </w:r>
          </w:p>
        </w:tc>
        <w:tc>
          <w:tcPr>
            <w:tcW w:w="200" w:type="dxa"/>
            <w:vAlign w:val="bottom"/>
          </w:tcPr>
          <w:p>
            <w:pPr>
              <w:spacing w:after="0"/>
              <w:rPr>
                <w:sz w:val="23"/>
                <w:szCs w:val="23"/>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7,895</w:t>
            </w:r>
          </w:p>
        </w:tc>
        <w:tc>
          <w:tcPr>
            <w:tcW w:w="200" w:type="dxa"/>
            <w:vAlign w:val="bottom"/>
          </w:tcPr>
          <w:p>
            <w:pPr>
              <w:spacing w:after="0"/>
              <w:rPr>
                <w:sz w:val="22"/>
                <w:szCs w:val="22"/>
                <w:color w:val="auto"/>
              </w:rPr>
            </w:pPr>
          </w:p>
        </w:tc>
      </w:tr>
      <w:tr>
        <w:trPr>
          <w:trHeight w:val="25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29,541</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2"/>
                <w:szCs w:val="22"/>
                <w:color w:val="auto"/>
              </w:rPr>
            </w:pPr>
          </w:p>
        </w:tc>
      </w:tr>
      <w:tr>
        <w:trPr>
          <w:trHeight w:val="25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666,031</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2,355,490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as of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32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2,599,616</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15,482</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95,352</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13,922</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25,028</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51,921</w:t>
      </w:r>
    </w:p>
    <w:p>
      <w:pPr>
        <w:spacing w:after="0" w:line="30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166,599</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23,997</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29,604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23495</wp:posOffset>
            </wp:positionV>
            <wp:extent cx="11576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3,021,521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38100</wp:posOffset>
            </wp:positionV>
            <wp:extent cx="11576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63500</wp:posOffset>
            </wp:positionV>
            <wp:extent cx="1157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9520" w:space="620"/>
            <w:col w:w="1100"/>
          </w:cols>
          <w:pgMar w:left="320" w:top="1151"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Floating or Adjustable</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3"/>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Fixed Interest 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5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5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552,206</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1,842,468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2,394,674</w:t>
            </w:r>
          </w:p>
        </w:tc>
      </w:tr>
      <w:tr>
        <w:trPr>
          <w:trHeight w:val="26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r>
      <w:tr>
        <w:trPr>
          <w:trHeight w:val="25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88,669</w:t>
            </w:r>
          </w:p>
        </w:tc>
      </w:tr>
      <w:tr>
        <w:trPr>
          <w:trHeight w:val="26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r>
      <w:tr>
        <w:trPr>
          <w:trHeight w:val="25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24,230</w:t>
            </w:r>
          </w:p>
        </w:tc>
      </w:tr>
      <w:tr>
        <w:trPr>
          <w:trHeight w:val="26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r>
      <w:tr>
        <w:trPr>
          <w:trHeight w:val="25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r>
      <w:tr>
        <w:trPr>
          <w:trHeight w:val="25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25,431</w:t>
            </w:r>
          </w:p>
        </w:tc>
      </w:tr>
      <w:tr>
        <w:trPr>
          <w:trHeight w:val="257"/>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r>
      <w:tr>
        <w:trPr>
          <w:trHeight w:val="25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649,114</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2,153,768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2,802,882</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w:t>
      </w:r>
    </w:p>
    <w:p>
      <w:pPr>
        <w:sectPr>
          <w:pgSz w:w="11900" w:h="16838" w:orient="portrait"/>
          <w:cols w:equalWidth="0" w:num="1">
            <w:col w:w="11240"/>
          </w:cols>
          <w:pgMar w:left="320" w:top="1151" w:right="3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6" w:name="page57"/>
    <w:bookmarkEnd w:id="56"/>
    <w:p>
      <w:pPr>
        <w:jc w:val="both"/>
        <w:ind w:right="20"/>
        <w:spacing w:after="0" w:line="263" w:lineRule="auto"/>
        <w:rPr>
          <w:sz w:val="20"/>
          <w:szCs w:val="20"/>
          <w:color w:val="auto"/>
        </w:rPr>
      </w:pPr>
      <w:r>
        <w:rPr>
          <w:rFonts w:ascii="Arial" w:cs="Arial" w:eastAsia="Arial" w:hAnsi="Arial"/>
          <w:sz w:val="18"/>
          <w:szCs w:val="18"/>
          <w:color w:val="auto"/>
        </w:rPr>
        <w:t>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September 30, 2023, the Company sold 24 and 125 SBA 7(a) loans, respectively, with government guaranteed portions totaling $7.0 million and $30.6 million, respectively. The Company received gross proceeds of $7.4 million and $32.2 million on the loans sold during the three and nine months ended September 30, 2023, respectively, resulting in the recognition of net gains on sale of $0.4 million and $1.6 million, respectively, during the same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of our nonperforming and restructured assets and certain other related information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920" w:type="dxa"/>
            <w:vAlign w:val="bottom"/>
            <w:tcBorders>
              <w:bottom w:val="single" w:sz="8" w:color="auto"/>
            </w:tcBorders>
          </w:tcPr>
          <w:p>
            <w:pPr>
              <w:spacing w:after="0"/>
              <w:rPr>
                <w:sz w:val="20"/>
                <w:szCs w:val="20"/>
                <w:color w:val="auto"/>
              </w:rPr>
            </w:pPr>
          </w:p>
        </w:tc>
      </w:tr>
      <w:tr>
        <w:trPr>
          <w:trHeight w:val="22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3"/>
              </w:rPr>
              <w:t>September 30, 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December 31, 2022</w:t>
            </w:r>
          </w:p>
        </w:tc>
      </w:tr>
      <w:tr>
        <w:trPr>
          <w:trHeight w:val="25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50"/>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63"/>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r>
      <w:tr>
        <w:trPr>
          <w:trHeight w:val="25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21"/>
                <w:szCs w:val="21"/>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175</w:t>
            </w:r>
          </w:p>
        </w:tc>
      </w:tr>
      <w:tr>
        <w:trPr>
          <w:trHeight w:val="263"/>
        </w:trPr>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50"/>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Secured</w:t>
            </w: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w:t>
            </w:r>
          </w:p>
        </w:tc>
      </w:tr>
      <w:tr>
        <w:trPr>
          <w:trHeight w:val="25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non-accrual loans</w:t>
            </w: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r>
      <w:tr>
        <w:trPr>
          <w:trHeight w:val="135"/>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25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past due 90 days or more and still accruing:</w:t>
            </w: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r>
      <w:tr>
        <w:trPr>
          <w:trHeight w:val="25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Total loans past due and still accruing</w:t>
            </w:r>
          </w:p>
        </w:tc>
        <w:tc>
          <w:tcPr>
            <w:tcW w:w="220" w:type="dxa"/>
            <w:vAlign w:val="bottom"/>
          </w:tcPr>
          <w:p>
            <w:pPr>
              <w:spacing w:after="0"/>
              <w:rPr>
                <w:sz w:val="21"/>
                <w:szCs w:val="21"/>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2,002</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r>
      <w:tr>
        <w:trPr>
          <w:trHeight w:val="135"/>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250"/>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 owned</w:t>
            </w:r>
          </w:p>
        </w:tc>
        <w:tc>
          <w:tcPr>
            <w:tcW w:w="2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Total nonperforming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404</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15"/>
        </w:trPr>
        <w:tc>
          <w:tcPr>
            <w:tcW w:w="6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r>
      <w:tr>
        <w:trPr>
          <w:trHeight w:val="25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Performing LMs (not included above)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155"/>
        </w:trPr>
        <w:tc>
          <w:tcPr>
            <w:tcW w:w="6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r>
      <w:tr>
        <w:trPr>
          <w:trHeight w:val="25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 to period end nonperforming loans</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1,699.35 %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7,026.98 %</w:t>
            </w:r>
          </w:p>
        </w:tc>
      </w:tr>
      <w:tr>
        <w:trPr>
          <w:trHeight w:val="26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Nonperforming loans to loans held for investment</w:t>
            </w: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r>
      <w:tr>
        <w:trPr>
          <w:trHeight w:val="25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Nonperforming assets to total assets</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0.06 %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0.01 %</w:t>
            </w:r>
          </w:p>
        </w:tc>
      </w:tr>
      <w:tr>
        <w:trPr>
          <w:trHeight w:val="26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Nonperforming loans plus performing LMs to loans held for investment</w:t>
            </w:r>
          </w:p>
        </w:tc>
        <w:tc>
          <w:tcPr>
            <w:tcW w:w="22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nonperforming loans to loans held for investment was 0.07% at September 30, 2023, increasing from 0.01% at December 31, 2022, as a result of financial challenges experienced by a small subset of our borrowers.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The following table shows our levels of classified loans as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Pass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Watch</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Substandard</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2,571,154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2,599,616</w:t>
            </w:r>
          </w:p>
        </w:tc>
      </w:tr>
      <w:tr>
        <w:trPr>
          <w:trHeight w:val="25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15,482</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95,352</w:t>
            </w: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13,922</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r>
      <w:tr>
        <w:trPr>
          <w:trHeight w:val="25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51,921</w:t>
            </w:r>
          </w:p>
        </w:tc>
      </w:tr>
      <w:tr>
        <w:trPr>
          <w:trHeight w:val="257"/>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157,273</w:t>
            </w:r>
          </w:p>
        </w:tc>
      </w:tr>
      <w:tr>
        <w:trPr>
          <w:trHeight w:val="25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r>
      <w:tr>
        <w:trPr>
          <w:trHeight w:val="257"/>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29,604</w:t>
            </w:r>
          </w:p>
        </w:tc>
      </w:tr>
      <w:tr>
        <w:trPr>
          <w:trHeight w:val="2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2,976,599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3,012,195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Commercial land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88,669</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r>
      <w:tr>
        <w:trPr>
          <w:trHeight w:val="263"/>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r>
      <w:tr>
        <w:trPr>
          <w:trHeight w:val="250"/>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Farmland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52,478</w:t>
            </w:r>
          </w:p>
        </w:tc>
      </w:tr>
      <w:tr>
        <w:trPr>
          <w:trHeight w:val="26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3620" w:type="dxa"/>
            <w:vAlign w:val="bottom"/>
            <w:gridSpan w:val="2"/>
          </w:tcPr>
          <w:p>
            <w:pPr>
              <w:ind w:left="180"/>
              <w:spacing w:after="0"/>
              <w:rPr>
                <w:sz w:val="20"/>
                <w:szCs w:val="20"/>
                <w:color w:val="auto"/>
              </w:rPr>
            </w:pPr>
            <w:r>
              <w:rPr>
                <w:rFonts w:ascii="Arial" w:cs="Arial" w:eastAsia="Arial" w:hAnsi="Arial"/>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163,879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165,186</w:t>
            </w:r>
          </w:p>
        </w:tc>
      </w:tr>
      <w:tr>
        <w:trPr>
          <w:trHeight w:val="257"/>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r>
      <w:tr>
        <w:trPr>
          <w:trHeight w:val="256"/>
        </w:trPr>
        <w:tc>
          <w:tcPr>
            <w:tcW w:w="3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r>
      <w:tr>
        <w:trPr>
          <w:trHeight w:val="2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designated as watch and substandard, which are not considered adversely classified, increased to $35.6 million at September 30, 2023 from $22.3 million at December 31, 2022. There were no loans with doubtful risk grades at September 30, 2023 or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credit losses - loans is established through a provision for credit losses charged to operations. Provisions are charged against the allowance for credit losses - loans when management believes that the collectability of the principal is unlikely. Subsequent recoveries of previously charged-off amounts, if any, are credited to the allowance for credit losses - loans.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The allowance for credit losses - loans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2023, the Company’s allowance for credit losses - loans was $34.0 million, as compared to $28.4 million at December 31, 2022. The $5.6 million increase in the allowance is due to a $5.3 million adjustment recorded in connection with the adoption of ASC 326 and a $2.9 million provision for credit losses recorded during the nine months ended September 30, 2023, partially offset by net charge-offs of $2.5 million during the same period.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entire allowance for credit losses - loans is available to absorb losses from any and all loans, the following table represents management’s allocation of our allowance for credit losses by loan category, and the percentage of the allowance for credit losses in each category,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December 31, 2022</w:t>
            </w:r>
          </w:p>
        </w:tc>
      </w:tr>
      <w:tr>
        <w:trPr>
          <w:trHeight w:val="25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Total</w:t>
            </w:r>
          </w:p>
        </w:tc>
      </w:tr>
      <w:tr>
        <w:trPr>
          <w:trHeight w:val="250"/>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27,901</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82.00 %</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19,216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67.69 %</w:t>
            </w:r>
          </w:p>
        </w:tc>
      </w:tr>
      <w:tr>
        <w:trPr>
          <w:trHeight w:val="257"/>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 land and development</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0.19 %</w:t>
            </w:r>
          </w:p>
        </w:tc>
      </w:tr>
      <w:tr>
        <w:trPr>
          <w:trHeight w:val="257"/>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3.59 %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2.27 %</w:t>
            </w:r>
          </w:p>
        </w:tc>
      </w:tr>
      <w:tr>
        <w:trPr>
          <w:trHeight w:val="256"/>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0.17 %</w:t>
            </w:r>
          </w:p>
        </w:tc>
      </w:tr>
      <w:tr>
        <w:trPr>
          <w:trHeight w:val="257"/>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0.62 %</w:t>
            </w:r>
          </w:p>
        </w:tc>
      </w:tr>
      <w:tr>
        <w:trPr>
          <w:trHeight w:val="257"/>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Farmland</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50"/>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5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Secured</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25.00 %</w:t>
            </w:r>
          </w:p>
        </w:tc>
      </w:tr>
      <w:tr>
        <w:trPr>
          <w:trHeight w:val="257"/>
        </w:trPr>
        <w:tc>
          <w:tcPr>
            <w:tcW w:w="5360" w:type="dxa"/>
            <w:vAlign w:val="bottom"/>
            <w:gridSpan w:val="2"/>
          </w:tcPr>
          <w:p>
            <w:pPr>
              <w:ind w:left="140"/>
              <w:spacing w:after="0"/>
              <w:rPr>
                <w:sz w:val="20"/>
                <w:szCs w:val="20"/>
                <w:color w:val="auto"/>
              </w:rPr>
            </w:pPr>
            <w:r>
              <w:rPr>
                <w:rFonts w:ascii="Arial" w:cs="Arial" w:eastAsia="Arial" w:hAnsi="Arial"/>
                <w:sz w:val="18"/>
                <w:szCs w:val="18"/>
                <w:color w:val="auto"/>
              </w:rPr>
              <w:t>Unsecured</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0.41 %</w:t>
            </w:r>
          </w:p>
        </w:tc>
      </w:tr>
      <w:tr>
        <w:trPr>
          <w:trHeight w:val="25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57"/>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Unallocated</w:t>
            </w:r>
          </w:p>
        </w:tc>
        <w:tc>
          <w:tcPr>
            <w:tcW w:w="2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0.16 %</w:t>
            </w:r>
          </w:p>
        </w:tc>
      </w:tr>
      <w:tr>
        <w:trPr>
          <w:trHeight w:val="275"/>
        </w:trPr>
        <w:tc>
          <w:tcPr>
            <w:tcW w:w="53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allowance for credit losses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the allowance for credit losses to total loans held for investment was 1.13% at September 30, 2023, as compared to 1.02% at December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provides information on the activity within the allowance for credit losses - loans as of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7"/>
              </w:rPr>
              <w:t>As of and for the three months ended</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64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Pr>
          <w:p>
            <w:pPr>
              <w:spacing w:after="0"/>
              <w:rPr>
                <w:sz w:val="21"/>
                <w:szCs w:val="21"/>
                <w:color w:val="auto"/>
              </w:rPr>
            </w:pPr>
          </w:p>
        </w:tc>
        <w:tc>
          <w:tcPr>
            <w:tcW w:w="30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92"/>
              </w:rPr>
              <w:t>% of Average Loans</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92"/>
              </w:rPr>
              <w:t>% of Average Loans</w:t>
            </w:r>
          </w:p>
        </w:tc>
        <w:tc>
          <w:tcPr>
            <w:tcW w:w="0" w:type="dxa"/>
            <w:vAlign w:val="bottom"/>
          </w:tcPr>
          <w:p>
            <w:pPr>
              <w:spacing w:after="0"/>
              <w:rPr>
                <w:sz w:val="1"/>
                <w:szCs w:val="1"/>
                <w:color w:val="auto"/>
              </w:rPr>
            </w:pPr>
          </w:p>
        </w:tc>
      </w:tr>
      <w:tr>
        <w:trPr>
          <w:trHeight w:val="24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Activity</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Held for Investment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Activity</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Held 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2,973,842</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2,483,451</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33,984</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25,786</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(charge-offs) recoveries: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center"/>
              <w:ind w:left="311"/>
              <w:spacing w:after="0"/>
              <w:rPr>
                <w:sz w:val="20"/>
                <w:szCs w:val="20"/>
                <w:color w:val="auto"/>
              </w:rPr>
            </w:pPr>
            <w:r>
              <w:rPr>
                <w:rFonts w:ascii="Arial" w:cs="Arial" w:eastAsia="Arial" w:hAnsi="Arial"/>
                <w:sz w:val="18"/>
                <w:szCs w:val="18"/>
                <w:color w:val="auto"/>
                <w:w w:val="91"/>
              </w:rPr>
              <w:t>(1,026)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Unsecured</w:t>
            </w:r>
          </w:p>
        </w:tc>
        <w:tc>
          <w:tcPr>
            <w:tcW w:w="28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PPP</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charge-offs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left="311"/>
              <w:spacing w:after="0"/>
              <w:rPr>
                <w:sz w:val="20"/>
                <w:szCs w:val="20"/>
                <w:color w:val="auto"/>
              </w:rPr>
            </w:pPr>
            <w:r>
              <w:rPr>
                <w:rFonts w:ascii="Arial" w:cs="Arial" w:eastAsia="Arial" w:hAnsi="Arial"/>
                <w:sz w:val="18"/>
                <w:szCs w:val="18"/>
                <w:color w:val="auto"/>
                <w:w w:val="91"/>
              </w:rPr>
              <w:t>(1,006)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34,028</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27,838</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3,009,930</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2,582,978</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4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Allowance for credit losses - loans to loans held for</w:t>
            </w:r>
          </w:p>
        </w:tc>
        <w:tc>
          <w:tcPr>
            <w:tcW w:w="2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investment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ind w:left="351"/>
              <w:spacing w:after="0"/>
              <w:rPr>
                <w:sz w:val="20"/>
                <w:szCs w:val="20"/>
                <w:color w:val="auto"/>
              </w:rPr>
            </w:pPr>
            <w:r>
              <w:rPr>
                <w:rFonts w:ascii="Arial" w:cs="Arial" w:eastAsia="Arial" w:hAnsi="Arial"/>
                <w:sz w:val="16"/>
                <w:szCs w:val="16"/>
                <w:color w:val="auto"/>
                <w:w w:val="89"/>
              </w:rPr>
              <w:t>57</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41"/>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9"/>
              </w:rPr>
              <w:t>As of and for the nine months ended</w:t>
            </w: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640"/>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tcPr>
          <w:p>
            <w:pPr>
              <w:spacing w:after="0"/>
              <w:rPr>
                <w:sz w:val="21"/>
                <w:szCs w:val="21"/>
                <w:color w:val="auto"/>
              </w:rPr>
            </w:pPr>
          </w:p>
        </w:tc>
        <w:tc>
          <w:tcPr>
            <w:tcW w:w="30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September 30, 2022</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92"/>
              </w:rPr>
              <w:t>% of Average Loans</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w w:val="92"/>
              </w:rPr>
              <w:t>% of Average Loans</w:t>
            </w:r>
          </w:p>
        </w:tc>
        <w:tc>
          <w:tcPr>
            <w:tcW w:w="0" w:type="dxa"/>
            <w:vAlign w:val="bottom"/>
          </w:tcPr>
          <w:p>
            <w:pPr>
              <w:spacing w:after="0"/>
              <w:rPr>
                <w:sz w:val="1"/>
                <w:szCs w:val="1"/>
                <w:color w:val="auto"/>
              </w:rPr>
            </w:pPr>
          </w:p>
        </w:tc>
      </w:tr>
      <w:tr>
        <w:trPr>
          <w:trHeight w:val="243"/>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Activity</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Held for Investment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Activity</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Held 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2,901,893</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2,225,609</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28,389</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23,243</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Effect of adoption of ASC 326</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Net (charge-offs) recoveries: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(2,498)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(776)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charge-offs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(2,493)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5,450</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34,028</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27,838</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3,009,930</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2,582,978</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48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Allowance for credit losses - loans to loans held for</w:t>
            </w:r>
          </w:p>
        </w:tc>
        <w:tc>
          <w:tcPr>
            <w:tcW w:w="2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1.08 %</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investment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 loans to loans held for investment increased from 1.08% as of September 30, 2022 to 1.13% as of September 30, 2023. Net charge-offs as a percent of average loans held for investment increased from 0.01% to 0.03% for the three months ended September 30, 2022 and September 30, 2023, respectively. Net charge-offs as a percent of average loans held for investment increased from 0.04% to 0.09% for the nine months ended September 30, 2022 and September 30,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nine months of 2023, total liabilities increased by $256.7 million from $3.0 billion as of December 31, 2022 to $3.2 billion as of September 30, 2023. This increase was primarily due to an increase in total deposits of $250.2 million, comprised of an increase of $385.5 million in interest-bearing deposits, partially offset by a decrease of $135.3 million in non-interest-bearing deposits.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93.85% of our total liabilities as of September 30, 2023, deposits are our primary source of funding for our business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deposits increased by $250.2 million, or 8.99%, to $3.0 billion at September 30, 2023 from $2.8 billion at December 31, 2022. Deposit increases were primarily attributable to an increase in the number of new relationships, as well as normal fluctuations in some of our larger accounts. Non-interest-bearing deposits decreased by $135.3 million from December 31, 2022 to $833.4 million at September 30, 2023, representing 27.49% of total deposits at that date, as compared to 34.82% of total deposits at December 31, 2022. Our loan to deposit ratio was 99.57% at September 30, 2023, as compared to 100.67% at December 31, 2022. We intend to continue to operate our business with close monitoring of the loan to deposit ratio.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following tables summarize our deposit composition by average deposit balances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6"/>
              </w:rPr>
              <w:t>For the three months ended</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3"/>
              </w:rPr>
              <w:t>September 30, 2023</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5"/>
              </w:rPr>
              <w:t>September 30, 2022</w:t>
            </w:r>
          </w:p>
        </w:tc>
        <w:tc>
          <w:tcPr>
            <w:tcW w:w="1200" w:type="dxa"/>
            <w:vAlign w:val="bottom"/>
            <w:tcBorders>
              <w:bottom w:val="single" w:sz="8" w:color="auto"/>
            </w:tcBorders>
          </w:tcPr>
          <w:p>
            <w:pPr>
              <w:spacing w:after="0"/>
              <w:rPr>
                <w:sz w:val="21"/>
                <w:szCs w:val="21"/>
                <w:color w:val="auto"/>
              </w:rPr>
            </w:pPr>
          </w:p>
        </w:tc>
      </w:tr>
      <w:tr>
        <w:trPr>
          <w:trHeight w:val="216"/>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Average Rate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 of Total</w:t>
            </w:r>
          </w:p>
        </w:tc>
        <w:tc>
          <w:tcPr>
            <w:tcW w:w="2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Average Rate</w:t>
            </w: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 of Total</w:t>
            </w:r>
          </w:p>
        </w:tc>
      </w:tr>
      <w:tr>
        <w:trPr>
          <w:trHeight w:val="24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Deposits</w:t>
            </w:r>
          </w:p>
        </w:tc>
      </w:tr>
      <w:tr>
        <w:trPr>
          <w:trHeight w:val="25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8.28 %</w:t>
            </w:r>
          </w:p>
        </w:tc>
      </w:tr>
      <w:tr>
        <w:trPr>
          <w:trHeight w:val="250"/>
        </w:trPr>
        <w:tc>
          <w:tcPr>
            <w:tcW w:w="2940" w:type="dxa"/>
            <w:vAlign w:val="bottom"/>
            <w:gridSpan w:val="2"/>
          </w:tcPr>
          <w:p>
            <w:pPr>
              <w:ind w:left="20"/>
              <w:spacing w:after="0"/>
              <w:rPr>
                <w:sz w:val="20"/>
                <w:szCs w:val="20"/>
                <w:color w:val="auto"/>
              </w:rPr>
            </w:pPr>
            <w:r>
              <w:rPr>
                <w:rFonts w:ascii="Arial" w:cs="Arial" w:eastAsia="Arial" w:hAnsi="Arial"/>
                <w:sz w:val="18"/>
                <w:szCs w:val="18"/>
                <w:color w:val="auto"/>
                <w:w w:val="99"/>
              </w:rPr>
              <w:t>Money market and savings accounts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1,463,210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1,118,840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0.65 %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43.32 %</w:t>
            </w:r>
          </w:p>
        </w:tc>
      </w:tr>
      <w:tr>
        <w:trPr>
          <w:trHeight w:val="26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accounts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399,514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8.08 %</w:t>
            </w: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825,254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1,041,222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40.32 %</w:t>
            </w:r>
          </w:p>
        </w:tc>
      </w:tr>
      <w:tr>
        <w:trPr>
          <w:trHeight w:val="277"/>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2,984,208</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2,582,666</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0.43 %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61"/>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7"/>
              </w:rPr>
              <w:t>For the nine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3"/>
              </w:rPr>
              <w:t>September 30, 2023</w:t>
            </w: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5"/>
              </w:rPr>
              <w:t>September 30, 2022</w:t>
            </w:r>
          </w:p>
        </w:tc>
        <w:tc>
          <w:tcPr>
            <w:tcW w:w="1200" w:type="dxa"/>
            <w:vAlign w:val="bottom"/>
            <w:tcBorders>
              <w:bottom w:val="single" w:sz="8" w:color="auto"/>
            </w:tcBorders>
          </w:tcPr>
          <w:p>
            <w:pPr>
              <w:spacing w:after="0"/>
              <w:rPr>
                <w:sz w:val="21"/>
                <w:szCs w:val="21"/>
                <w:color w:val="auto"/>
              </w:rPr>
            </w:pPr>
          </w:p>
        </w:tc>
      </w:tr>
      <w:tr>
        <w:trPr>
          <w:trHeight w:val="216"/>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Average Rate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 of Total</w:t>
            </w:r>
          </w:p>
        </w:tc>
        <w:tc>
          <w:tcPr>
            <w:tcW w:w="2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Average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Average Rate</w:t>
            </w: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 of Total</w:t>
            </w:r>
          </w:p>
        </w:tc>
      </w:tr>
      <w:tr>
        <w:trPr>
          <w:trHeight w:val="243"/>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Paid</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Deposits</w:t>
            </w:r>
          </w:p>
        </w:tc>
      </w:tr>
      <w:tr>
        <w:trPr>
          <w:trHeight w:val="250"/>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320,013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0.14 %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10.07 %</w:t>
            </w:r>
          </w:p>
        </w:tc>
      </w:tr>
      <w:tr>
        <w:trPr>
          <w:trHeight w:val="250"/>
        </w:trPr>
        <w:tc>
          <w:tcPr>
            <w:tcW w:w="2940" w:type="dxa"/>
            <w:vAlign w:val="bottom"/>
            <w:gridSpan w:val="2"/>
          </w:tcPr>
          <w:p>
            <w:pPr>
              <w:ind w:left="20"/>
              <w:spacing w:after="0"/>
              <w:rPr>
                <w:sz w:val="20"/>
                <w:szCs w:val="20"/>
                <w:color w:val="auto"/>
              </w:rPr>
            </w:pPr>
            <w:r>
              <w:rPr>
                <w:rFonts w:ascii="Arial" w:cs="Arial" w:eastAsia="Arial" w:hAnsi="Arial"/>
                <w:sz w:val="18"/>
                <w:szCs w:val="18"/>
                <w:color w:val="auto"/>
                <w:w w:val="99"/>
              </w:rPr>
              <w:t>Money market and savings accounts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1,378,517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1,069,945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0.37 %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43.37 %</w:t>
            </w:r>
          </w:p>
        </w:tc>
      </w:tr>
      <w:tr>
        <w:trPr>
          <w:trHeight w:val="26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accounts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851,608</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977,894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39.63 %</w:t>
            </w:r>
          </w:p>
        </w:tc>
      </w:tr>
      <w:tr>
        <w:trPr>
          <w:trHeight w:val="276"/>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2,907,571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2,467,291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Uninsured and uncollateralized deposits totaled $1.0 billion and $1.2 billion at September 30, 2023 and December 31, 2022, respectively.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our 42 largest deposit relationships, each accounting for more than $10.0 million, totaled $1.6 billion, or 51.37% of our total deposits. The average age on deposit relationships of more than $5.0 million was approximately 9 years. As of December 31, 2022, our 40 largest deposit relationships, each accounting for more than $10.0 million, totaled $1.5 billion, or 52.15%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September 30, 2023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2022</w:t>
            </w:r>
          </w:p>
        </w:tc>
      </w:tr>
      <w:tr>
        <w:trPr>
          <w:trHeight w:val="25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Municipalities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601,968</w:t>
            </w:r>
          </w:p>
        </w:tc>
      </w:tr>
      <w:tr>
        <w:trPr>
          <w:trHeight w:val="25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Non-profits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220,527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195,996</w:t>
            </w:r>
          </w:p>
        </w:tc>
      </w:tr>
      <w:tr>
        <w:trPr>
          <w:trHeight w:val="263"/>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20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672,848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527,921</w:t>
            </w:r>
          </w:p>
        </w:tc>
      </w:tr>
      <w:tr>
        <w:trPr>
          <w:trHeight w:val="250"/>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Brokered deposits</w:t>
            </w: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124,993</w:t>
            </w:r>
          </w:p>
        </w:tc>
      </w:tr>
      <w:tr>
        <w:trPr>
          <w:trHeight w:val="281"/>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1,557,674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1,450,878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largest single deposit relationship at September 30, 2023 related to a government agency. The balances for this customer were $250.0 million, or approximately 8.24% of total deposits as of that date. At December 31, 2022, our largest single deposit relationship related to a government agency and had balances of $180.0 million, or 6.47% of total deposits as of that date.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following table sets forth the maturity of time deposits as of September 30,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250,000 or Greater</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Less than $250,000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5"/>
              </w:rPr>
              <w:t>Uninsured Portion</w:t>
            </w:r>
          </w:p>
        </w:tc>
      </w:tr>
      <w:tr>
        <w:trPr>
          <w:trHeight w:val="250"/>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Remaining maturity: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6"/>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Three months or less</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140,711</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77,993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218,704</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136,960</w:t>
            </w:r>
          </w:p>
        </w:tc>
      </w:tr>
      <w:tr>
        <w:trPr>
          <w:trHeight w:val="257"/>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Over three through six months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128,349</w:t>
            </w:r>
          </w:p>
        </w:tc>
      </w:tr>
      <w:tr>
        <w:trPr>
          <w:trHeight w:val="257"/>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Over six through twelve months</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36,354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52,943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33,604</w:t>
            </w:r>
          </w:p>
        </w:tc>
      </w:tr>
      <w:tr>
        <w:trPr>
          <w:trHeight w:val="257"/>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Over twelve months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22,522</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w:t>
            </w:r>
          </w:p>
        </w:tc>
      </w:tr>
      <w:tr>
        <w:trPr>
          <w:trHeight w:val="25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330,913</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96,611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427,524</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318,912</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were borrowings of $90.0 million and $100.0 million outstanding as of September 30, 2023 and December 31, 2022,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2022, we issued subordinated notes of $75.0 million. This debt was issued to investors in private placement transactions. See Note 6,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September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Issuance Date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Amount of Notes</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Prepayment Right</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Maturity Date</w:t>
            </w:r>
          </w:p>
        </w:tc>
      </w:tr>
      <w:tr>
        <w:trPr>
          <w:trHeight w:val="25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Subordinated notes</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Fixed at 6.00% through September 1, 2027, then three-month Term SOFR plus 329.0 basis points (8.70% as of September 30, 2023) through maturity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Shareholders’ equity totaled $274.0 million at September 30, 2023 and $252.8 million at December 31, 2022. The increase in shareholders’ equity was primarily attributable to net income recognized of $36.9 million, partially offset by: (i) a $2.5 million increase in accumulated other comprehensive loss;</w:t>
      </w:r>
    </w:p>
    <w:p>
      <w:pPr>
        <w:ind w:firstLine="8"/>
        <w:spacing w:after="0" w:line="260" w:lineRule="auto"/>
        <w:tabs>
          <w:tab w:leader="none" w:pos="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$4.5 million in retained earnings, net of tax effect, relating to the adoption of ASC 326 on January 1, 2023; and (iii) $9.5 million in cash dividends paid during the nine months ended September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jc w:val="both"/>
        <w:spacing w:after="0" w:line="267" w:lineRule="auto"/>
        <w:rPr>
          <w:sz w:val="20"/>
          <w:szCs w:val="20"/>
          <w:color w:val="auto"/>
        </w:rPr>
      </w:pPr>
      <w:r>
        <w:rPr>
          <w:rFonts w:ascii="Arial" w:cs="Arial" w:eastAsia="Arial" w:hAnsi="Arial"/>
          <w:sz w:val="17"/>
          <w:szCs w:val="17"/>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and the securities being offered will be provided at the time of the offering. Proceeds from any future offerings are expected to be used for corporate purposes or other purposes to be disclosed at the time of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September 30, 2023, management believes the above-mentioned sources will provide adequate liquidity during the next twelve months for the Bank to meet its operating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we had cash outflows of $212.1 million in loan originations and advances, net of principal collected, and $39.9 million in loans originated for sale.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September 30, 2023, total off-balance sheet commitments totaled $401.9 million. We expect to fund these commitments to the extent utilized primarily through the repayment of existing loans, deposit growth, and liquid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are our primary source of funding for our business operations, and the cost of deposits has a significant impact on our net interest income and net interest margin.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deposits are primarily made up of money market, interest checking,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2023, we had cash inflows related to an increase in deposits of $250.2 million, primarily as a result of an increase in the number of new relationships and fluctuations in existing accounts.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 months following September 30, 2023, approximately $405.0 million of time deposits are expected to mature. These deposits may not renew due to general competition. However, based on our historical runoff experience, we expect the outflow will not be significant and can be replenished through our organic growth in deposits. We believe our emphasis on local deposits, our recent San Francisco Bay area expansion, and our liquid investment portfolio provide a stable funding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2023, cash and cash equivalents represented 10.67% of total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investment securities totaled $107.2 million at September 30, 2023. Mortgage-backed securities and obligations of states and political subdivisions comprised 50.81% and 33.91%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$7.3 million from our securities over the twelve months following September 30, 2023. In future periods, we expect to maintain approximately the same level of cash flows from our securities. Depending on market yield and our liquidity, we may purchase securities as a use of cash in our interest-earning asset portfolio.</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we had cash proceeds from sales, maturities, calls, and prepayments of securities of $8.1 million. Additionally, at September 30, 2023, securities available-for-sale totaled $104.1 million, of which $103.2 million has been pledged as collateral for borrowings and other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FHLB Financing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Bank is a shareholder of the FHLB, which enables the Bank to have access to lower-cost FHLB financing when necessary. At September 30, 2023, the Bank had outstanding borrowings of $90.0 million and a total financing availability of $292.1 million, net of letters of credit issued of $671.5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Reserve Discount Window and Correspondent Bank Lines of Credit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unused and available amounts for borrowing from the Federal Reserve Discount Window and correspondent bank lines of credit were $69.0 million and $175.0 million,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18"/>
          <w:szCs w:val="18"/>
          <w:u w:val="single" w:color="auto"/>
          <w:color w:val="auto"/>
        </w:rPr>
        <w:t>Total Liquidity</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Total liquidity (consisting of cash and cash equivalents and unused and immediately available borrowing capacity as set forth below) was approximately $859.7 million as of September 30, 2023.</w:t>
      </w:r>
    </w:p>
    <w:p>
      <w:pPr>
        <w:sectPr>
          <w:pgSz w:w="11900" w:h="16838" w:orient="portrait"/>
          <w:cols w:equalWidth="0" w:num="1">
            <w:col w:w="11260"/>
          </w:cols>
          <w:pgMar w:left="30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36" w:lineRule="exact"/>
        <w:rPr>
          <w:sz w:val="20"/>
          <w:szCs w:val="20"/>
          <w:color w:val="auto"/>
        </w:rPr>
      </w:pPr>
    </w:p>
    <w:p>
      <w:pPr>
        <w:jc w:val="both"/>
        <w:ind w:right="1340"/>
        <w:spacing w:after="0" w:line="328" w:lineRule="auto"/>
        <w:rPr>
          <w:sz w:val="20"/>
          <w:szCs w:val="20"/>
          <w:color w:val="auto"/>
        </w:rPr>
      </w:pPr>
      <w:r>
        <w:rPr>
          <w:rFonts w:ascii="Arial" w:cs="Arial" w:eastAsia="Arial" w:hAnsi="Arial"/>
          <w:sz w:val="16"/>
          <w:szCs w:val="16"/>
          <w:color w:val="auto"/>
        </w:rPr>
        <w:t>Federal Reserve Discount Window Correspondent bank lines of credit Cash and cash equivalents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Future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September 30, 2023</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76"/>
        </w:trPr>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2"/>
              </w:rPr>
              <w:t>Letters of Credit</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180" w:type="dxa"/>
            <w:vAlign w:val="bottom"/>
          </w:tcPr>
          <w:p>
            <w:pPr>
              <w:spacing w:after="0"/>
              <w:rPr>
                <w:sz w:val="21"/>
                <w:szCs w:val="21"/>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Line of Credit</w:t>
            </w: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Issued</w:t>
            </w:r>
          </w:p>
        </w:tc>
        <w:tc>
          <w:tcPr>
            <w:tcW w:w="220" w:type="dxa"/>
            <w:vAlign w:val="bottom"/>
          </w:tcPr>
          <w:p>
            <w:pPr>
              <w:spacing w:after="0"/>
              <w:rPr>
                <w:sz w:val="21"/>
                <w:szCs w:val="21"/>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Borrowings</w:t>
            </w:r>
          </w:p>
        </w:tc>
        <w:tc>
          <w:tcPr>
            <w:tcW w:w="280" w:type="dxa"/>
            <w:vAlign w:val="bottom"/>
          </w:tcPr>
          <w:p>
            <w:pPr>
              <w:spacing w:after="0"/>
              <w:rPr>
                <w:sz w:val="21"/>
                <w:szCs w:val="21"/>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Available</w:t>
            </w:r>
          </w:p>
        </w:tc>
      </w:tr>
      <w:tr>
        <w:trPr>
          <w:trHeight w:val="236"/>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1,053,625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671,500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292,125</w:t>
            </w: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69,012</w:t>
            </w:r>
          </w:p>
        </w:tc>
      </w:tr>
      <w:tr>
        <w:trPr>
          <w:trHeight w:val="229"/>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230"/>
        </w:trPr>
        <w:tc>
          <w:tcPr>
            <w:tcW w:w="18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323,548</w:t>
            </w:r>
          </w:p>
        </w:tc>
      </w:tr>
      <w:tr>
        <w:trPr>
          <w:trHeight w:val="244"/>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1,297,637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859,685</w:t>
            </w: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-805180</wp:posOffset>
            </wp:positionV>
            <wp:extent cx="711517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-496570</wp:posOffset>
            </wp:positionV>
            <wp:extent cx="71151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-205105</wp:posOffset>
            </wp:positionV>
            <wp:extent cx="711517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3860" w:space="720"/>
            <w:col w:w="6680"/>
          </w:cols>
          <w:pgMar w:left="300" w:top="1151" w:right="339" w:bottom="1440" w:gutter="0" w:footer="0" w:header="0"/>
          <w:type w:val="continuous"/>
        </w:sectPr>
      </w:pPr>
    </w:p>
    <w:p>
      <w:pPr>
        <w:spacing w:after="0" w:line="25"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Our estimated future contractual obligations as of September 30, 2023 include both current and long-term obligations. Under our operating leases, we have an operating lease liability of $5.0 million. We have a current obligation of $405.0 million and a long-term obligation of $22.5 million related to time deposits, as discussed in Note 5, Interest-Bearing Deposits. We have net subordinated notes of $73.7 million, all of which are long-term obligations. We also have contractual obligations on unfunded loan commitments and standby letters of credit totaling $401.9 million.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paid dividends to its shareholders totaling $3.5 million during the three months ended September 30, 2023.</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2023 at a rate of $0.20 per share, our average total dividend paid each quarter would be approximately $3.5 million based on the number of currently outstanding shares if there are no increases or decreases in the number of shares, and given that unvested RSAs share equally in dividends with outstanding common stock.</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Impact of Inflation</w:t>
      </w:r>
    </w:p>
    <w:p>
      <w:pPr>
        <w:spacing w:after="0" w:line="225"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51"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i w:val="1"/>
                <w:iCs w:val="1"/>
                <w:color w:val="auto"/>
              </w:rPr>
              <w:t>Historical Information</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Arial" w:cs="Arial" w:eastAsia="Arial" w:hAnsi="Arial"/>
                <w:sz w:val="18"/>
                <w:szCs w:val="18"/>
                <w:color w:val="auto"/>
              </w:rPr>
              <w:t>The following table summarizes our consolidated cash flow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3"/>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 September 30,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3"/>
        </w:trPr>
        <w:tc>
          <w:tcPr>
            <w:tcW w:w="58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r>
      <w:tr>
        <w:trPr>
          <w:trHeight w:val="229"/>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(207,705)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(629,441)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421,736</w:t>
            </w:r>
          </w:p>
        </w:tc>
      </w:tr>
      <w:tr>
        <w:trPr>
          <w:trHeight w:val="23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(263,560)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increased by $13.0 million for the nine months ended September 30, 2023 as compared to the nine months ended September 30, 2022. Cash provided by operating activities is subject to variability period-over-period as a result of timing differences, including with respect to the collection of receivables and payments of interest expense, accounts payable, and bonuses.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decreased by $421.7 million for the nine months ended September 30, 2023 as compared to the nine months ended September 30, 2022, primarily due to decreased loan origination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decreased by $263.6 million for the nine months ended September 30, 2023 as compared to the nine months ended September 30, 2022, primarily due to decreased deposit growth and lower borrowings.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as a bank holding company with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Additionally, as of June 30, 2023, the Company’s consolidated assets were in excess of $3.0 billion, and as a consequence, beginning in March 2024, the Company will no longer prepare and file financial reports with the Federal Reserve as a small bank holding company and will be subject to capital ratio requirements for bank holding companies.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September 30, 2023, both Bancorp and the Bank were in compliance with all applicable regulatory capital requirements, and the Bank qualified as “well-capitalized” under the prompt corrective action framework.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capital adequacy ratios as of September 30, 2023 and December 31, 2022 for Bancorp and the Bank are presented in the following tables. As of September 30, 2023 and December 31, 2022, Bancorp’s Tier 2 capital included subordinated debt, which was not included at the Bank level. Eligible amounts of subordinated debt included in Tier 2 capital will be phased out by 20% per year beginning five years before the maturity date of the notes.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Ratio to be Well-Capitalized</w:t>
            </w:r>
          </w:p>
        </w:tc>
      </w:tr>
      <w:tr>
        <w:trPr>
          <w:trHeight w:val="203"/>
        </w:trPr>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8"/>
          </w:tcPr>
          <w:p>
            <w:pPr>
              <w:jc w:val="right"/>
              <w:ind w:right="40"/>
              <w:spacing w:after="0" w:line="202" w:lineRule="exact"/>
              <w:rPr>
                <w:sz w:val="20"/>
                <w:szCs w:val="20"/>
                <w:color w:val="auto"/>
              </w:rPr>
            </w:pPr>
            <w:r>
              <w:rPr>
                <w:rFonts w:ascii="Arial" w:cs="Arial" w:eastAsia="Arial" w:hAnsi="Arial"/>
                <w:sz w:val="18"/>
                <w:szCs w:val="18"/>
                <w:b w:val="1"/>
                <w:bCs w:val="1"/>
                <w:color w:val="auto"/>
                <w:w w:val="92"/>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spacing w:after="0" w:line="202" w:lineRule="exact"/>
              <w:rPr>
                <w:sz w:val="20"/>
                <w:szCs w:val="20"/>
                <w:color w:val="auto"/>
              </w:rPr>
            </w:pPr>
            <w:r>
              <w:rPr>
                <w:rFonts w:ascii="Arial" w:cs="Arial" w:eastAsia="Arial" w:hAnsi="Arial"/>
                <w:sz w:val="18"/>
                <w:szCs w:val="18"/>
                <w:b w:val="1"/>
                <w:bCs w:val="1"/>
                <w:color w:val="auto"/>
                <w:w w:val="91"/>
              </w:rPr>
              <w:t>under Prompt Corrective</w:t>
            </w:r>
          </w:p>
        </w:tc>
      </w:tr>
      <w:tr>
        <w:trPr>
          <w:trHeight w:val="261"/>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Bancorp</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7"/>
          </w:tcPr>
          <w:p>
            <w:pPr>
              <w:jc w:val="right"/>
              <w:ind w:right="860"/>
              <w:spacing w:after="0" w:line="262" w:lineRule="exact"/>
              <w:rPr>
                <w:sz w:val="20"/>
                <w:szCs w:val="20"/>
                <w:color w:val="auto"/>
              </w:rPr>
            </w:pPr>
            <w:r>
              <w:rPr>
                <w:rFonts w:ascii="Arial" w:cs="Arial" w:eastAsia="Arial" w:hAnsi="Arial"/>
                <w:sz w:val="18"/>
                <w:szCs w:val="18"/>
                <w:b w:val="1"/>
                <w:bCs w:val="1"/>
                <w:color w:val="auto"/>
              </w:rPr>
              <w:t>Purposes</w:t>
            </w:r>
            <w:r>
              <w:rPr>
                <w:rFonts w:ascii="Arial" w:cs="Arial" w:eastAsia="Arial" w:hAnsi="Arial"/>
                <w:sz w:val="23"/>
                <w:szCs w:val="23"/>
                <w:b w:val="1"/>
                <w:bCs w:val="1"/>
                <w:color w:val="auto"/>
                <w:vertAlign w:val="superscript"/>
              </w:rPr>
              <w:t>1</w:t>
            </w:r>
          </w:p>
        </w:tc>
        <w:tc>
          <w:tcPr>
            <w:tcW w:w="100" w:type="dxa"/>
            <w:vAlign w:val="bottom"/>
          </w:tcPr>
          <w:p>
            <w:pPr>
              <w:spacing w:after="0"/>
              <w:rPr>
                <w:sz w:val="22"/>
                <w:szCs w:val="22"/>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Action Provisions</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ind w:left="140"/>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21"/>
                <w:szCs w:val="21"/>
                <w:color w:val="auto"/>
              </w:rPr>
            </w:pPr>
          </w:p>
        </w:tc>
        <w:tc>
          <w:tcPr>
            <w:tcW w:w="1320" w:type="dxa"/>
            <w:vAlign w:val="bottom"/>
            <w:gridSpan w:val="4"/>
          </w:tcPr>
          <w:p>
            <w:pPr>
              <w:ind w:left="30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Ratio</w:t>
            </w:r>
          </w:p>
        </w:tc>
      </w:tr>
      <w:tr>
        <w:trPr>
          <w:trHeight w:val="250"/>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397,021</w:t>
            </w: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12.37 %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291,081</w:t>
            </w: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9.07 %</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192,556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291,081</w:t>
            </w: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9.07 %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144,417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0"/>
                <w:szCs w:val="20"/>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291,081</w:t>
            </w: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8.58 %</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135,702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366,113</w:t>
            </w: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12.46 %</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263,993</w:t>
            </w: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8.99 %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176,191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4"/>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263,993</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8.99 %</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263,993</w:t>
            </w: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8.60 %</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122,788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562"/>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Ratio to be Well-Capitalized</w:t>
            </w:r>
          </w:p>
        </w:tc>
      </w:tr>
      <w:tr>
        <w:trPr>
          <w:trHeight w:val="203"/>
        </w:trPr>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9"/>
          </w:tcPr>
          <w:p>
            <w:pPr>
              <w:ind w:left="40"/>
              <w:spacing w:after="0" w:line="202" w:lineRule="exact"/>
              <w:rPr>
                <w:sz w:val="20"/>
                <w:szCs w:val="20"/>
                <w:color w:val="auto"/>
              </w:rPr>
            </w:pPr>
            <w:r>
              <w:rPr>
                <w:rFonts w:ascii="Arial" w:cs="Arial" w:eastAsia="Arial" w:hAnsi="Arial"/>
                <w:sz w:val="18"/>
                <w:szCs w:val="18"/>
                <w:b w:val="1"/>
                <w:bCs w:val="1"/>
                <w:color w:val="auto"/>
                <w:w w:val="96"/>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ind w:right="30"/>
              <w:spacing w:after="0" w:line="202" w:lineRule="exact"/>
              <w:rPr>
                <w:sz w:val="20"/>
                <w:szCs w:val="20"/>
                <w:color w:val="auto"/>
              </w:rPr>
            </w:pPr>
            <w:r>
              <w:rPr>
                <w:rFonts w:ascii="Arial" w:cs="Arial" w:eastAsia="Arial" w:hAnsi="Arial"/>
                <w:sz w:val="18"/>
                <w:szCs w:val="18"/>
                <w:b w:val="1"/>
                <w:bCs w:val="1"/>
                <w:color w:val="auto"/>
                <w:w w:val="91"/>
              </w:rPr>
              <w:t>under Prompt Corrective</w:t>
            </w:r>
          </w:p>
        </w:tc>
      </w:tr>
      <w:tr>
        <w:trPr>
          <w:trHeight w:val="255"/>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the Bank</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Actual Ratio</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w w:val="87"/>
              </w:rPr>
              <w:t>Purposes</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7"/>
              </w:rPr>
              <w:t>Action Provisions</w:t>
            </w:r>
          </w:p>
        </w:tc>
      </w:tr>
      <w:tr>
        <w:trPr>
          <w:trHeight w:val="25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Ratio</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spacing w:after="0"/>
              <w:rPr>
                <w:sz w:val="22"/>
                <w:szCs w:val="22"/>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Ratio</w:t>
            </w:r>
          </w:p>
        </w:tc>
      </w:tr>
      <w:tr>
        <w:trPr>
          <w:trHeight w:val="250"/>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383,511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11.97 %</w:t>
            </w:r>
          </w:p>
        </w:tc>
        <w:tc>
          <w:tcPr>
            <w:tcW w:w="1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256,314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320,393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351,283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256,411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351,283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10.96 %</w:t>
            </w:r>
          </w:p>
        </w:tc>
        <w:tc>
          <w:tcPr>
            <w:tcW w:w="1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144,231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208,334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6.50 %</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351,283</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169,375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356,301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327,788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11.17 %</w:t>
            </w:r>
          </w:p>
        </w:tc>
        <w:tc>
          <w:tcPr>
            <w:tcW w:w="1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176,072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234,763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8.00 %</w:t>
            </w:r>
          </w:p>
        </w:tc>
      </w:tr>
      <w:tr>
        <w:trPr>
          <w:trHeight w:val="22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4"/>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11.17 %</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190,745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327,788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10.69 %</w:t>
            </w:r>
          </w:p>
        </w:tc>
        <w:tc>
          <w:tcPr>
            <w:tcW w:w="1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122,652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153,315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5.00 %</w:t>
            </w:r>
          </w:p>
        </w:tc>
      </w:tr>
    </w:tbl>
    <w:p>
      <w:pPr>
        <w:spacing w:after="0" w:line="26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listed capital adequacy ratios exclude capital conservation buffers.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the financial measures discussed herein are non-GAAP financial measures. In accordance with SEC rules, we classify a financial measure as being a non-GAAP financial measure if that financial measure excludes or includes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68" w:name="page69"/>
    <w:bookmarkEnd w:id="68"/>
    <w:p>
      <w:pPr>
        <w:jc w:val="both"/>
        <w:spacing w:after="0" w:line="263" w:lineRule="auto"/>
        <w:rPr>
          <w:sz w:val="20"/>
          <w:szCs w:val="20"/>
          <w:color w:val="auto"/>
        </w:rPr>
      </w:pPr>
      <w:r>
        <w:rPr>
          <w:rFonts w:ascii="Arial" w:cs="Arial" w:eastAsia="Arial" w:hAnsi="Arial"/>
          <w:sz w:val="18"/>
          <w:szCs w:val="18"/>
          <w:color w:val="auto"/>
        </w:rPr>
        <w:t>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and Regulatory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Regulatory Reform in Response to Recent Bank Failures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failures of Silicon Valley Bank (Santa Clara, California), Signature Bank (New York, New York), and First Republic Bank (San Francisco, California) in March and May, 2023, may lead to regulatory changes and initiatives that could impact the Company. For example, President Biden has encouraged the federal banking agencies to adopt various reforms, including the completion of an incentive compensation rule for bank executives pursuant to Section 956 of the Dodd-Frank Act, in response to these bank failures. On April 28, 2023, the Federal Reserve and the FDIC issued reports on the failures of Silicon Valley Bank and Signature Bank, respectively, identifying potential causes that the federal banking agencies may seek to address through changes to their supervisory and regulatory policies. Additionally, agency officials, including the Vice Chair for Supervision of the Board of Governors of the Federal Reserve System, have called for changes to the manner in which banks’ capital, interest rate, and liquidity risks are supervised and regulated. The extent of final actions to be taken by the regulatory agencies in response to these bank failures, including the potential changes discussed by the Vice Chair or highlighted in the Federal Reserve and FDIC reports, remains unclear.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Term Funding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created the Bank Term Funding Program (the “BTFP”) in response to recent concerns over liquidity in the banking sector. This program provides funding to eligible depository institutions to help ensure that banks can meet the needs of all depositors. The BTFP offers one-year loans to banks pledging any collateral eligible for purchase by the Federal Reserve Banks in open market operations, such as U.S. Treasury securities, U.S. agency securities, and U.S. agency mortgage-backed securities. At September 30, 2023, the Company had neither used nor established borrowing capacity with the BTFP.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Business Lending Data Collection Rule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30, 2023, the Consumer Financial Protection Bureau (the “CFPB”) finalized a rule under Section 1071 of the Dodd-Frank Act requiring lenders to collect and report data regarding small business lending activity. The Company is evaluating the impact of the new rule.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rule took effect on August 29, 2023, and requires compliance by October 1, 2024, April 1, 2025, or January 1, 2026, depending on the number of covered small business loans that a covered lender originates. In October 2023, the U.S.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District Court for the Southern District of Texas issued a nationwide preliminary injunction enjoining the CFPB from enforcing and implementing the rule.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Risk Management Guidance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6, 2023, the FDIC, the Federal Reserve, and the OCC issued final guidance providing sound principles that support a risk-based approach to third-party risk management. The Company is evaluating the impact of this guidance on its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Reinvestment Act Reform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24, 2023, the Agencies released a final rule revising the framework that the Agencies use to evaluate banks’ records of community reinvestment under the Community Reinvestment Act (the “CRA”). Under the revised framework, banks with assets of at least $2 billion, such as the Bank, are considered large banks and will have their retail lending, retail services and products, community development financing, and community development services subject to periodic evaluation. Depending on a large bank’s geographic distribution of lending, the evaluation of retail lending may include assessment areas in which the bank extends loans but does not operate any deposit-taking facilities, in addition to assessment areas in which the bank has deposit-taking facilities. The rule becomes effective April 1, 2024. Most provisions of the final rule will apply beginning January 1, 2026, and the remaining provisions will apply beginning January 1, 2027. The Company is evaluating the impact of the final rule.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Glossary of Acronyms, Abbreviations, and Terms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Annual</w:t>
            </w:r>
          </w:p>
        </w:tc>
        <w:tc>
          <w:tcPr>
            <w:tcW w:w="42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5"/>
              </w:rPr>
              <w:t>Company’s Annual Report on Form 10-K for the year</w:t>
            </w:r>
          </w:p>
        </w:tc>
        <w:tc>
          <w:tcPr>
            <w:tcW w:w="156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Report on Form</w:t>
            </w:r>
          </w:p>
        </w:tc>
        <w:tc>
          <w:tcPr>
            <w:tcW w:w="4200" w:type="dxa"/>
            <w:vAlign w:val="bottom"/>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10-K</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ended December 31, 2022</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FNMA</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National Mortgage Association</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ACL</w:t>
            </w:r>
          </w:p>
        </w:tc>
        <w:tc>
          <w:tcPr>
            <w:tcW w:w="420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1560" w:type="dxa"/>
            <w:vAlign w:val="bottom"/>
          </w:tcPr>
          <w:p>
            <w:pPr>
              <w:ind w:left="260"/>
              <w:spacing w:after="0"/>
              <w:rPr>
                <w:sz w:val="20"/>
                <w:szCs w:val="20"/>
                <w:color w:val="auto"/>
              </w:rPr>
            </w:pPr>
            <w:r>
              <w:rPr>
                <w:rFonts w:ascii="Arial" w:cs="Arial" w:eastAsia="Arial" w:hAnsi="Arial"/>
                <w:sz w:val="18"/>
                <w:szCs w:val="18"/>
                <w:color w:val="auto"/>
                <w:w w:val="96"/>
              </w:rPr>
              <w:t>Federal Reserve</w:t>
            </w:r>
          </w:p>
        </w:tc>
        <w:tc>
          <w:tcPr>
            <w:tcW w:w="4180" w:type="dxa"/>
            <w:vAlign w:val="bottom"/>
          </w:tcPr>
          <w:p>
            <w:pPr>
              <w:ind w:left="120"/>
              <w:spacing w:after="0"/>
              <w:rPr>
                <w:sz w:val="20"/>
                <w:szCs w:val="20"/>
                <w:color w:val="auto"/>
              </w:rPr>
            </w:pPr>
            <w:r>
              <w:rPr>
                <w:rFonts w:ascii="Arial" w:cs="Arial" w:eastAsia="Arial" w:hAnsi="Arial"/>
                <w:sz w:val="18"/>
                <w:szCs w:val="18"/>
                <w:color w:val="auto"/>
                <w:w w:val="98"/>
              </w:rPr>
              <w:t>Board of Governors of the Federal Reserve System</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Accounting Standards Codification</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GAAP</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Generally Accepted Accounting Principles in the U.S.</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ASU</w:t>
            </w:r>
          </w:p>
        </w:tc>
        <w:tc>
          <w:tcPr>
            <w:tcW w:w="4200" w:type="dxa"/>
            <w:vAlign w:val="bottom"/>
          </w:tcPr>
          <w:p>
            <w:pPr>
              <w:ind w:left="140"/>
              <w:spacing w:after="0"/>
              <w:rPr>
                <w:sz w:val="20"/>
                <w:szCs w:val="20"/>
                <w:color w:val="auto"/>
              </w:rPr>
            </w:pPr>
            <w:r>
              <w:rPr>
                <w:rFonts w:ascii="Arial" w:cs="Arial" w:eastAsia="Arial" w:hAnsi="Arial"/>
                <w:sz w:val="18"/>
                <w:szCs w:val="18"/>
                <w:color w:val="auto"/>
              </w:rPr>
              <w:t>Accounting Standards Update</w:t>
            </w:r>
          </w:p>
        </w:tc>
        <w:tc>
          <w:tcPr>
            <w:tcW w:w="1560" w:type="dxa"/>
            <w:vAlign w:val="bottom"/>
          </w:tcPr>
          <w:p>
            <w:pPr>
              <w:ind w:left="260"/>
              <w:spacing w:after="0"/>
              <w:rPr>
                <w:sz w:val="20"/>
                <w:szCs w:val="20"/>
                <w:color w:val="auto"/>
              </w:rPr>
            </w:pPr>
            <w:r>
              <w:rPr>
                <w:rFonts w:ascii="Arial" w:cs="Arial" w:eastAsia="Arial" w:hAnsi="Arial"/>
                <w:sz w:val="18"/>
                <w:szCs w:val="18"/>
                <w:color w:val="auto"/>
              </w:rPr>
              <w:t>GNMA</w:t>
            </w:r>
          </w:p>
        </w:tc>
        <w:tc>
          <w:tcPr>
            <w:tcW w:w="4180" w:type="dxa"/>
            <w:vAlign w:val="bottom"/>
          </w:tcPr>
          <w:p>
            <w:pPr>
              <w:ind w:left="120"/>
              <w:spacing w:after="0"/>
              <w:rPr>
                <w:sz w:val="20"/>
                <w:szCs w:val="20"/>
                <w:color w:val="auto"/>
              </w:rPr>
            </w:pPr>
            <w:r>
              <w:rPr>
                <w:rFonts w:ascii="Arial" w:cs="Arial" w:eastAsia="Arial" w:hAnsi="Arial"/>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Available-for-Sale</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GSE</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Government Sponsored Entity</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Bancorp</w:t>
            </w:r>
          </w:p>
        </w:tc>
        <w:tc>
          <w:tcPr>
            <w:tcW w:w="4200" w:type="dxa"/>
            <w:vAlign w:val="bottom"/>
          </w:tcPr>
          <w:p>
            <w:pPr>
              <w:ind w:left="140"/>
              <w:spacing w:after="0"/>
              <w:rPr>
                <w:sz w:val="20"/>
                <w:szCs w:val="20"/>
                <w:color w:val="auto"/>
              </w:rPr>
            </w:pPr>
            <w:r>
              <w:rPr>
                <w:rFonts w:ascii="Arial" w:cs="Arial" w:eastAsia="Arial" w:hAnsi="Arial"/>
                <w:sz w:val="18"/>
                <w:szCs w:val="18"/>
                <w:color w:val="auto"/>
              </w:rPr>
              <w:t>Five Star Bancorp and its subsidiary</w:t>
            </w:r>
          </w:p>
        </w:tc>
        <w:tc>
          <w:tcPr>
            <w:tcW w:w="1560" w:type="dxa"/>
            <w:vAlign w:val="bottom"/>
          </w:tcPr>
          <w:p>
            <w:pPr>
              <w:ind w:left="260"/>
              <w:spacing w:after="0"/>
              <w:rPr>
                <w:sz w:val="20"/>
                <w:szCs w:val="20"/>
                <w:color w:val="auto"/>
              </w:rPr>
            </w:pPr>
            <w:r>
              <w:rPr>
                <w:rFonts w:ascii="Arial" w:cs="Arial" w:eastAsia="Arial" w:hAnsi="Arial"/>
                <w:sz w:val="18"/>
                <w:szCs w:val="18"/>
                <w:color w:val="auto"/>
              </w:rPr>
              <w:t>ICS</w:t>
            </w:r>
          </w:p>
        </w:tc>
        <w:tc>
          <w:tcPr>
            <w:tcW w:w="4180" w:type="dxa"/>
            <w:vAlign w:val="bottom"/>
          </w:tcPr>
          <w:p>
            <w:pPr>
              <w:ind w:left="120"/>
              <w:spacing w:after="0"/>
              <w:rPr>
                <w:sz w:val="20"/>
                <w:szCs w:val="20"/>
                <w:color w:val="auto"/>
              </w:rPr>
            </w:pPr>
            <w:r>
              <w:rPr>
                <w:rFonts w:ascii="Arial" w:cs="Arial" w:eastAsia="Arial" w:hAnsi="Arial"/>
                <w:sz w:val="18"/>
                <w:szCs w:val="18"/>
                <w:color w:val="auto"/>
              </w:rPr>
              <w:t>Insured Cash Sweep®</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Five Star Bank</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IPO</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Initial Public Offering</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4200" w:type="dxa"/>
            <w:vAlign w:val="bottom"/>
          </w:tcPr>
          <w:p>
            <w:pPr>
              <w:ind w:left="140"/>
              <w:spacing w:after="0" w:line="176" w:lineRule="exact"/>
              <w:rPr>
                <w:sz w:val="20"/>
                <w:szCs w:val="20"/>
                <w:color w:val="auto"/>
              </w:rPr>
            </w:pPr>
            <w:r>
              <w:rPr>
                <w:rFonts w:ascii="Arial" w:cs="Arial" w:eastAsia="Arial" w:hAnsi="Arial"/>
                <w:sz w:val="18"/>
                <w:szCs w:val="18"/>
                <w:color w:val="auto"/>
                <w:w w:val="99"/>
              </w:rPr>
              <w:t>A  capital  framework  and  rules  for  U.S.  banking</w:t>
            </w:r>
          </w:p>
        </w:tc>
        <w:tc>
          <w:tcPr>
            <w:tcW w:w="1560" w:type="dxa"/>
            <w:vAlign w:val="bottom"/>
          </w:tcPr>
          <w:p>
            <w:pPr>
              <w:spacing w:after="0"/>
              <w:rPr>
                <w:sz w:val="15"/>
                <w:szCs w:val="15"/>
                <w:color w:val="auto"/>
              </w:rPr>
            </w:pPr>
          </w:p>
        </w:tc>
        <w:tc>
          <w:tcPr>
            <w:tcW w:w="4180" w:type="dxa"/>
            <w:vAlign w:val="bottom"/>
          </w:tcPr>
          <w:p>
            <w:pPr>
              <w:ind w:left="120"/>
              <w:spacing w:after="0" w:line="176" w:lineRule="exact"/>
              <w:rPr>
                <w:sz w:val="20"/>
                <w:szCs w:val="20"/>
                <w:color w:val="auto"/>
              </w:rPr>
            </w:pPr>
            <w:r>
              <w:rPr>
                <w:rFonts w:ascii="Arial" w:cs="Arial" w:eastAsia="Arial" w:hAnsi="Arial"/>
                <w:sz w:val="18"/>
                <w:szCs w:val="18"/>
                <w:color w:val="auto"/>
                <w:w w:val="96"/>
              </w:rPr>
              <w:t>Loan  modification  made  to  borrower  experiencing</w:t>
            </w: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Basel III</w:t>
            </w:r>
          </w:p>
        </w:tc>
        <w:tc>
          <w:tcPr>
            <w:tcW w:w="4200" w:type="dxa"/>
            <w:vAlign w:val="bottom"/>
          </w:tcPr>
          <w:p>
            <w:pPr>
              <w:ind w:left="140"/>
              <w:spacing w:after="0"/>
              <w:rPr>
                <w:sz w:val="20"/>
                <w:szCs w:val="20"/>
                <w:color w:val="auto"/>
              </w:rPr>
            </w:pPr>
            <w:r>
              <w:rPr>
                <w:rFonts w:ascii="Arial" w:cs="Arial" w:eastAsia="Arial" w:hAnsi="Arial"/>
                <w:sz w:val="18"/>
                <w:szCs w:val="18"/>
                <w:color w:val="auto"/>
              </w:rPr>
              <w:t>organizations</w:t>
            </w:r>
          </w:p>
        </w:tc>
        <w:tc>
          <w:tcPr>
            <w:tcW w:w="1560" w:type="dxa"/>
            <w:vAlign w:val="bottom"/>
          </w:tcPr>
          <w:p>
            <w:pPr>
              <w:ind w:left="260"/>
              <w:spacing w:after="0"/>
              <w:rPr>
                <w:sz w:val="20"/>
                <w:szCs w:val="20"/>
                <w:color w:val="auto"/>
              </w:rPr>
            </w:pPr>
            <w:r>
              <w:rPr>
                <w:rFonts w:ascii="Arial" w:cs="Arial" w:eastAsia="Arial" w:hAnsi="Arial"/>
                <w:sz w:val="18"/>
                <w:szCs w:val="18"/>
                <w:color w:val="auto"/>
              </w:rPr>
              <w:t>LM</w:t>
            </w:r>
          </w:p>
        </w:tc>
        <w:tc>
          <w:tcPr>
            <w:tcW w:w="4180" w:type="dxa"/>
            <w:vAlign w:val="bottom"/>
          </w:tcPr>
          <w:p>
            <w:pPr>
              <w:ind w:left="120"/>
              <w:spacing w:after="0"/>
              <w:rPr>
                <w:sz w:val="20"/>
                <w:szCs w:val="20"/>
                <w:color w:val="auto"/>
              </w:rPr>
            </w:pPr>
            <w:r>
              <w:rPr>
                <w:rFonts w:ascii="Arial" w:cs="Arial" w:eastAsia="Arial" w:hAnsi="Arial"/>
                <w:sz w:val="18"/>
                <w:szCs w:val="18"/>
                <w:color w:val="auto"/>
              </w:rPr>
              <w:t>financial difficulty</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BOLI</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Bank-Owned Life Insurance</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NI</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BTFP</w:t>
            </w:r>
          </w:p>
        </w:tc>
        <w:tc>
          <w:tcPr>
            <w:tcW w:w="4200" w:type="dxa"/>
            <w:vAlign w:val="bottom"/>
          </w:tcPr>
          <w:p>
            <w:pPr>
              <w:ind w:left="140"/>
              <w:spacing w:after="0"/>
              <w:rPr>
                <w:sz w:val="20"/>
                <w:szCs w:val="20"/>
                <w:color w:val="auto"/>
              </w:rPr>
            </w:pPr>
            <w:r>
              <w:rPr>
                <w:rFonts w:ascii="Arial" w:cs="Arial" w:eastAsia="Arial" w:hAnsi="Arial"/>
                <w:sz w:val="18"/>
                <w:szCs w:val="18"/>
                <w:color w:val="auto"/>
              </w:rPr>
              <w:t>Bank Term Funding Program</w:t>
            </w:r>
          </w:p>
        </w:tc>
        <w:tc>
          <w:tcPr>
            <w:tcW w:w="1560" w:type="dxa"/>
            <w:vAlign w:val="bottom"/>
          </w:tcPr>
          <w:p>
            <w:pPr>
              <w:ind w:left="260"/>
              <w:spacing w:after="0"/>
              <w:rPr>
                <w:sz w:val="20"/>
                <w:szCs w:val="20"/>
                <w:color w:val="auto"/>
              </w:rPr>
            </w:pPr>
            <w:r>
              <w:rPr>
                <w:rFonts w:ascii="Arial" w:cs="Arial" w:eastAsia="Arial" w:hAnsi="Arial"/>
                <w:sz w:val="18"/>
                <w:szCs w:val="18"/>
                <w:color w:val="auto"/>
              </w:rPr>
              <w:t>NIM</w:t>
            </w:r>
          </w:p>
        </w:tc>
        <w:tc>
          <w:tcPr>
            <w:tcW w:w="4180" w:type="dxa"/>
            <w:vAlign w:val="bottom"/>
          </w:tcPr>
          <w:p>
            <w:pPr>
              <w:ind w:left="120"/>
              <w:spacing w:after="0"/>
              <w:rPr>
                <w:sz w:val="20"/>
                <w:szCs w:val="20"/>
                <w:color w:val="auto"/>
              </w:rPr>
            </w:pPr>
            <w:r>
              <w:rPr>
                <w:rFonts w:ascii="Arial" w:cs="Arial" w:eastAsia="Arial" w:hAnsi="Arial"/>
                <w:sz w:val="18"/>
                <w:szCs w:val="18"/>
                <w:color w:val="auto"/>
              </w:rPr>
              <w:t>Net Interest Margin</w:t>
            </w:r>
          </w:p>
        </w:tc>
        <w:tc>
          <w:tcPr>
            <w:tcW w:w="0" w:type="dxa"/>
            <w:vAlign w:val="bottom"/>
          </w:tcPr>
          <w:p>
            <w:pPr>
              <w:spacing w:after="0"/>
              <w:rPr>
                <w:sz w:val="1"/>
                <w:szCs w:val="1"/>
                <w:color w:val="auto"/>
              </w:rPr>
            </w:pPr>
          </w:p>
        </w:tc>
      </w:tr>
      <w:tr>
        <w:trPr>
          <w:trHeight w:val="229"/>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CDARS</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 of Deposit Account Registry Service®</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OCC</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Office of the Comptroller of the Currency</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4200" w:type="dxa"/>
            <w:vAlign w:val="bottom"/>
          </w:tcPr>
          <w:p>
            <w:pPr>
              <w:ind w:left="140"/>
              <w:spacing w:after="0" w:line="176" w:lineRule="exact"/>
              <w:rPr>
                <w:sz w:val="20"/>
                <w:szCs w:val="20"/>
                <w:color w:val="auto"/>
              </w:rPr>
            </w:pPr>
            <w:r>
              <w:rPr>
                <w:rFonts w:ascii="Arial" w:cs="Arial" w:eastAsia="Arial" w:hAnsi="Arial"/>
                <w:sz w:val="18"/>
                <w:szCs w:val="18"/>
                <w:color w:val="auto"/>
                <w:w w:val="94"/>
              </w:rPr>
              <w:t>Current Expected Credit Loss model for recognition of</w:t>
            </w:r>
          </w:p>
        </w:tc>
        <w:tc>
          <w:tcPr>
            <w:tcW w:w="1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CECL</w:t>
            </w:r>
          </w:p>
        </w:tc>
        <w:tc>
          <w:tcPr>
            <w:tcW w:w="4200" w:type="dxa"/>
            <w:vAlign w:val="bottom"/>
          </w:tcPr>
          <w:p>
            <w:pPr>
              <w:ind w:left="140"/>
              <w:spacing w:after="0"/>
              <w:rPr>
                <w:sz w:val="20"/>
                <w:szCs w:val="20"/>
                <w:color w:val="auto"/>
              </w:rPr>
            </w:pPr>
            <w:r>
              <w:rPr>
                <w:rFonts w:ascii="Arial" w:cs="Arial" w:eastAsia="Arial" w:hAnsi="Arial"/>
                <w:sz w:val="18"/>
                <w:szCs w:val="18"/>
                <w:color w:val="auto"/>
              </w:rPr>
              <w:t>credit losses under ASC 326</w:t>
            </w:r>
          </w:p>
        </w:tc>
        <w:tc>
          <w:tcPr>
            <w:tcW w:w="1560" w:type="dxa"/>
            <w:vAlign w:val="bottom"/>
          </w:tcPr>
          <w:p>
            <w:pPr>
              <w:ind w:left="260"/>
              <w:spacing w:after="0"/>
              <w:rPr>
                <w:sz w:val="20"/>
                <w:szCs w:val="20"/>
                <w:color w:val="auto"/>
              </w:rPr>
            </w:pPr>
            <w:r>
              <w:rPr>
                <w:rFonts w:ascii="Arial" w:cs="Arial" w:eastAsia="Arial" w:hAnsi="Arial"/>
                <w:sz w:val="18"/>
                <w:szCs w:val="18"/>
                <w:color w:val="auto"/>
              </w:rPr>
              <w:t>OCI</w:t>
            </w:r>
          </w:p>
        </w:tc>
        <w:tc>
          <w:tcPr>
            <w:tcW w:w="418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CFPB</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Financial Protection Bureau</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PPP</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Paycheck Protection Program</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CRA</w:t>
            </w:r>
          </w:p>
        </w:tc>
        <w:tc>
          <w:tcPr>
            <w:tcW w:w="4200" w:type="dxa"/>
            <w:vAlign w:val="bottom"/>
          </w:tcPr>
          <w:p>
            <w:pPr>
              <w:ind w:left="140"/>
              <w:spacing w:after="0"/>
              <w:rPr>
                <w:sz w:val="20"/>
                <w:szCs w:val="20"/>
                <w:color w:val="auto"/>
              </w:rPr>
            </w:pPr>
            <w:r>
              <w:rPr>
                <w:rFonts w:ascii="Arial" w:cs="Arial" w:eastAsia="Arial" w:hAnsi="Arial"/>
                <w:sz w:val="18"/>
                <w:szCs w:val="18"/>
                <w:color w:val="auto"/>
              </w:rPr>
              <w:t>Community Reinvestment Act</w:t>
            </w:r>
          </w:p>
        </w:tc>
        <w:tc>
          <w:tcPr>
            <w:tcW w:w="1560" w:type="dxa"/>
            <w:vAlign w:val="bottom"/>
          </w:tcPr>
          <w:p>
            <w:pPr>
              <w:ind w:left="260"/>
              <w:spacing w:after="0"/>
              <w:rPr>
                <w:sz w:val="20"/>
                <w:szCs w:val="20"/>
                <w:color w:val="auto"/>
              </w:rPr>
            </w:pPr>
            <w:r>
              <w:rPr>
                <w:rFonts w:ascii="Arial" w:cs="Arial" w:eastAsia="Arial" w:hAnsi="Arial"/>
                <w:sz w:val="18"/>
                <w:szCs w:val="18"/>
                <w:color w:val="auto"/>
              </w:rPr>
              <w:t>RSA</w:t>
            </w:r>
          </w:p>
        </w:tc>
        <w:tc>
          <w:tcPr>
            <w:tcW w:w="4180" w:type="dxa"/>
            <w:vAlign w:val="bottom"/>
          </w:tcPr>
          <w:p>
            <w:pPr>
              <w:ind w:left="120"/>
              <w:spacing w:after="0"/>
              <w:rPr>
                <w:sz w:val="20"/>
                <w:szCs w:val="20"/>
                <w:color w:val="auto"/>
              </w:rPr>
            </w:pPr>
            <w:r>
              <w:rPr>
                <w:rFonts w:ascii="Arial" w:cs="Arial" w:eastAsia="Arial" w:hAnsi="Arial"/>
                <w:sz w:val="18"/>
                <w:szCs w:val="18"/>
                <w:color w:val="auto"/>
              </w:rPr>
              <w:t>Restricted Stock Award</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CME</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Chicago Mercantile Exchange</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ROAA</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Return on Average Assets, annualized</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CRE</w:t>
            </w:r>
          </w:p>
        </w:tc>
        <w:tc>
          <w:tcPr>
            <w:tcW w:w="420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560" w:type="dxa"/>
            <w:vAlign w:val="bottom"/>
          </w:tcPr>
          <w:p>
            <w:pPr>
              <w:ind w:left="260"/>
              <w:spacing w:after="0"/>
              <w:rPr>
                <w:sz w:val="20"/>
                <w:szCs w:val="20"/>
                <w:color w:val="auto"/>
              </w:rPr>
            </w:pPr>
            <w:r>
              <w:rPr>
                <w:rFonts w:ascii="Arial" w:cs="Arial" w:eastAsia="Arial" w:hAnsi="Arial"/>
                <w:sz w:val="18"/>
                <w:szCs w:val="18"/>
                <w:color w:val="auto"/>
              </w:rPr>
              <w:t>ROAE</w:t>
            </w:r>
          </w:p>
        </w:tc>
        <w:tc>
          <w:tcPr>
            <w:tcW w:w="4180" w:type="dxa"/>
            <w:vAlign w:val="bottom"/>
          </w:tcPr>
          <w:p>
            <w:pPr>
              <w:ind w:left="120"/>
              <w:spacing w:after="0"/>
              <w:rPr>
                <w:sz w:val="20"/>
                <w:szCs w:val="20"/>
                <w:color w:val="auto"/>
              </w:rPr>
            </w:pPr>
            <w:r>
              <w:rPr>
                <w:rFonts w:ascii="Arial" w:cs="Arial" w:eastAsia="Arial" w:hAnsi="Arial"/>
                <w:sz w:val="18"/>
                <w:szCs w:val="18"/>
                <w:color w:val="auto"/>
              </w:rPr>
              <w:t>Return on Average Equity, annualized</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C&amp;I</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ROUA</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Right-of-Use Asset</w:t>
            </w:r>
          </w:p>
        </w:tc>
        <w:tc>
          <w:tcPr>
            <w:tcW w:w="0" w:type="dxa"/>
            <w:vAlign w:val="bottom"/>
          </w:tcPr>
          <w:p>
            <w:pPr>
              <w:spacing w:after="0"/>
              <w:rPr>
                <w:sz w:val="1"/>
                <w:szCs w:val="1"/>
                <w:color w:val="auto"/>
              </w:rPr>
            </w:pPr>
          </w:p>
        </w:tc>
      </w:tr>
      <w:tr>
        <w:trPr>
          <w:trHeight w:val="229"/>
        </w:trPr>
        <w:tc>
          <w:tcPr>
            <w:tcW w:w="1300" w:type="dxa"/>
            <w:vAlign w:val="bottom"/>
          </w:tcPr>
          <w:p>
            <w:pPr>
              <w:ind w:left="20"/>
              <w:spacing w:after="0"/>
              <w:rPr>
                <w:sz w:val="20"/>
                <w:szCs w:val="20"/>
                <w:color w:val="auto"/>
              </w:rPr>
            </w:pPr>
            <w:r>
              <w:rPr>
                <w:rFonts w:ascii="Arial" w:cs="Arial" w:eastAsia="Arial" w:hAnsi="Arial"/>
                <w:sz w:val="18"/>
                <w:szCs w:val="18"/>
                <w:color w:val="auto"/>
              </w:rPr>
              <w:t>EPS</w:t>
            </w:r>
          </w:p>
        </w:tc>
        <w:tc>
          <w:tcPr>
            <w:tcW w:w="4200" w:type="dxa"/>
            <w:vAlign w:val="bottom"/>
          </w:tcPr>
          <w:p>
            <w:pPr>
              <w:ind w:left="140"/>
              <w:spacing w:after="0"/>
              <w:rPr>
                <w:sz w:val="20"/>
                <w:szCs w:val="20"/>
                <w:color w:val="auto"/>
              </w:rPr>
            </w:pPr>
            <w:r>
              <w:rPr>
                <w:rFonts w:ascii="Arial" w:cs="Arial" w:eastAsia="Arial" w:hAnsi="Arial"/>
                <w:sz w:val="18"/>
                <w:szCs w:val="18"/>
                <w:color w:val="auto"/>
              </w:rPr>
              <w:t>Earnings per Share</w:t>
            </w:r>
          </w:p>
        </w:tc>
        <w:tc>
          <w:tcPr>
            <w:tcW w:w="1560" w:type="dxa"/>
            <w:vAlign w:val="bottom"/>
          </w:tcPr>
          <w:p>
            <w:pPr>
              <w:ind w:left="260"/>
              <w:spacing w:after="0"/>
              <w:rPr>
                <w:sz w:val="20"/>
                <w:szCs w:val="20"/>
                <w:color w:val="auto"/>
              </w:rPr>
            </w:pPr>
            <w:r>
              <w:rPr>
                <w:rFonts w:ascii="Arial" w:cs="Arial" w:eastAsia="Arial" w:hAnsi="Arial"/>
                <w:sz w:val="18"/>
                <w:szCs w:val="18"/>
                <w:color w:val="auto"/>
              </w:rPr>
              <w:t>SBA</w:t>
            </w:r>
          </w:p>
        </w:tc>
        <w:tc>
          <w:tcPr>
            <w:tcW w:w="4180" w:type="dxa"/>
            <w:vAlign w:val="bottom"/>
          </w:tcPr>
          <w:p>
            <w:pPr>
              <w:ind w:left="120"/>
              <w:spacing w:after="0"/>
              <w:rPr>
                <w:sz w:val="20"/>
                <w:szCs w:val="20"/>
                <w:color w:val="auto"/>
              </w:rPr>
            </w:pPr>
            <w:r>
              <w:rPr>
                <w:rFonts w:ascii="Arial" w:cs="Arial" w:eastAsia="Arial" w:hAnsi="Arial"/>
                <w:sz w:val="18"/>
                <w:szCs w:val="18"/>
                <w:color w:val="auto"/>
              </w:rPr>
              <w:t>U.S. Small Business Administration</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Accounting Standards Board</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SEC</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FDIC</w:t>
            </w:r>
          </w:p>
        </w:tc>
        <w:tc>
          <w:tcPr>
            <w:tcW w:w="4200" w:type="dxa"/>
            <w:vAlign w:val="bottom"/>
          </w:tcPr>
          <w:p>
            <w:pPr>
              <w:ind w:left="140"/>
              <w:spacing w:after="0"/>
              <w:rPr>
                <w:sz w:val="20"/>
                <w:szCs w:val="20"/>
                <w:color w:val="auto"/>
              </w:rPr>
            </w:pPr>
            <w:r>
              <w:rPr>
                <w:rFonts w:ascii="Arial" w:cs="Arial" w:eastAsia="Arial" w:hAnsi="Arial"/>
                <w:sz w:val="18"/>
                <w:szCs w:val="18"/>
                <w:color w:val="auto"/>
              </w:rPr>
              <w:t>Federal Deposit Insurance Corporation</w:t>
            </w:r>
          </w:p>
        </w:tc>
        <w:tc>
          <w:tcPr>
            <w:tcW w:w="1560" w:type="dxa"/>
            <w:vAlign w:val="bottom"/>
          </w:tcPr>
          <w:p>
            <w:pPr>
              <w:ind w:left="260"/>
              <w:spacing w:after="0"/>
              <w:rPr>
                <w:sz w:val="20"/>
                <w:szCs w:val="20"/>
                <w:color w:val="auto"/>
              </w:rPr>
            </w:pPr>
            <w:r>
              <w:rPr>
                <w:rFonts w:ascii="Arial" w:cs="Arial" w:eastAsia="Arial" w:hAnsi="Arial"/>
                <w:sz w:val="18"/>
                <w:szCs w:val="18"/>
                <w:color w:val="auto"/>
              </w:rPr>
              <w:t>SOFR</w:t>
            </w:r>
          </w:p>
        </w:tc>
        <w:tc>
          <w:tcPr>
            <w:tcW w:w="4180" w:type="dxa"/>
            <w:vAlign w:val="bottom"/>
          </w:tcPr>
          <w:p>
            <w:pPr>
              <w:ind w:left="12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1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of San Francisco</w:t>
            </w:r>
          </w:p>
        </w:tc>
        <w:tc>
          <w:tcPr>
            <w:tcW w:w="1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TDR</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Troubled Debt Restructuring</w:t>
            </w:r>
          </w:p>
        </w:tc>
        <w:tc>
          <w:tcPr>
            <w:tcW w:w="0" w:type="dxa"/>
            <w:vAlign w:val="bottom"/>
          </w:tcPr>
          <w:p>
            <w:pPr>
              <w:spacing w:after="0"/>
              <w:rPr>
                <w:sz w:val="1"/>
                <w:szCs w:val="1"/>
                <w:color w:val="auto"/>
              </w:rPr>
            </w:pPr>
          </w:p>
        </w:tc>
      </w:tr>
      <w:tr>
        <w:trPr>
          <w:trHeight w:val="230"/>
        </w:trPr>
        <w:tc>
          <w:tcPr>
            <w:tcW w:w="1300" w:type="dxa"/>
            <w:vAlign w:val="bottom"/>
          </w:tcPr>
          <w:p>
            <w:pPr>
              <w:ind w:left="20"/>
              <w:spacing w:after="0"/>
              <w:rPr>
                <w:sz w:val="20"/>
                <w:szCs w:val="20"/>
                <w:color w:val="auto"/>
              </w:rPr>
            </w:pPr>
            <w:r>
              <w:rPr>
                <w:rFonts w:ascii="Arial" w:cs="Arial" w:eastAsia="Arial" w:hAnsi="Arial"/>
                <w:sz w:val="18"/>
                <w:szCs w:val="18"/>
                <w:color w:val="auto"/>
              </w:rPr>
              <w:t>FHLMC</w:t>
            </w:r>
          </w:p>
        </w:tc>
        <w:tc>
          <w:tcPr>
            <w:tcW w:w="4200" w:type="dxa"/>
            <w:vAlign w:val="bottom"/>
          </w:tcPr>
          <w:p>
            <w:pPr>
              <w:ind w:left="140"/>
              <w:spacing w:after="0"/>
              <w:rPr>
                <w:sz w:val="20"/>
                <w:szCs w:val="20"/>
                <w:color w:val="auto"/>
              </w:rPr>
            </w:pPr>
            <w:r>
              <w:rPr>
                <w:rFonts w:ascii="Arial" w:cs="Arial" w:eastAsia="Arial" w:hAnsi="Arial"/>
                <w:sz w:val="18"/>
                <w:szCs w:val="18"/>
                <w:color w:val="auto"/>
              </w:rPr>
              <w:t>Federal Home Loan Mortgage Corporation</w:t>
            </w:r>
          </w:p>
        </w:tc>
        <w:tc>
          <w:tcPr>
            <w:tcW w:w="15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8"/>
        </w:trPr>
        <w:tc>
          <w:tcPr>
            <w:tcW w:w="1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16"/>
                <w:szCs w:val="16"/>
                <w:color w:val="auto"/>
              </w:rPr>
              <w:t>68</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3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as of September 30, 2023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 2023, the Company adopted ASC 326. As a result, the Company made changes to and incorporated new policies, processes, and controls over the estimation of the allowance for credit losses. There were changes implemented to account for the additional complexity of the credit loss models, review of economic forecasts, and other assumptions used in the estimation process. These changes were not undertaken in response to any identified deficiency in the Company’s internal control over financial reporting. There have been no other changes in the Company’s internal control.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under Item 1A of the Company’s 2022 Annual Report on Form 10-K and our Quarterly Reports on Form 10-Q for the three months ended March 31, 2023 and June 30, 2023, previously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 xml:space="preserve">Unregistered Sales of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 xml:space="preserve">Issuer Purchases of Equity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180" w:type="dxa"/>
            <w:vAlign w:val="bottom"/>
          </w:tcPr>
          <w:p>
            <w:pPr>
              <w:spacing w:after="0"/>
              <w:rPr>
                <w:sz w:val="20"/>
                <w:szCs w:val="20"/>
                <w:color w:val="auto"/>
              </w:rPr>
            </w:pPr>
          </w:p>
        </w:tc>
      </w:tr>
      <w:tr>
        <w:trPr>
          <w:trHeight w:val="198"/>
        </w:trPr>
        <w:tc>
          <w:tcPr>
            <w:tcW w:w="10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02"/>
        </w:trPr>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5"/>
              </w:rPr>
              <w:t>31.1</w:t>
            </w:r>
          </w:p>
        </w:tc>
        <w:tc>
          <w:tcPr>
            <w:tcW w:w="4960" w:type="dxa"/>
            <w:vAlign w:val="bottom"/>
            <w:gridSpan w:val="8"/>
          </w:tcPr>
          <w:p>
            <w:pPr>
              <w:spacing w:after="0" w:line="202" w:lineRule="exact"/>
              <w:rPr>
                <w:sz w:val="20"/>
                <w:szCs w:val="20"/>
                <w:color w:val="auto"/>
              </w:rPr>
            </w:pPr>
            <w:r>
              <w:rPr>
                <w:rFonts w:ascii="Arial" w:cs="Arial" w:eastAsia="Arial" w:hAnsi="Arial"/>
                <w:sz w:val="18"/>
                <w:szCs w:val="18"/>
                <w:color w:val="0000FF"/>
              </w:rPr>
              <w:t>Certification of Chief Executive Officer pursuant to Rule 13a-</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36"/>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4960" w:type="dxa"/>
            <w:vAlign w:val="bottom"/>
            <w:gridSpan w:val="8"/>
          </w:tcPr>
          <w:p>
            <w:pPr>
              <w:spacing w:after="0"/>
              <w:rPr>
                <w:sz w:val="20"/>
                <w:szCs w:val="20"/>
                <w:color w:val="auto"/>
              </w:rPr>
            </w:pPr>
            <w:r>
              <w:rPr>
                <w:rFonts w:ascii="Arial" w:cs="Arial" w:eastAsia="Arial" w:hAnsi="Arial"/>
                <w:sz w:val="18"/>
                <w:szCs w:val="18"/>
                <w:color w:val="0000FF"/>
              </w:rPr>
              <w:t>Certification of Chief Financial Officer pursuant to Rule 13a-</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5"/>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36"/>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4960" w:type="dxa"/>
            <w:vAlign w:val="bottom"/>
            <w:gridSpan w:val="8"/>
          </w:tcPr>
          <w:p>
            <w:pPr>
              <w:spacing w:after="0"/>
              <w:rPr>
                <w:sz w:val="20"/>
                <w:szCs w:val="20"/>
                <w:color w:val="auto"/>
              </w:rPr>
            </w:pPr>
            <w:r>
              <w:rPr>
                <w:rFonts w:ascii="Arial" w:cs="Arial" w:eastAsia="Arial" w:hAnsi="Arial"/>
                <w:sz w:val="18"/>
                <w:szCs w:val="18"/>
                <w:color w:val="0000FF"/>
              </w:rPr>
              <w:t>Certification of Chief Executive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1"/>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8"/>
          </w:tcPr>
          <w:p>
            <w:pPr>
              <w:spacing w:after="0" w:line="196" w:lineRule="exact"/>
              <w:rPr>
                <w:sz w:val="20"/>
                <w:szCs w:val="20"/>
                <w:color w:val="auto"/>
              </w:rPr>
            </w:pPr>
            <w:r>
              <w:rPr>
                <w:rFonts w:ascii="Arial" w:cs="Arial" w:eastAsia="Arial" w:hAnsi="Arial"/>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0"/>
        </w:trPr>
        <w:tc>
          <w:tcPr>
            <w:tcW w:w="10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4960" w:type="dxa"/>
            <w:vAlign w:val="bottom"/>
            <w:gridSpan w:val="8"/>
          </w:tcPr>
          <w:p>
            <w:pPr>
              <w:spacing w:after="0"/>
              <w:rPr>
                <w:sz w:val="20"/>
                <w:szCs w:val="20"/>
                <w:color w:val="auto"/>
              </w:rPr>
            </w:pPr>
            <w:r>
              <w:rPr>
                <w:rFonts w:ascii="Arial" w:cs="Arial" w:eastAsia="Arial" w:hAnsi="Arial"/>
                <w:sz w:val="18"/>
                <w:szCs w:val="18"/>
                <w:color w:val="0000FF"/>
              </w:rPr>
              <w:t>Certification of Chief Financial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6"/>
              </w:rPr>
              <w:t>Section 1350, as adopted by Section 906 of the Sarbanes-Oxley</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8"/>
          </w:tcPr>
          <w:p>
            <w:pPr>
              <w:spacing w:after="0" w:line="196" w:lineRule="exact"/>
              <w:rPr>
                <w:sz w:val="20"/>
                <w:szCs w:val="20"/>
                <w:color w:val="auto"/>
              </w:rPr>
            </w:pPr>
            <w:r>
              <w:rPr>
                <w:rFonts w:ascii="Arial" w:cs="Arial" w:eastAsia="Arial" w:hAnsi="Arial"/>
                <w:sz w:val="18"/>
                <w:szCs w:val="18"/>
                <w:color w:val="0000FF"/>
              </w:rPr>
              <w:t>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0"/>
        </w:trPr>
        <w:tc>
          <w:tcPr>
            <w:tcW w:w="10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4960" w:type="dxa"/>
            <w:vAlign w:val="bottom"/>
            <w:gridSpan w:val="8"/>
          </w:tcPr>
          <w:p>
            <w:pPr>
              <w:spacing w:after="0"/>
              <w:rPr>
                <w:sz w:val="20"/>
                <w:szCs w:val="20"/>
                <w:color w:val="auto"/>
              </w:rPr>
            </w:pPr>
            <w:r>
              <w:rPr>
                <w:rFonts w:ascii="Arial" w:cs="Arial" w:eastAsia="Arial" w:hAnsi="Arial"/>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Filed</w:t>
            </w:r>
          </w:p>
        </w:tc>
      </w:tr>
      <w:tr>
        <w:trPr>
          <w:trHeight w:val="229"/>
        </w:trPr>
        <w:tc>
          <w:tcPr>
            <w:tcW w:w="10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49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4960" w:type="dxa"/>
            <w:vAlign w:val="bottom"/>
            <w:gridSpan w:val="8"/>
          </w:tcPr>
          <w:p>
            <w:pPr>
              <w:spacing w:after="0"/>
              <w:rPr>
                <w:sz w:val="20"/>
                <w:szCs w:val="20"/>
                <w:color w:val="auto"/>
              </w:rPr>
            </w:pPr>
            <w:r>
              <w:rPr>
                <w:rFonts w:ascii="Arial" w:cs="Arial" w:eastAsia="Arial" w:hAnsi="Arial"/>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Five Star Bancorp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November 8, 2023</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James E.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November 8, 2023</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Senior Vice 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12"/>
        </w:trPr>
        <w:tc>
          <w:tcPr>
            <w:tcW w:w="3480" w:type="dxa"/>
            <w:vAlign w:val="bottom"/>
          </w:tcPr>
          <w:p>
            <w:pPr>
              <w:spacing w:after="0"/>
              <w:rPr>
                <w:sz w:val="24"/>
                <w:szCs w:val="24"/>
                <w:color w:val="auto"/>
              </w:rPr>
            </w:pPr>
          </w:p>
        </w:tc>
        <w:tc>
          <w:tcPr>
            <w:tcW w:w="1880" w:type="dxa"/>
            <w:vAlign w:val="bottom"/>
          </w:tcPr>
          <w:p>
            <w:pPr>
              <w:jc w:val="right"/>
              <w:ind w:right="1319"/>
              <w:spacing w:after="0"/>
              <w:rPr>
                <w:sz w:val="20"/>
                <w:szCs w:val="20"/>
                <w:color w:val="auto"/>
              </w:rPr>
            </w:pPr>
            <w:r>
              <w:rPr>
                <w:rFonts w:ascii="Arial" w:cs="Arial" w:eastAsia="Arial" w:hAnsi="Arial"/>
                <w:sz w:val="16"/>
                <w:szCs w:val="16"/>
                <w:color w:val="auto"/>
              </w:rPr>
              <w:t>72</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jc w:val="center"/>
              <w:ind w:right="1140"/>
              <w:spacing w:after="0"/>
              <w:rPr>
                <w:sz w:val="20"/>
                <w:szCs w:val="20"/>
                <w:color w:val="auto"/>
              </w:rPr>
            </w:pPr>
            <w:r>
              <w:rPr>
                <w:rFonts w:ascii="Arial" w:cs="Arial" w:eastAsia="Arial" w:hAnsi="Arial"/>
                <w:sz w:val="18"/>
                <w:szCs w:val="18"/>
                <w:color w:val="auto"/>
                <w:w w:val="91"/>
              </w:rPr>
              <w:t>November 8, 2023</w:t>
            </w: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James E. Beckwith</w:t>
            </w:r>
          </w:p>
        </w:tc>
      </w:tr>
      <w:tr>
        <w:trPr>
          <w:trHeight w:val="256"/>
        </w:trPr>
        <w:tc>
          <w:tcPr>
            <w:tcW w:w="5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14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jc w:val="center"/>
              <w:ind w:right="1140"/>
              <w:spacing w:after="0"/>
              <w:rPr>
                <w:sz w:val="20"/>
                <w:szCs w:val="20"/>
                <w:color w:val="auto"/>
              </w:rPr>
            </w:pPr>
            <w:r>
              <w:rPr>
                <w:rFonts w:ascii="Arial" w:cs="Arial" w:eastAsia="Arial" w:hAnsi="Arial"/>
                <w:sz w:val="18"/>
                <w:szCs w:val="18"/>
                <w:color w:val="auto"/>
                <w:w w:val="91"/>
              </w:rPr>
              <w:t>November 8, 2023</w:t>
            </w: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Heather C. Luck</w:t>
            </w:r>
          </w:p>
        </w:tc>
      </w:tr>
      <w:tr>
        <w:trPr>
          <w:trHeight w:val="256"/>
        </w:trPr>
        <w:tc>
          <w:tcPr>
            <w:tcW w:w="5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bl>
    <w:p>
      <w:pPr>
        <w:sectPr>
          <w:pgSz w:w="11900" w:h="16838" w:orient="portrait"/>
          <w:cols w:equalWidth="0" w:num="1">
            <w:col w:w="11240"/>
          </w:cols>
          <w:pgMar w:left="320" w:top="114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“Company”) for the period ended September 30, 2023,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jc w:val="center"/>
              <w:ind w:right="1140"/>
              <w:spacing w:after="0"/>
              <w:rPr>
                <w:sz w:val="20"/>
                <w:szCs w:val="20"/>
                <w:color w:val="auto"/>
              </w:rPr>
            </w:pPr>
            <w:r>
              <w:rPr>
                <w:rFonts w:ascii="Arial" w:cs="Arial" w:eastAsia="Arial" w:hAnsi="Arial"/>
                <w:sz w:val="18"/>
                <w:szCs w:val="18"/>
                <w:color w:val="auto"/>
                <w:w w:val="91"/>
              </w:rPr>
              <w:t>November 8, 2023</w:t>
            </w: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James E. Beckwith</w:t>
            </w:r>
          </w:p>
        </w:tc>
      </w:tr>
      <w:tr>
        <w:trPr>
          <w:trHeight w:val="256"/>
        </w:trPr>
        <w:tc>
          <w:tcPr>
            <w:tcW w:w="5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93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“Company”) for the period ended September 30, 2023, as filed with the Securities and Exchange Commission on the date hereof (the “Report”), I, Heather C. Luck, Senior Vice President &amp; Chief Financial Officer of the Company, hereby certify pursuant to 18 U.S.C. Section 1350, as adopted pursuant to Section 906 of the Sarbanes-Oxley Act of 2002, that:</w:t>
      </w:r>
    </w:p>
    <w:p>
      <w:pPr>
        <w:spacing w:after="0" w:line="165"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jc w:val="center"/>
              <w:ind w:right="1140"/>
              <w:spacing w:after="0"/>
              <w:rPr>
                <w:sz w:val="20"/>
                <w:szCs w:val="20"/>
                <w:color w:val="auto"/>
              </w:rPr>
            </w:pPr>
            <w:r>
              <w:rPr>
                <w:rFonts w:ascii="Arial" w:cs="Arial" w:eastAsia="Arial" w:hAnsi="Arial"/>
                <w:sz w:val="18"/>
                <w:szCs w:val="18"/>
                <w:color w:val="auto"/>
                <w:w w:val="91"/>
              </w:rPr>
              <w:t>November 8, 2023</w:t>
            </w: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4"/>
        </w:trPr>
        <w:tc>
          <w:tcPr>
            <w:tcW w:w="50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Heather C. Luck</w:t>
            </w:r>
          </w:p>
        </w:tc>
      </w:tr>
      <w:tr>
        <w:trPr>
          <w:trHeight w:val="256"/>
        </w:trPr>
        <w:tc>
          <w:tcPr>
            <w:tcW w:w="5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3"/>
      <w:numFmt w:val="bullet"/>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2023-11-08T12:00:27Z</dcterms:created>
  <dcterms:modified xsi:type="dcterms:W3CDTF">2023-11-08T12:00:27Z</dcterms:modified>
</cp:coreProperties>
</file>