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left"/>
              <w:rPr>
                <w:color w:val="000000"/>
              </w:rPr>
            </w:pPr>
            <w:r>
              <w:rPr>
                <w:color w:val="000000"/>
              </w:rPr>
              <w:t>  </w:t>
            </w:r>
          </w:p>
        </w:tc>
      </w:tr>
    </w:tbl>
    <w:p>
      <w:pPr>
        <w:pStyle w:val="TextBody"/>
        <w:bidi w:val="0"/>
        <w:spacing w:lineRule="auto" w:line="240" w:before="8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pPr>
      <w:r>
        <w:rPr>
          <w:rFonts w:ascii="Times New Roman;serif" w:hAnsi="Times New Roman;serif"/>
          <w:b/>
          <w:color w:val="000000"/>
          <w:sz w:val="24"/>
        </w:rPr>
        <w:t>WASHINGTON, DC 20549</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64"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64"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40" w:before="264"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16,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76225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62250" cy="752475"/>
                    </a:xfrm>
                    <a:prstGeom prst="rect">
                      <a:avLst/>
                    </a:prstGeom>
                  </pic:spPr>
                </pic:pic>
              </a:graphicData>
            </a:graphic>
          </wp:inline>
        </w:drawing>
      </w:r>
      <w:bookmarkStart w:id="0" w:name="i-1"/>
      <w:bookmarkEnd w:id="0"/>
    </w:p>
    <w:p>
      <w:pPr>
        <w:pStyle w:val="TextBody"/>
        <w:bidi w:val="0"/>
        <w:spacing w:lineRule="auto" w:line="240" w:before="240" w:after="283"/>
        <w:jc w:val="center"/>
        <w:rPr>
          <w:rFonts w:ascii="Times New Roman;serif" w:hAnsi="Times New Roman;serif"/>
          <w:b/>
          <w:color w:val="000000"/>
          <w:sz w:val="44"/>
        </w:rPr>
      </w:pPr>
      <w:r>
        <w:rPr>
          <w:rFonts w:ascii="Times New Roman;serif" w:hAnsi="Times New Roman;serif"/>
          <w:b/>
          <w:color w:val="000000"/>
          <w:sz w:val="44"/>
        </w:rPr>
        <w:t>FIVE STAR BANCORP</w:t>
      </w:r>
    </w:p>
    <w:p>
      <w:pPr>
        <w:pStyle w:val="TextBody"/>
        <w:bidi w:val="0"/>
        <w:spacing w:lineRule="auto" w:line="240"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46" w:type="dxa"/>
        <w:jc w:val="left"/>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001-40379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75-3100966</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5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3100 Zinfandel Drive, Suite 100, Rancho Cordova, California, 95670</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(916) 626-5000</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40" w:before="0" w:after="0"/>
        <w:jc w:val="center"/>
        <w:rPr/>
      </w:pPr>
      <w:r>
        <w:rPr>
          <w:rFonts w:ascii="Times New Roman;serif" w:hAnsi="Times New Roman;serif"/>
          <w:b/>
          <w:color w:val="000000"/>
          <w:sz w:val="16"/>
        </w:rPr>
        <w:t>(Former Name or Former Address, if Changed Since Last Report)</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64"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40" w:before="0" w:after="0"/>
        <w:jc w:val="left"/>
        <w:rPr>
          <w:color w:val="000000"/>
        </w:rPr>
      </w:pPr>
      <w:r>
        <w:rPr>
          <w:color w:val="000000"/>
        </w:rPr>
        <w:t> </w:t>
      </w:r>
    </w:p>
    <w:tbl>
      <w:tblPr>
        <w:tblW w:w="97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62"/>
        <w:gridCol w:w="2662"/>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63" w:type="dxa"/>
        <w:jc w:val="left"/>
        <w:tblInd w:w="0" w:type="dxa"/>
        <w:tblLayout w:type="fixed"/>
        <w:tblCellMar>
          <w:top w:w="28" w:type="dxa"/>
          <w:left w:w="28" w:type="dxa"/>
          <w:bottom w:w="28" w:type="dxa"/>
          <w:right w:w="28" w:type="dxa"/>
        </w:tblCellMar>
      </w:tblPr>
      <w:tblGrid>
        <w:gridCol w:w="1173"/>
        <w:gridCol w:w="1027"/>
        <w:gridCol w:w="1039"/>
        <w:gridCol w:w="539"/>
        <w:gridCol w:w="539"/>
        <w:gridCol w:w="541"/>
        <w:gridCol w:w="1085"/>
        <w:gridCol w:w="1085"/>
        <w:gridCol w:w="1535"/>
      </w:tblGrid>
      <w:tr>
        <w:trPr/>
        <w:tc>
          <w:tcPr>
            <w:tcW w:w="11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no par value per share</w:t>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FSBC</w:t>
            </w:r>
          </w:p>
        </w:tc>
        <w:tc>
          <w:tcPr>
            <w:tcW w:w="37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40" w:before="120" w:after="283"/>
        <w:jc w:val="left"/>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(17 CFR §230.405) or Rule 12b-2 of the Securities Exchange Act of 1934 (17 CFR §240.12b-2). </w:t>
      </w: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On October 16, 2026, Five Star Bancorp (the “Company”) issued a press release announcing that its Board of Directors had declared a quarterly cash dividend of $0.25 per share of common stock. The dividend is payable to the Company’s shareholders of record as of November 2, 2026 and is expected to be paid on November 9, 2026. A copy of the press release is attached hereto as Exhibit 99.1 and incorporated herein by reference.</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This information (including Exhibit 99.1) is being furnished under Item 7.01 hereof and shall not be deemed “filed” for purposes of Section 18 of the Securities Exchange Act of 1934, as amended (the “Exchange Act”), or otherwise subject to the liabilities of that section, and such information shall not be deemed incorporated by reference into any filing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Special Note Concerning Forward-Looking Statements</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These forward-looking statements represent plans, estimates, objectives, goals, guidelines, expectations, intentions, projections, and statements of the Company’s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phrases of similar meaning. The Company cautions that the forward-looking statements are based largely on the Company’s expectations and are subject to a number of known and unknown risks and uncertainties that are subject to change based on factors which are, in many instances, beyond the Company’s control. Such forward-looking statements are based on various assumptions (some of which may be beyond the Company’s control) and are subject to risks and uncertainties, which change over time, and other factors, which could cause actual results to differ materially from those currently anticipated. New risks and uncertainties may emerge from time to time, and it is not possible for the Company to predict their occurrence or how they will affect the Company. If one or more of the factors affecting the Company’s forward-looking information and statements proves incorrect, then the Company’s actual results, performance, or achievements could differ materially from those expressed in, or implied by, forward-looking information and statements contained in this press release. Therefore, the Company cautions you not to place undue reliance on the Company’s forward-looking information and statements. Important factors that could cause actual results to differ materially from those in the forward-looking statements are set forth in the Company’s Annual Report on Form 10-K for the year ended December 31, 2025 and Quarterly Reports on Form 10-Q for the three months ended March 31, 2026 and June 30, 2026, in each case under the section entitled “Risk Factors,” and other documents filed by the Company with the Securities and Exchange Commission from time to time.</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disclaims any duty to revise or update the forward-looking statements, whether written or oral, to reflect actual results or changes in the factors affecting the forward-looking statements, except as specifically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40" w:before="0" w:after="200"/>
        <w:jc w:val="both"/>
        <w:rPr>
          <w:rFonts w:ascii="Times New Roman;serif" w:hAnsi="Times New Roman;serif"/>
          <w:b/>
          <w:color w:val="000000"/>
          <w:sz w:val="20"/>
        </w:rPr>
      </w:pPr>
      <w:r>
        <w:rPr>
          <w:rFonts w:ascii="Times New Roman;serif" w:hAnsi="Times New Roman;serif"/>
          <w:b/>
          <w:color w:val="000000"/>
          <w:sz w:val="20"/>
        </w:rPr>
        <w:t>(d) Exhibits</w:t>
      </w:r>
    </w:p>
    <w:tbl>
      <w:tblPr>
        <w:tblW w:w="7209"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09"/>
        <w:gridCol w:w="109"/>
        <w:gridCol w:w="109"/>
        <w:gridCol w:w="1678"/>
        <w:gridCol w:w="1678"/>
        <w:gridCol w:w="238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99.1</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3"/>
            <w:tcBorders/>
            <w:tcMar>
              <w:top w:w="0" w:type="dxa"/>
              <w:left w:w="0" w:type="dxa"/>
              <w:bottom w:w="0" w:type="dxa"/>
              <w:right w:w="0" w:type="dxa"/>
            </w:tcMar>
            <w:vAlign w:val="center"/>
          </w:tcPr>
          <w:p>
            <w:pPr>
              <w:pStyle w:val="TableContents"/>
              <w:bidi w:val="0"/>
              <w:spacing w:lineRule="auto" w:line="240" w:before="0" w:after="2"/>
              <w:jc w:val="both"/>
              <w:rPr/>
            </w:pPr>
            <w:hyperlink w:anchor="exhibit991-q32026dividenda.htm">
              <w:r>
                <w:rPr>
                  <w:rStyle w:val="InternetLink"/>
                  <w:rFonts w:ascii="Times New Roman;serif" w:hAnsi="Times New Roman;serif"/>
                  <w:b w:val="false"/>
                  <w:color w:val="000080"/>
                  <w:sz w:val="20"/>
                  <w:u w:val="single"/>
                </w:rPr>
                <w:t xml:space="preserve">Press Release dated </w:t>
              </w:r>
            </w:hyperlink>
            <w:hyperlink w:anchor="exhibit991-q32026dividenda.htm">
              <w:r>
                <w:rPr>
                  <w:rStyle w:val="InternetLink"/>
                  <w:rFonts w:ascii="Times New Roman;serif" w:hAnsi="Times New Roman;serif"/>
                  <w:b w:val="false"/>
                  <w:color w:val="000080"/>
                  <w:sz w:val="20"/>
                  <w:u w:val="single"/>
                </w:rPr>
                <w:t>October 16</w:t>
              </w:r>
            </w:hyperlink>
            <w:hyperlink w:anchor="exhibit991-q32026dividenda.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40"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009" w:type="dxa"/>
        <w:jc w:val="left"/>
        <w:tblInd w:w="0" w:type="dxa"/>
        <w:tblLayout w:type="fixed"/>
        <w:tblCellMar>
          <w:top w:w="28" w:type="dxa"/>
          <w:left w:w="28" w:type="dxa"/>
          <w:bottom w:w="28" w:type="dxa"/>
          <w:right w:w="28" w:type="dxa"/>
        </w:tblCellMar>
      </w:tblPr>
      <w:tblGrid>
        <w:gridCol w:w="749"/>
        <w:gridCol w:w="658"/>
        <w:gridCol w:w="662"/>
        <w:gridCol w:w="335"/>
        <w:gridCol w:w="335"/>
        <w:gridCol w:w="335"/>
        <w:gridCol w:w="1432"/>
        <w:gridCol w:w="1432"/>
        <w:gridCol w:w="2071"/>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80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FIVE STAR BANCORP</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Heather C. Luck</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Name: Heather C. Luck</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and Chief Financial Officer</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r>
              <w:rPr>
                <w:rFonts w:ascii="Times New Roman;serif" w:hAnsi="Times New Roman;serif"/>
                <w:b w:val="false"/>
                <w:color w:val="000000"/>
                <w:sz w:val="20"/>
              </w:rPr>
              <w:t>Date: October 19, 2026</w:t>
            </w:r>
          </w:p>
        </w:tc>
        <w:tc>
          <w:tcPr>
            <w:tcW w:w="59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828800" cy="4953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28800" cy="495300"/>
                    </a:xfrm>
                    <a:prstGeom prst="rect">
                      <a:avLst/>
                    </a:prstGeom>
                  </pic:spPr>
                </pic:pic>
              </a:graphicData>
            </a:graphic>
          </wp:inline>
        </w:drawing>
      </w:r>
    </w:p>
    <w:tbl>
      <w:tblPr>
        <w:tblW w:w="5879" w:type="dxa"/>
        <w:jc w:val="left"/>
        <w:tblInd w:w="0" w:type="dxa"/>
        <w:tblLayout w:type="fixed"/>
        <w:tblCellMar>
          <w:top w:w="28" w:type="dxa"/>
          <w:left w:w="28" w:type="dxa"/>
          <w:bottom w:w="28" w:type="dxa"/>
          <w:right w:w="28" w:type="dxa"/>
        </w:tblCellMar>
      </w:tblPr>
      <w:tblGrid>
        <w:gridCol w:w="826"/>
        <w:gridCol w:w="726"/>
        <w:gridCol w:w="728"/>
        <w:gridCol w:w="1053"/>
        <w:gridCol w:w="1053"/>
        <w:gridCol w:w="1493"/>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PRESS RELEASE</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FOR IMMEDIATE RELEASE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October 16, 2026</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center"/>
        <w:rPr>
          <w:rFonts w:ascii="sans-serif" w:hAnsi="sans-serif"/>
          <w:b/>
          <w:color w:val="000000"/>
          <w:sz w:val="24"/>
        </w:rPr>
      </w:pPr>
      <w:r>
        <w:rPr>
          <w:rFonts w:ascii="sans-serif" w:hAnsi="sans-serif"/>
          <w:b/>
          <w:color w:val="000000"/>
          <w:sz w:val="24"/>
        </w:rPr>
        <w:t>Five Star Bancorp Declares Third Quarter Cash Dividend</w:t>
      </w:r>
    </w:p>
    <w:p>
      <w:pPr>
        <w:pStyle w:val="TextBody"/>
        <w:bidi w:val="0"/>
        <w:spacing w:before="0" w:after="0"/>
        <w:jc w:val="left"/>
        <w:rPr/>
      </w:pPr>
      <w:r>
        <w:rPr/>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 xml:space="preserve">RANCHO CORDOVA, CA October 16, 2026 (GLOBE NEWSWIRE) – Five Star Bancorp (Nasdaq: FSBC) (“Five Star” or the “Company”), a holding company that operates through its wholly owned banking subsidiary, Five Star Bank (the "Bank"), announced today the declaration of a cash dividend of $0.25 per share on the Company’s voting common stock. The dividend is expected to be paid on November 9, 2026, to shareholders of record as of November 2, 2026. </w:t>
      </w:r>
    </w:p>
    <w:p>
      <w:pPr>
        <w:pStyle w:val="TextBody"/>
        <w:bidi w:val="0"/>
        <w:spacing w:before="0" w:after="0"/>
        <w:jc w:val="left"/>
        <w:rPr/>
      </w:pPr>
      <w:r>
        <w:rPr/>
      </w:r>
    </w:p>
    <w:p>
      <w:pPr>
        <w:pStyle w:val="TextBody"/>
        <w:bidi w:val="0"/>
        <w:spacing w:lineRule="auto" w:line="240" w:before="0" w:after="0"/>
        <w:jc w:val="left"/>
        <w:rPr>
          <w:rFonts w:ascii="sans-serif" w:hAnsi="sans-serif"/>
          <w:b/>
          <w:color w:val="000000"/>
          <w:sz w:val="24"/>
        </w:rPr>
      </w:pPr>
      <w:r>
        <w:rPr>
          <w:rFonts w:ascii="sans-serif" w:hAnsi="sans-serif"/>
          <w:b/>
          <w:color w:val="000000"/>
          <w:sz w:val="24"/>
        </w:rPr>
        <w:t>About Five Star Bancorp</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Five Star is a bank holding company headquartered in Rancho Cordova, California. Five Star operates through its wholly owned banking subsidiary, Five Star Bank. The Bank has ten branches in California. For more information, visit https://www.fivestarbank.com.</w:t>
      </w:r>
    </w:p>
    <w:p>
      <w:pPr>
        <w:pStyle w:val="TextBody"/>
        <w:bidi w:val="0"/>
        <w:spacing w:before="0" w:after="0"/>
        <w:jc w:val="left"/>
        <w:rPr/>
      </w:pPr>
      <w:r>
        <w:rPr/>
      </w:r>
    </w:p>
    <w:p>
      <w:pPr>
        <w:pStyle w:val="TextBody"/>
        <w:bidi w:val="0"/>
        <w:spacing w:lineRule="auto" w:line="240" w:before="0" w:after="0"/>
        <w:jc w:val="left"/>
        <w:rPr>
          <w:rFonts w:ascii="sans-serif" w:hAnsi="sans-serif"/>
          <w:b/>
          <w:color w:val="000000"/>
          <w:sz w:val="24"/>
        </w:rPr>
      </w:pPr>
      <w:r>
        <w:rPr>
          <w:rFonts w:ascii="sans-serif" w:hAnsi="sans-serif"/>
          <w:b/>
          <w:color w:val="000000"/>
          <w:sz w:val="24"/>
        </w:rPr>
        <w:t>Special Note Concerning Forward-Looking Statements</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This press release contains forward-looking statements within the meaning of the Private Securities Litigation Reform Act of 1995. These forward-looking statements represent plans, estimates, objectives, goals, guidelines, expectations, intentions, projections, and statements of the Company’s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phrases of similar meaning. The Company cautions that the forward-looking statements are based largely on the Company’s expectations and are subject to a number of known and unknown risks and uncertainties that are subject to change based on factors which are, in many instances, beyond the Company’s control. Such forward-looking statements are based on various assumptions (some of which may be beyond the Company’s control) and are subject to risks and uncertainties, which change over time, and other factors, which could cause actual results to differ materially from those currently anticipated. New risks and uncertainties may emerge from time to time, and it is not possible for the Company to predict their occurrence or how they will affect the Company. If one or more of the factors affecting the Company’s forward-looking information and statements proves incorrect, then the Company’s actual results, performance, or achievements could differ materially from those expressed in, or implied by, forward-looking information and statements contained in this press release. Therefore, the Company cautions you not to place undue reliance on the Company’s forward-looking information and statements. Important factors that could cause actual results to differ materially from those in the forward-looking statements are set forth in the Company’s Annual Report on Form 10-K for the year ended December 31, 2025 and Quarterly Reports on Form 10-Q for the three months ended March 31, 2026 and June 30, 2026, in each case under the section entitled “Risk Factors,” and other documents filed by the Company with the Securities and Exchange Commission from time to time.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The Company disclaims any duty to revise or update the forward-looking statements, whether written or oral, to reflect actual results or changes in the factors affecting the forward-looking statements, except as specifically required by law.</w:t>
      </w:r>
    </w:p>
    <w:p>
      <w:pPr>
        <w:pStyle w:val="TextBody"/>
        <w:bidi w:val="0"/>
        <w:spacing w:before="0" w:after="0"/>
        <w:jc w:val="left"/>
        <w:rPr/>
      </w:pPr>
      <w:r>
        <w:rPr/>
      </w:r>
    </w:p>
    <w:p>
      <w:pPr>
        <w:pStyle w:val="TextBody"/>
        <w:bidi w:val="0"/>
        <w:spacing w:lineRule="auto" w:line="240" w:before="0" w:after="0"/>
        <w:jc w:val="both"/>
        <w:rPr>
          <w:rFonts w:ascii="sans-serif" w:hAnsi="sans-serif"/>
          <w:b/>
          <w:color w:val="000000"/>
          <w:sz w:val="24"/>
        </w:rPr>
      </w:pPr>
      <w:r>
        <w:rPr>
          <w:rFonts w:ascii="sans-serif" w:hAnsi="sans-serif"/>
          <w:b/>
          <w:color w:val="000000"/>
          <w:sz w:val="24"/>
        </w:rPr>
        <w:t>Investor Contact:</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Heather C. Luck, Chief Financial Officer</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Five Star Bancorp</w:t>
      </w:r>
    </w:p>
    <w:p>
      <w:pPr>
        <w:pStyle w:val="TextBody"/>
        <w:bidi w:val="0"/>
        <w:spacing w:lineRule="auto" w:line="240" w:before="0" w:after="0"/>
        <w:jc w:val="left"/>
        <w:rPr>
          <w:rFonts w:ascii="sans-serif" w:hAnsi="sans-serif"/>
          <w:b w:val="false"/>
          <w:color w:val="000000"/>
          <w:sz w:val="24"/>
        </w:rPr>
      </w:pPr>
      <w:r>
        <w:rPr>
          <w:rFonts w:ascii="sans-serif" w:hAnsi="sans-serif"/>
          <w:b w:val="false"/>
          <w:color w:val="000000"/>
          <w:sz w:val="24"/>
        </w:rPr>
        <w:t>(916) 626-5008</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hluck@fivestarbank.com</w:t>
      </w:r>
    </w:p>
    <w:p>
      <w:pPr>
        <w:pStyle w:val="TextBody"/>
        <w:bidi w:val="0"/>
        <w:spacing w:before="0" w:after="0"/>
        <w:jc w:val="both"/>
        <w:rPr/>
      </w:pPr>
      <w:r>
        <w:rPr/>
      </w:r>
    </w:p>
    <w:p>
      <w:pPr>
        <w:pStyle w:val="TextBody"/>
        <w:bidi w:val="0"/>
        <w:spacing w:lineRule="auto" w:line="240" w:before="0" w:after="0"/>
        <w:jc w:val="both"/>
        <w:rPr>
          <w:rFonts w:ascii="sans-serif" w:hAnsi="sans-serif"/>
          <w:b/>
          <w:color w:val="000000"/>
          <w:sz w:val="24"/>
        </w:rPr>
      </w:pPr>
      <w:r>
        <w:rPr>
          <w:rFonts w:ascii="sans-serif" w:hAnsi="sans-serif"/>
          <w:b/>
          <w:color w:val="000000"/>
          <w:sz w:val="24"/>
        </w:rPr>
        <w:t>Media Contact:</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Shelley R. Wetton, Chief Marketing Officer</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Five Star Bancorp</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(916) 284-7827</w:t>
      </w:r>
    </w:p>
    <w:p>
      <w:pPr>
        <w:pStyle w:val="TextBody"/>
        <w:bidi w:val="0"/>
        <w:spacing w:lineRule="auto" w:line="240"/>
        <w:jc w:val="both"/>
        <w:rPr>
          <w:rFonts w:ascii="sans-serif" w:hAnsi="sans-serif"/>
          <w:b w:val="false"/>
          <w:color w:val="000000"/>
          <w:sz w:val="24"/>
        </w:rPr>
      </w:pPr>
      <w:r>
        <w:rPr>
          <w:rFonts w:ascii="sans-serif" w:hAnsi="sans-serif"/>
          <w:b w:val="false"/>
          <w:color w:val="000000"/>
          <w:sz w:val="24"/>
        </w:rPr>
        <w:t>swetton@fivestarbank.com</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1499</Words>
  <Characters>8576</Characters>
  <CharactersWithSpaces>10007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