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__)*</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Five Star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33830T103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July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83" w:right="379" w:bottom="1440" w:gutter="0" w:footer="0" w:header="0"/>
        </w:sectPr>
      </w:pPr>
    </w:p>
    <w:bookmarkStart w:id="1" w:name="page2"/>
    <w:bookmarkEnd w:id="1"/>
    <w:p>
      <w:pPr>
        <w:spacing w:after="0"/>
        <w:tabs>
          <w:tab w:leader="none" w:pos="9900" w:val="left"/>
        </w:tabs>
        <w:rPr>
          <w:sz w:val="20"/>
          <w:szCs w:val="20"/>
          <w:color w:val="auto"/>
        </w:rPr>
      </w:pPr>
      <w:r>
        <w:rPr>
          <w:rFonts w:ascii="Times New Roman" w:cs="Times New Roman" w:eastAsia="Times New Roman" w:hAnsi="Times New Roman"/>
          <w:sz w:val="18"/>
          <w:szCs w:val="18"/>
          <w:b w:val="1"/>
          <w:bCs w:val="1"/>
          <w:color w:val="auto"/>
        </w:rPr>
        <w:t>CUSIP No. 33830T103</w:t>
      </w:r>
      <w:r>
        <w:rPr>
          <w:sz w:val="20"/>
          <w:szCs w:val="20"/>
          <w:color w:val="auto"/>
        </w:rPr>
        <w:tab/>
      </w:r>
      <w:r>
        <w:rPr>
          <w:rFonts w:ascii="Times New Roman" w:cs="Times New Roman" w:eastAsia="Times New Roman" w:hAnsi="Times New Roman"/>
          <w:sz w:val="17"/>
          <w:szCs w:val="17"/>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568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568825"/>
                    </a:xfrm>
                    <a:prstGeom prst="rect">
                      <a:avLst/>
                    </a:prstGeom>
                    <a:noFill/>
                  </pic:spPr>
                </pic:pic>
              </a:graphicData>
            </a:graphic>
          </wp:anchor>
        </w:drawing>
      </w:r>
    </w:p>
    <w:p>
      <w:pPr>
        <w:spacing w:after="0" w:line="250" w:lineRule="exact"/>
        <w:rPr>
          <w:sz w:val="20"/>
          <w:szCs w:val="20"/>
          <w:color w:val="auto"/>
        </w:rPr>
      </w:pPr>
    </w:p>
    <w:p>
      <w:pPr>
        <w:ind w:left="900" w:hanging="78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Davis Partnership, L.P.</w:t>
      </w:r>
    </w:p>
    <w:p>
      <w:pPr>
        <w:spacing w:after="0" w:line="77" w:lineRule="exact"/>
        <w:rPr>
          <w:sz w:val="20"/>
          <w:szCs w:val="20"/>
          <w:color w:val="auto"/>
        </w:rPr>
      </w:pPr>
    </w:p>
    <w:p>
      <w:pPr>
        <w:ind w:left="900" w:hanging="78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8520"/>
        <w:spacing w:after="0" w:line="207" w:lineRule="exact"/>
        <w:tabs>
          <w:tab w:leader="none" w:pos="9340" w:val="left"/>
          <w:tab w:leader="none" w:pos="101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(b)</w:t>
      </w:r>
    </w:p>
    <w:p>
      <w:pPr>
        <w:spacing w:after="0" w:line="9" w:lineRule="exact"/>
        <w:rPr>
          <w:sz w:val="20"/>
          <w:szCs w:val="20"/>
          <w:color w:val="auto"/>
        </w:rPr>
      </w:pPr>
    </w:p>
    <w:p>
      <w:pPr>
        <w:ind w:left="9100"/>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0"/>
          <w:szCs w:val="20"/>
          <w:color w:val="auto"/>
        </w:rPr>
      </w:pPr>
    </w:p>
    <w:p>
      <w:pPr>
        <w:ind w:left="900" w:hanging="78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7" w:lineRule="exact"/>
        <w:rPr>
          <w:sz w:val="20"/>
          <w:szCs w:val="20"/>
          <w:color w:val="auto"/>
        </w:rPr>
      </w:pPr>
    </w:p>
    <w:p>
      <w:pPr>
        <w:ind w:left="900" w:hanging="78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Delaware</w:t>
      </w:r>
    </w:p>
    <w:p>
      <w:pPr>
        <w:spacing w:after="0" w:line="7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881,495</w:t>
            </w:r>
          </w:p>
        </w:tc>
        <w:tc>
          <w:tcPr>
            <w:tcW w:w="0" w:type="dxa"/>
            <w:vAlign w:val="bottom"/>
          </w:tcPr>
          <w:p>
            <w:pPr>
              <w:spacing w:after="0"/>
              <w:rPr>
                <w:sz w:val="1"/>
                <w:szCs w:val="1"/>
                <w:color w:val="auto"/>
              </w:rPr>
            </w:pPr>
          </w:p>
        </w:tc>
      </w:tr>
      <w:tr>
        <w:trPr>
          <w:trHeight w:val="110"/>
        </w:trPr>
        <w:tc>
          <w:tcPr>
            <w:tcW w:w="1760" w:type="dxa"/>
            <w:vAlign w:val="bottom"/>
            <w:vMerge w:val="continue"/>
          </w:tcPr>
          <w:p>
            <w:pPr>
              <w:spacing w:after="0"/>
              <w:rPr>
                <w:sz w:val="9"/>
                <w:szCs w:val="9"/>
                <w:color w:val="auto"/>
              </w:rPr>
            </w:pPr>
          </w:p>
        </w:tc>
        <w:tc>
          <w:tcPr>
            <w:tcW w:w="5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8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7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SHARES</w:t>
            </w:r>
          </w:p>
        </w:tc>
        <w:tc>
          <w:tcPr>
            <w:tcW w:w="540" w:type="dxa"/>
            <w:vAlign w:val="bottom"/>
            <w:vMerge w:val="continue"/>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BENEFICIALLY</w:t>
            </w:r>
          </w:p>
        </w:tc>
        <w:tc>
          <w:tcPr>
            <w:tcW w:w="540" w:type="dxa"/>
            <w:vAlign w:val="bottom"/>
          </w:tcPr>
          <w:p>
            <w:pPr>
              <w:spacing w:after="0"/>
              <w:rPr>
                <w:sz w:val="18"/>
                <w:szCs w:val="18"/>
                <w:color w:val="auto"/>
              </w:rPr>
            </w:pPr>
          </w:p>
        </w:tc>
        <w:tc>
          <w:tcPr>
            <w:tcW w:w="8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7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OWNED BY EACH</w:t>
            </w:r>
          </w:p>
        </w:tc>
        <w:tc>
          <w:tcPr>
            <w:tcW w:w="540" w:type="dxa"/>
            <w:vAlign w:val="bottom"/>
            <w:tcBorders>
              <w:bottom w:val="single" w:sz="8" w:color="auto"/>
            </w:tcBorders>
          </w:tcPr>
          <w:p>
            <w:pPr>
              <w:spacing w:after="0"/>
              <w:rPr>
                <w:sz w:val="10"/>
                <w:szCs w:val="10"/>
                <w:color w:val="auto"/>
              </w:rPr>
            </w:pPr>
          </w:p>
        </w:tc>
        <w:tc>
          <w:tcPr>
            <w:tcW w:w="8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60" w:type="dxa"/>
            <w:vAlign w:val="bottom"/>
            <w:vMerge w:val="continue"/>
          </w:tcPr>
          <w:p>
            <w:pPr>
              <w:spacing w:after="0"/>
              <w:rPr>
                <w:sz w:val="6"/>
                <w:szCs w:val="6"/>
                <w:color w:val="auto"/>
              </w:rPr>
            </w:pPr>
          </w:p>
        </w:tc>
        <w:tc>
          <w:tcPr>
            <w:tcW w:w="5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8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7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vMerge w:val="continue"/>
          </w:tcPr>
          <w:p>
            <w:pPr>
              <w:spacing w:after="0"/>
              <w:rPr>
                <w:sz w:val="14"/>
                <w:szCs w:val="14"/>
                <w:color w:val="auto"/>
              </w:rPr>
            </w:pPr>
          </w:p>
        </w:tc>
        <w:tc>
          <w:tcPr>
            <w:tcW w:w="8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PERSON</w:t>
            </w:r>
          </w:p>
        </w:tc>
        <w:tc>
          <w:tcPr>
            <w:tcW w:w="540" w:type="dxa"/>
            <w:vAlign w:val="bottom"/>
          </w:tcPr>
          <w:p>
            <w:pPr>
              <w:spacing w:after="0"/>
              <w:rPr>
                <w:sz w:val="18"/>
                <w:szCs w:val="18"/>
                <w:color w:val="auto"/>
              </w:rPr>
            </w:pPr>
          </w:p>
        </w:tc>
        <w:tc>
          <w:tcPr>
            <w:tcW w:w="8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881,495</w:t>
            </w:r>
          </w:p>
        </w:tc>
        <w:tc>
          <w:tcPr>
            <w:tcW w:w="0" w:type="dxa"/>
            <w:vAlign w:val="bottom"/>
          </w:tcPr>
          <w:p>
            <w:pPr>
              <w:spacing w:after="0"/>
              <w:rPr>
                <w:sz w:val="1"/>
                <w:szCs w:val="1"/>
                <w:color w:val="auto"/>
              </w:rPr>
            </w:pPr>
          </w:p>
        </w:tc>
      </w:tr>
      <w:tr>
        <w:trPr>
          <w:trHeight w:val="167"/>
        </w:trPr>
        <w:tc>
          <w:tcPr>
            <w:tcW w:w="1760" w:type="dxa"/>
            <w:vAlign w:val="bottom"/>
          </w:tcPr>
          <w:p>
            <w:pPr>
              <w:ind w:left="4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bottom w:val="single" w:sz="8" w:color="auto"/>
            </w:tcBorders>
          </w:tcPr>
          <w:p>
            <w:pPr>
              <w:spacing w:after="0"/>
              <w:rPr>
                <w:sz w:val="14"/>
                <w:szCs w:val="14"/>
                <w:color w:val="auto"/>
              </w:rPr>
            </w:pPr>
          </w:p>
        </w:tc>
        <w:tc>
          <w:tcPr>
            <w:tcW w:w="8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0</w:t>
      </w:r>
    </w:p>
    <w:p>
      <w:pPr>
        <w:spacing w:after="0" w:line="50" w:lineRule="exact"/>
        <w:rPr>
          <w:sz w:val="20"/>
          <w:szCs w:val="20"/>
          <w:color w:val="auto"/>
        </w:rPr>
      </w:pPr>
    </w:p>
    <w:p>
      <w:pPr>
        <w:ind w:left="900" w:hanging="78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color w:val="auto"/>
        </w:rPr>
        <w:t>881,495</w:t>
      </w:r>
    </w:p>
    <w:p>
      <w:pPr>
        <w:spacing w:after="0" w:line="58"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20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color w:val="auto"/>
        </w:rPr>
        <w:t>5.1%</w:t>
      </w:r>
    </w:p>
    <w:p>
      <w:pPr>
        <w:spacing w:after="0" w:line="58"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33830T103</w:t>
            </w:r>
          </w:p>
        </w:tc>
        <w:tc>
          <w:tcPr>
            <w:tcW w:w="7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Page 3 of 8 Pages</w:t>
            </w:r>
          </w:p>
        </w:tc>
        <w:tc>
          <w:tcPr>
            <w:tcW w:w="0" w:type="dxa"/>
            <w:vAlign w:val="bottom"/>
          </w:tcPr>
          <w:p>
            <w:pPr>
              <w:spacing w:after="0"/>
              <w:rPr>
                <w:sz w:val="1"/>
                <w:szCs w:val="1"/>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Davis Asset Management, L.P.</w:t>
            </w:r>
          </w:p>
        </w:tc>
        <w:tc>
          <w:tcPr>
            <w:tcW w:w="4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right w:val="single" w:sz="8" w:color="auto"/>
            </w:tcBorders>
          </w:tcPr>
          <w:p>
            <w:pPr>
              <w:spacing w:after="0"/>
              <w:rPr>
                <w:sz w:val="18"/>
                <w:szCs w:val="18"/>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40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 w:type="dxa"/>
            <w:vAlign w:val="bottom"/>
            <w:tcBorders>
              <w:lef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80" w:type="dxa"/>
            <w:vAlign w:val="bottom"/>
          </w:tcPr>
          <w:p>
            <w:pPr>
              <w:ind w:left="568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00" w:type="dxa"/>
            <w:vAlign w:val="bottom"/>
            <w:vMerge w:val="continue"/>
          </w:tcPr>
          <w:p>
            <w:pPr>
              <w:spacing w:after="0"/>
              <w:rPr>
                <w:sz w:val="16"/>
                <w:szCs w:val="16"/>
                <w:color w:val="auto"/>
              </w:rPr>
            </w:pPr>
          </w:p>
        </w:tc>
        <w:tc>
          <w:tcPr>
            <w:tcW w:w="1520" w:type="dxa"/>
            <w:vAlign w:val="bottom"/>
            <w:tcBorders>
              <w:right w:val="single" w:sz="8" w:color="auto"/>
            </w:tcBorders>
          </w:tcPr>
          <w:p>
            <w:pPr>
              <w:ind w:left="420"/>
              <w:spacing w:after="0" w:line="188" w:lineRule="exact"/>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86"/>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ind w:left="62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right w:val="single" w:sz="8" w:color="auto"/>
            </w:tcBorders>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881,495</w:t>
            </w:r>
            <w:r>
              <w:rPr>
                <w:rFonts w:ascii="Times New Roman" w:cs="Times New Roman" w:eastAsia="Times New Roman" w:hAnsi="Times New Roman"/>
                <w:sz w:val="29"/>
                <w:szCs w:val="29"/>
                <w:color w:val="auto"/>
                <w:vertAlign w:val="superscript"/>
              </w:rPr>
              <w:t>1</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 w:type="dxa"/>
            <w:vAlign w:val="bottom"/>
            <w:tcBorders>
              <w:left w:val="single" w:sz="8" w:color="auto"/>
            </w:tcBorders>
          </w:tcPr>
          <w:p>
            <w:pPr>
              <w:spacing w:after="0"/>
              <w:rPr>
                <w:sz w:val="8"/>
                <w:szCs w:val="8"/>
                <w:color w:val="auto"/>
              </w:rPr>
            </w:pPr>
          </w:p>
        </w:tc>
        <w:tc>
          <w:tcPr>
            <w:tcW w:w="172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8"/>
                <w:szCs w:val="18"/>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12"/>
                <w:szCs w:val="12"/>
                <w:color w:val="auto"/>
              </w:rPr>
            </w:pPr>
          </w:p>
        </w:tc>
        <w:tc>
          <w:tcPr>
            <w:tcW w:w="648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7</w:t>
            </w: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18"/>
                <w:szCs w:val="18"/>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881,495</w:t>
            </w:r>
          </w:p>
        </w:tc>
        <w:tc>
          <w:tcPr>
            <w:tcW w:w="4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720" w:type="dxa"/>
            <w:vAlign w:val="bottom"/>
            <w:tcBorders>
              <w:right w:val="single" w:sz="8" w:color="auto"/>
            </w:tcBorders>
            <w:gridSpan w:val="2"/>
          </w:tcPr>
          <w:p>
            <w:pPr>
              <w:ind w:left="40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780" w:type="dxa"/>
            <w:vAlign w:val="bottom"/>
            <w:tcBorders>
              <w:bottom w:val="single" w:sz="8" w:color="auto"/>
              <w:right w:val="single" w:sz="8" w:color="auto"/>
            </w:tcBorders>
          </w:tcPr>
          <w:p>
            <w:pPr>
              <w:spacing w:after="0"/>
              <w:rPr>
                <w:sz w:val="15"/>
                <w:szCs w:val="15"/>
                <w:color w:val="auto"/>
              </w:rPr>
            </w:pPr>
          </w:p>
        </w:tc>
        <w:tc>
          <w:tcPr>
            <w:tcW w:w="64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881,495</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CHECK BOX IF THE AGGREGATE AMOUNT IN ROW (9) EXCLUDES CERTAIN SHARES (See Instructions)</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Borders>
              <w:left w:val="single" w:sz="8" w:color="auto"/>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9"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reported in this table are held by Davis Partnership, L.P., of which the Reporting Person is the sole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33830T103</w:t>
            </w:r>
          </w:p>
        </w:tc>
        <w:tc>
          <w:tcPr>
            <w:tcW w:w="7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Page 4 of 8 Pages</w:t>
            </w:r>
          </w:p>
        </w:tc>
        <w:tc>
          <w:tcPr>
            <w:tcW w:w="0" w:type="dxa"/>
            <w:vAlign w:val="bottom"/>
          </w:tcPr>
          <w:p>
            <w:pPr>
              <w:spacing w:after="0"/>
              <w:rPr>
                <w:sz w:val="1"/>
                <w:szCs w:val="1"/>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Davis Capital Partners, LLC</w:t>
            </w:r>
          </w:p>
        </w:tc>
        <w:tc>
          <w:tcPr>
            <w:tcW w:w="4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right w:val="single" w:sz="8" w:color="auto"/>
            </w:tcBorders>
          </w:tcPr>
          <w:p>
            <w:pPr>
              <w:spacing w:after="0"/>
              <w:rPr>
                <w:sz w:val="18"/>
                <w:szCs w:val="18"/>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40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 w:type="dxa"/>
            <w:vAlign w:val="bottom"/>
            <w:tcBorders>
              <w:lef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80" w:type="dxa"/>
            <w:vAlign w:val="bottom"/>
          </w:tcPr>
          <w:p>
            <w:pPr>
              <w:ind w:left="568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00" w:type="dxa"/>
            <w:vAlign w:val="bottom"/>
            <w:vMerge w:val="continue"/>
          </w:tcPr>
          <w:p>
            <w:pPr>
              <w:spacing w:after="0"/>
              <w:rPr>
                <w:sz w:val="16"/>
                <w:szCs w:val="16"/>
                <w:color w:val="auto"/>
              </w:rPr>
            </w:pPr>
          </w:p>
        </w:tc>
        <w:tc>
          <w:tcPr>
            <w:tcW w:w="1520" w:type="dxa"/>
            <w:vAlign w:val="bottom"/>
            <w:tcBorders>
              <w:right w:val="single" w:sz="8" w:color="auto"/>
            </w:tcBorders>
          </w:tcPr>
          <w:p>
            <w:pPr>
              <w:ind w:left="420"/>
              <w:spacing w:after="0" w:line="188" w:lineRule="exact"/>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86"/>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ind w:left="62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right w:val="single" w:sz="8" w:color="auto"/>
            </w:tcBorders>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881,495</w:t>
            </w:r>
            <w:r>
              <w:rPr>
                <w:rFonts w:ascii="Times New Roman" w:cs="Times New Roman" w:eastAsia="Times New Roman" w:hAnsi="Times New Roman"/>
                <w:sz w:val="29"/>
                <w:szCs w:val="29"/>
                <w:color w:val="auto"/>
                <w:vertAlign w:val="superscript"/>
              </w:rPr>
              <w:t>2</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 w:type="dxa"/>
            <w:vAlign w:val="bottom"/>
            <w:tcBorders>
              <w:left w:val="single" w:sz="8" w:color="auto"/>
            </w:tcBorders>
          </w:tcPr>
          <w:p>
            <w:pPr>
              <w:spacing w:after="0"/>
              <w:rPr>
                <w:sz w:val="8"/>
                <w:szCs w:val="8"/>
                <w:color w:val="auto"/>
              </w:rPr>
            </w:pPr>
          </w:p>
        </w:tc>
        <w:tc>
          <w:tcPr>
            <w:tcW w:w="172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8"/>
                <w:szCs w:val="18"/>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12"/>
                <w:szCs w:val="12"/>
                <w:color w:val="auto"/>
              </w:rPr>
            </w:pPr>
          </w:p>
        </w:tc>
        <w:tc>
          <w:tcPr>
            <w:tcW w:w="648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7</w:t>
            </w: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18"/>
                <w:szCs w:val="18"/>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881,495</w:t>
            </w:r>
          </w:p>
        </w:tc>
        <w:tc>
          <w:tcPr>
            <w:tcW w:w="4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720" w:type="dxa"/>
            <w:vAlign w:val="bottom"/>
            <w:tcBorders>
              <w:right w:val="single" w:sz="8" w:color="auto"/>
            </w:tcBorders>
            <w:gridSpan w:val="2"/>
          </w:tcPr>
          <w:p>
            <w:pPr>
              <w:ind w:left="40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780" w:type="dxa"/>
            <w:vAlign w:val="bottom"/>
            <w:tcBorders>
              <w:bottom w:val="single" w:sz="8" w:color="auto"/>
              <w:right w:val="single" w:sz="8" w:color="auto"/>
            </w:tcBorders>
          </w:tcPr>
          <w:p>
            <w:pPr>
              <w:spacing w:after="0"/>
              <w:rPr>
                <w:sz w:val="15"/>
                <w:szCs w:val="15"/>
                <w:color w:val="auto"/>
              </w:rPr>
            </w:pPr>
          </w:p>
        </w:tc>
        <w:tc>
          <w:tcPr>
            <w:tcW w:w="64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881,495</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CHECK BOX IF THE AGGREGATE AMOUNT IN ROW (9) EXCLUDES CERTAIN SHARES (See Instructions)</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Borders>
              <w:left w:val="single" w:sz="8" w:color="auto"/>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0"/>
          <w:szCs w:val="20"/>
          <w:color w:val="auto"/>
        </w:rPr>
      </w:pPr>
    </w:p>
    <w:p>
      <w:pPr>
        <w:ind w:right="60" w:firstLine="8"/>
        <w:spacing w:after="0" w:line="195"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reported in this table are held by Davis Partnership, L.P. The Reporting Person is the sole general partner of Davis Asset Management, L.P., which is the general partner of Davis 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33830T103</w:t>
            </w:r>
          </w:p>
        </w:tc>
        <w:tc>
          <w:tcPr>
            <w:tcW w:w="7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Page 5 of 8 Pages</w:t>
            </w:r>
          </w:p>
        </w:tc>
        <w:tc>
          <w:tcPr>
            <w:tcW w:w="0" w:type="dxa"/>
            <w:vAlign w:val="bottom"/>
          </w:tcPr>
          <w:p>
            <w:pPr>
              <w:spacing w:after="0"/>
              <w:rPr>
                <w:sz w:val="1"/>
                <w:szCs w:val="1"/>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Lansing A. Davis</w:t>
            </w:r>
          </w:p>
        </w:tc>
        <w:tc>
          <w:tcPr>
            <w:tcW w:w="6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right w:val="single" w:sz="8" w:color="auto"/>
            </w:tcBorders>
          </w:tcPr>
          <w:p>
            <w:pPr>
              <w:spacing w:after="0"/>
              <w:rPr>
                <w:sz w:val="18"/>
                <w:szCs w:val="18"/>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40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 w:type="dxa"/>
            <w:vAlign w:val="bottom"/>
            <w:tcBorders>
              <w:lef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80" w:type="dxa"/>
            <w:vAlign w:val="bottom"/>
          </w:tcPr>
          <w:p>
            <w:pPr>
              <w:ind w:left="568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00" w:type="dxa"/>
            <w:vAlign w:val="bottom"/>
            <w:vMerge w:val="continue"/>
          </w:tcPr>
          <w:p>
            <w:pPr>
              <w:spacing w:after="0"/>
              <w:rPr>
                <w:sz w:val="16"/>
                <w:szCs w:val="16"/>
                <w:color w:val="auto"/>
              </w:rPr>
            </w:pPr>
          </w:p>
        </w:tc>
        <w:tc>
          <w:tcPr>
            <w:tcW w:w="1520" w:type="dxa"/>
            <w:vAlign w:val="bottom"/>
            <w:tcBorders>
              <w:right w:val="single" w:sz="8" w:color="auto"/>
            </w:tcBorders>
          </w:tcPr>
          <w:p>
            <w:pPr>
              <w:ind w:left="420"/>
              <w:spacing w:after="0" w:line="188" w:lineRule="exact"/>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86"/>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ind w:left="62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right w:val="single" w:sz="8" w:color="auto"/>
            </w:tcBorders>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6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7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4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881,495</w:t>
            </w:r>
            <w:r>
              <w:rPr>
                <w:rFonts w:ascii="Times New Roman" w:cs="Times New Roman" w:eastAsia="Times New Roman" w:hAnsi="Times New Roman"/>
                <w:sz w:val="29"/>
                <w:szCs w:val="29"/>
                <w:color w:val="auto"/>
                <w:vertAlign w:val="superscript"/>
              </w:rPr>
              <w:t>3</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 w:type="dxa"/>
            <w:vAlign w:val="bottom"/>
            <w:tcBorders>
              <w:left w:val="single" w:sz="8" w:color="auto"/>
            </w:tcBorders>
          </w:tcPr>
          <w:p>
            <w:pPr>
              <w:spacing w:after="0"/>
              <w:rPr>
                <w:sz w:val="8"/>
                <w:szCs w:val="8"/>
                <w:color w:val="auto"/>
              </w:rPr>
            </w:pPr>
          </w:p>
        </w:tc>
        <w:tc>
          <w:tcPr>
            <w:tcW w:w="172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40" w:type="dxa"/>
            <w:vAlign w:val="bottom"/>
            <w:tcBorders>
              <w:left w:val="single" w:sz="8" w:color="auto"/>
            </w:tcBorders>
          </w:tcPr>
          <w:p>
            <w:pPr>
              <w:spacing w:after="0"/>
              <w:rPr>
                <w:sz w:val="12"/>
                <w:szCs w:val="12"/>
                <w:color w:val="auto"/>
              </w:rPr>
            </w:pPr>
          </w:p>
        </w:tc>
        <w:tc>
          <w:tcPr>
            <w:tcW w:w="17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8"/>
                <w:szCs w:val="18"/>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12"/>
                <w:szCs w:val="12"/>
                <w:color w:val="auto"/>
              </w:rPr>
            </w:pPr>
          </w:p>
        </w:tc>
        <w:tc>
          <w:tcPr>
            <w:tcW w:w="648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7</w:t>
            </w: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18"/>
                <w:szCs w:val="18"/>
                <w:color w:val="auto"/>
              </w:rPr>
            </w:pP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881,495</w:t>
            </w:r>
          </w:p>
        </w:tc>
        <w:tc>
          <w:tcPr>
            <w:tcW w:w="4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720" w:type="dxa"/>
            <w:vAlign w:val="bottom"/>
            <w:tcBorders>
              <w:right w:val="single" w:sz="8" w:color="auto"/>
            </w:tcBorders>
            <w:gridSpan w:val="2"/>
          </w:tcPr>
          <w:p>
            <w:pPr>
              <w:ind w:left="40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780" w:type="dxa"/>
            <w:vAlign w:val="bottom"/>
            <w:tcBorders>
              <w:bottom w:val="single" w:sz="8" w:color="auto"/>
              <w:right w:val="single" w:sz="8" w:color="auto"/>
            </w:tcBorders>
          </w:tcPr>
          <w:p>
            <w:pPr>
              <w:spacing w:after="0"/>
              <w:rPr>
                <w:sz w:val="15"/>
                <w:szCs w:val="15"/>
                <w:color w:val="auto"/>
              </w:rPr>
            </w:pPr>
          </w:p>
        </w:tc>
        <w:tc>
          <w:tcPr>
            <w:tcW w:w="64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881,495</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CHECK BOX IF THE AGGREGATE AMOUNT IN ROW (9) EXCLUDES CERTAIN SHARES (See Instructions)</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Borders>
              <w:left w:val="single" w:sz="8" w:color="auto"/>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right w:val="single" w:sz="8" w:color="auto"/>
            </w:tcBorders>
          </w:tcPr>
          <w:p>
            <w:pPr>
              <w:spacing w:after="0"/>
              <w:rPr>
                <w:sz w:val="20"/>
                <w:szCs w:val="20"/>
                <w:color w:val="auto"/>
              </w:rPr>
            </w:pPr>
          </w:p>
        </w:tc>
        <w:tc>
          <w:tcPr>
            <w:tcW w:w="8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00" w:type="dxa"/>
            <w:vAlign w:val="bottom"/>
          </w:tcPr>
          <w:p>
            <w:pPr>
              <w:spacing w:after="0"/>
              <w:rPr>
                <w:sz w:val="20"/>
                <w:szCs w:val="20"/>
                <w:color w:val="auto"/>
              </w:rPr>
            </w:pPr>
          </w:p>
        </w:tc>
        <w:tc>
          <w:tcPr>
            <w:tcW w:w="15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HC; IN</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0"/>
          <w:szCs w:val="20"/>
          <w:color w:val="auto"/>
        </w:rPr>
      </w:pPr>
    </w:p>
    <w:p>
      <w:pPr>
        <w:ind w:right="180" w:firstLine="8"/>
        <w:spacing w:after="0" w:line="195"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reported in this table are held by Davis Partnership, L.P. The Reporting Person is the managing member of Davis Capital Partners, LLC, the sole general partner of Davis 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tabs>
          <w:tab w:leader="none" w:pos="9900" w:val="left"/>
        </w:tabs>
        <w:rPr>
          <w:sz w:val="20"/>
          <w:szCs w:val="20"/>
          <w:color w:val="auto"/>
        </w:rPr>
      </w:pPr>
      <w:r>
        <w:rPr>
          <w:rFonts w:ascii="Times New Roman" w:cs="Times New Roman" w:eastAsia="Times New Roman" w:hAnsi="Times New Roman"/>
          <w:sz w:val="18"/>
          <w:szCs w:val="18"/>
          <w:b w:val="1"/>
          <w:bCs w:val="1"/>
          <w:color w:val="auto"/>
        </w:rPr>
        <w:t>CUSIP No. 33830T103</w:t>
      </w:r>
      <w:r>
        <w:rPr>
          <w:sz w:val="20"/>
          <w:szCs w:val="20"/>
          <w:color w:val="auto"/>
        </w:rPr>
        <w:tab/>
      </w:r>
      <w:r>
        <w:rPr>
          <w:rFonts w:ascii="Times New Roman" w:cs="Times New Roman" w:eastAsia="Times New Roman" w:hAnsi="Times New Roman"/>
          <w:sz w:val="17"/>
          <w:szCs w:val="17"/>
          <w:b w:val="1"/>
          <w:bCs w:val="1"/>
          <w:color w:val="auto"/>
        </w:rPr>
        <w:t>Page 6 of 8 Pages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NAME OF ISSUER</w:t>
            </w:r>
          </w:p>
        </w:tc>
        <w:tc>
          <w:tcPr>
            <w:tcW w:w="8460" w:type="dxa"/>
            <w:vAlign w:val="bottom"/>
            <w:gridSpan w:val="7"/>
          </w:tcPr>
          <w:p>
            <w:pPr>
              <w:spacing w:after="0"/>
              <w:rPr>
                <w:sz w:val="17"/>
                <w:szCs w:val="17"/>
                <w:color w:val="auto"/>
              </w:rPr>
            </w:pPr>
          </w:p>
        </w:tc>
      </w:tr>
      <w:tr>
        <w:trPr>
          <w:trHeight w:val="453"/>
        </w:trPr>
        <w:tc>
          <w:tcPr>
            <w:tcW w:w="130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Five Star Bancorp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34"/>
        </w:trPr>
        <w:tc>
          <w:tcPr>
            <w:tcW w:w="1300" w:type="dxa"/>
            <w:vAlign w:val="bottom"/>
          </w:tcPr>
          <w:p>
            <w:pPr>
              <w:spacing w:after="0"/>
              <w:rPr>
                <w:sz w:val="24"/>
                <w:szCs w:val="24"/>
                <w:color w:val="auto"/>
              </w:rPr>
            </w:pPr>
          </w:p>
        </w:tc>
        <w:tc>
          <w:tcPr>
            <w:tcW w:w="47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3100 Zinfandel Drive, Suite 100</w:t>
            </w:r>
          </w:p>
        </w:tc>
        <w:tc>
          <w:tcPr>
            <w:tcW w:w="5240" w:type="dxa"/>
            <w:vAlign w:val="bottom"/>
            <w:gridSpan w:val="3"/>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Rancho Cordova, CA 95670</w:t>
            </w:r>
          </w:p>
        </w:tc>
      </w:tr>
      <w:tr>
        <w:trPr>
          <w:trHeight w:val="194"/>
        </w:trPr>
        <w:tc>
          <w:tcPr>
            <w:tcW w:w="1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2(a).</w:t>
            </w:r>
          </w:p>
        </w:tc>
        <w:tc>
          <w:tcPr>
            <w:tcW w:w="228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9"/>
              </w:rPr>
              <w:t>NAME OF PERSONS FILING</w:t>
            </w:r>
          </w:p>
        </w:tc>
        <w:tc>
          <w:tcPr>
            <w:tcW w:w="7660" w:type="dxa"/>
            <w:vAlign w:val="bottom"/>
            <w:gridSpan w:val="6"/>
          </w:tcPr>
          <w:p>
            <w:pPr>
              <w:spacing w:after="0"/>
              <w:rPr>
                <w:sz w:val="16"/>
                <w:szCs w:val="16"/>
                <w:color w:val="auto"/>
              </w:rPr>
            </w:pPr>
          </w:p>
        </w:tc>
      </w:tr>
      <w:tr>
        <w:trPr>
          <w:trHeight w:val="430"/>
        </w:trPr>
        <w:tc>
          <w:tcPr>
            <w:tcW w:w="130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This joint statement on Schedule 13G is being filed by Davis Partnership, L.P., a Delaware limited partnership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Davis Asset</w:t>
            </w:r>
          </w:p>
        </w:tc>
      </w:tr>
      <w:tr>
        <w:trPr>
          <w:trHeight w:val="216"/>
        </w:trPr>
        <w:tc>
          <w:tcPr>
            <w:tcW w:w="1300" w:type="dxa"/>
            <w:vAlign w:val="bottom"/>
          </w:tcPr>
          <w:p>
            <w:pPr>
              <w:spacing w:after="0"/>
              <w:rPr>
                <w:sz w:val="18"/>
                <w:szCs w:val="18"/>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Management, L.P., a Delaware limited partnership and the sole general partner of the Fund (the “</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Davis Capital</w:t>
            </w:r>
          </w:p>
        </w:tc>
      </w:tr>
      <w:tr>
        <w:trPr>
          <w:trHeight w:val="220"/>
        </w:trPr>
        <w:tc>
          <w:tcPr>
            <w:tcW w:w="1300" w:type="dxa"/>
            <w:vAlign w:val="bottom"/>
          </w:tcPr>
          <w:p>
            <w:pPr>
              <w:spacing w:after="0"/>
              <w:rPr>
                <w:sz w:val="19"/>
                <w:szCs w:val="19"/>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Partners, LLC, a Delaware limited liability company and the sole general partner of the General Partner (the “</w:t>
            </w:r>
            <w:r>
              <w:rPr>
                <w:rFonts w:ascii="Times New Roman" w:cs="Times New Roman" w:eastAsia="Times New Roman" w:hAnsi="Times New Roman"/>
                <w:sz w:val="18"/>
                <w:szCs w:val="18"/>
                <w:b w:val="1"/>
                <w:bCs w:val="1"/>
                <w:color w:val="auto"/>
              </w:rPr>
              <w:t>Ultimate GP</w:t>
            </w:r>
            <w:r>
              <w:rPr>
                <w:rFonts w:ascii="Times New Roman" w:cs="Times New Roman" w:eastAsia="Times New Roman" w:hAnsi="Times New Roman"/>
                <w:sz w:val="18"/>
                <w:szCs w:val="18"/>
                <w:color w:val="auto"/>
              </w:rPr>
              <w:t>”), and</w:t>
            </w:r>
          </w:p>
        </w:tc>
      </w:tr>
      <w:tr>
        <w:trPr>
          <w:trHeight w:val="212"/>
        </w:trPr>
        <w:tc>
          <w:tcPr>
            <w:tcW w:w="1300" w:type="dxa"/>
            <w:vAlign w:val="bottom"/>
          </w:tcPr>
          <w:p>
            <w:pPr>
              <w:spacing w:after="0"/>
              <w:rPr>
                <w:sz w:val="18"/>
                <w:szCs w:val="18"/>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Lansing A. Davis, the managing member of the Ultimate GP (together with the Fund, the General Partner and the Ultimate GP, the</w:t>
            </w:r>
          </w:p>
        </w:tc>
      </w:tr>
      <w:tr>
        <w:trPr>
          <w:trHeight w:val="238"/>
        </w:trPr>
        <w:tc>
          <w:tcPr>
            <w:tcW w:w="1300" w:type="dxa"/>
            <w:vAlign w:val="bottom"/>
          </w:tcPr>
          <w:p>
            <w:pPr>
              <w:spacing w:after="0"/>
              <w:rPr>
                <w:sz w:val="20"/>
                <w:szCs w:val="20"/>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w:t>
            </w:r>
          </w:p>
        </w:tc>
      </w:tr>
      <w:tr>
        <w:trPr>
          <w:trHeight w:val="391"/>
        </w:trPr>
        <w:tc>
          <w:tcPr>
            <w:tcW w:w="130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Reporting Persons have entered into a Joint Filing Agreement, a copy of which is filed as Exhibit 1 to this Schedule 13G, pursuant to</w:t>
            </w:r>
          </w:p>
        </w:tc>
      </w:tr>
      <w:tr>
        <w:trPr>
          <w:trHeight w:val="20"/>
        </w:trPr>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8"/>
        </w:trPr>
        <w:tc>
          <w:tcPr>
            <w:tcW w:w="1300" w:type="dxa"/>
            <w:vAlign w:val="bottom"/>
          </w:tcPr>
          <w:p>
            <w:pPr>
              <w:spacing w:after="0"/>
              <w:rPr>
                <w:sz w:val="18"/>
                <w:szCs w:val="18"/>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they have agreed to file this Schedule 13G jointly in accordance with Rule 13d-1(k) under the Securities Exchange Act of 1934, as</w:t>
            </w:r>
          </w:p>
        </w:tc>
      </w:tr>
      <w:tr>
        <w:trPr>
          <w:trHeight w:val="234"/>
        </w:trPr>
        <w:tc>
          <w:tcPr>
            <w:tcW w:w="1300" w:type="dxa"/>
            <w:vAlign w:val="bottom"/>
          </w:tcPr>
          <w:p>
            <w:pPr>
              <w:spacing w:after="0"/>
              <w:rPr>
                <w:sz w:val="20"/>
                <w:szCs w:val="20"/>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amended.</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3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ADDRESS OF PRINCIPAL BUSINESS OFFICE</w:t>
            </w:r>
          </w:p>
        </w:tc>
        <w:tc>
          <w:tcPr>
            <w:tcW w:w="6320" w:type="dxa"/>
            <w:vAlign w:val="bottom"/>
            <w:gridSpan w:val="4"/>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business address of each of the Reporting Persons is 3 Harbor Drive, Suite 301, Sausalito, CA 94965.</w:t>
            </w: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CITIZENSHIP</w:t>
            </w:r>
          </w:p>
        </w:tc>
        <w:tc>
          <w:tcPr>
            <w:tcW w:w="8840" w:type="dxa"/>
            <w:vAlign w:val="bottom"/>
            <w:gridSpan w:val="9"/>
          </w:tcPr>
          <w:p>
            <w:pPr>
              <w:spacing w:after="0"/>
              <w:rPr>
                <w:sz w:val="24"/>
                <w:szCs w:val="24"/>
                <w:color w:val="auto"/>
              </w:rPr>
            </w:pPr>
          </w:p>
        </w:tc>
      </w:tr>
      <w:tr>
        <w:trPr>
          <w:trHeight w:val="434"/>
        </w:trPr>
        <w:tc>
          <w:tcPr>
            <w:tcW w:w="130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Fund is a Delaware limited partnership; the General Partner is a Delaware limited partnership; the Ultimate GP is a Delaware limited</w:t>
            </w:r>
          </w:p>
        </w:tc>
      </w:tr>
      <w:tr>
        <w:trPr>
          <w:trHeight w:val="234"/>
        </w:trPr>
        <w:tc>
          <w:tcPr>
            <w:tcW w:w="1300" w:type="dxa"/>
            <w:vAlign w:val="bottom"/>
          </w:tcPr>
          <w:p>
            <w:pPr>
              <w:spacing w:after="0"/>
              <w:rPr>
                <w:sz w:val="20"/>
                <w:szCs w:val="20"/>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liability company; and Mr. Davis is a citizen of the United States.</w:t>
            </w: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20"/>
        </w:trPr>
        <w:tc>
          <w:tcPr>
            <w:tcW w:w="1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7220" w:type="dxa"/>
            <w:vAlign w:val="bottom"/>
            <w:gridSpan w:val="5"/>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Common stock, no par value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CUSIP NUMBER</w:t>
            </w:r>
          </w:p>
        </w:tc>
      </w:tr>
      <w:tr>
        <w:trPr>
          <w:trHeight w:val="453"/>
        </w:trPr>
        <w:tc>
          <w:tcPr>
            <w:tcW w:w="1300" w:type="dxa"/>
            <w:vAlign w:val="bottom"/>
          </w:tcPr>
          <w:p>
            <w:pPr>
              <w:spacing w:after="0"/>
              <w:rPr>
                <w:sz w:val="24"/>
                <w:szCs w:val="24"/>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33830T103</w:t>
            </w:r>
          </w:p>
        </w:tc>
        <w:tc>
          <w:tcPr>
            <w:tcW w:w="8620" w:type="dxa"/>
            <w:vAlign w:val="bottom"/>
            <w:gridSpan w:val="8"/>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OWNERSHIP</w:t>
            </w:r>
          </w:p>
        </w:tc>
        <w:tc>
          <w:tcPr>
            <w:tcW w:w="40" w:type="dxa"/>
            <w:vAlign w:val="bottom"/>
            <w:tcBorders>
              <w:top w:val="single" w:sz="8" w:color="auto"/>
            </w:tcBorders>
          </w:tcPr>
          <w:p>
            <w:pPr>
              <w:spacing w:after="0"/>
              <w:rPr>
                <w:sz w:val="24"/>
                <w:szCs w:val="24"/>
                <w:color w:val="auto"/>
              </w:rPr>
            </w:pPr>
          </w:p>
        </w:tc>
        <w:tc>
          <w:tcPr>
            <w:tcW w:w="8840" w:type="dxa"/>
            <w:vAlign w:val="bottom"/>
            <w:gridSpan w:val="9"/>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Amount beneficially owned by each Reporting Person: 881,495 shares of Common Stock.</w:t>
            </w:r>
          </w:p>
        </w:tc>
      </w:tr>
      <w:tr>
        <w:trPr>
          <w:trHeight w:val="432"/>
        </w:trPr>
        <w:tc>
          <w:tcPr>
            <w:tcW w:w="130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 Percent of class beneficially owned by each Reporting Person: 5.1%.</w:t>
            </w:r>
          </w:p>
        </w:tc>
      </w:tr>
      <w:tr>
        <w:trPr>
          <w:trHeight w:val="648"/>
        </w:trPr>
        <w:tc>
          <w:tcPr>
            <w:tcW w:w="1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tabs>
          <w:tab w:leader="none" w:pos="9900" w:val="left"/>
        </w:tabs>
        <w:rPr>
          <w:sz w:val="20"/>
          <w:szCs w:val="20"/>
          <w:color w:val="auto"/>
        </w:rPr>
      </w:pPr>
      <w:r>
        <w:rPr>
          <w:rFonts w:ascii="Times New Roman" w:cs="Times New Roman" w:eastAsia="Times New Roman" w:hAnsi="Times New Roman"/>
          <w:sz w:val="18"/>
          <w:szCs w:val="18"/>
          <w:b w:val="1"/>
          <w:bCs w:val="1"/>
          <w:color w:val="auto"/>
        </w:rPr>
        <w:t>CUSIP No. 33830T103</w:t>
      </w:r>
      <w:r>
        <w:rPr>
          <w:sz w:val="20"/>
          <w:szCs w:val="20"/>
          <w:color w:val="auto"/>
        </w:rPr>
        <w:tab/>
      </w:r>
      <w:r>
        <w:rPr>
          <w:rFonts w:ascii="Times New Roman" w:cs="Times New Roman" w:eastAsia="Times New Roman" w:hAnsi="Times New Roman"/>
          <w:sz w:val="17"/>
          <w:szCs w:val="17"/>
          <w:b w:val="1"/>
          <w:bCs w:val="1"/>
          <w:color w:val="auto"/>
        </w:rPr>
        <w:t>Page 7 of 8 Pages</w:t>
      </w:r>
    </w:p>
    <w:p>
      <w:pPr>
        <w:spacing w:after="0" w:line="229" w:lineRule="exact"/>
        <w:rPr>
          <w:sz w:val="20"/>
          <w:szCs w:val="20"/>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each of the Reporting Persons has (i) the sole power to vote or direct the vote of: 881,495, (ii) the</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of: 0, (iii) the sole power to dispose or to direct the disposal of: 881,495, and (iv) the shared</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dispose or to direct the disposal of: 0.</w:t>
      </w:r>
    </w:p>
    <w:p>
      <w:pPr>
        <w:spacing w:after="0" w:line="207" w:lineRule="exact"/>
        <w:rPr>
          <w:sz w:val="20"/>
          <w:szCs w:val="20"/>
          <w:color w:val="auto"/>
        </w:rPr>
      </w:pPr>
    </w:p>
    <w:p>
      <w:pPr>
        <w:ind w:left="1300" w:right="20"/>
        <w:spacing w:after="0" w:line="258" w:lineRule="auto"/>
        <w:rPr>
          <w:sz w:val="20"/>
          <w:szCs w:val="20"/>
          <w:color w:val="auto"/>
        </w:rPr>
      </w:pPr>
      <w:r>
        <w:rPr>
          <w:rFonts w:ascii="Times New Roman" w:cs="Times New Roman" w:eastAsia="Times New Roman" w:hAnsi="Times New Roman"/>
          <w:sz w:val="18"/>
          <w:szCs w:val="18"/>
          <w:color w:val="auto"/>
        </w:rPr>
        <w:t>The percentages of beneficial ownership reported herein, and on each Reporting Person’s cover page to this Schedule 13G, are based on a total of 17,245,650 shares of Common Stock issued and outstanding as of November 4, 2022, as reported in the most recent quarterly report of the Issuer on Form 10-Q for its fiscal quarter ended September 30, 2022, and a total of 17,245,983 shares of Common Stock issued and outstanding as of August 4, 2022, as reported in the quarterly report of the Issuer on Form 10-Q for its fiscal quarter ended June 30, 2022. The amounts and percentages of beneficial ownership reported herein are as of July 20, 2022 and as of the date hereof.</w:t>
      </w:r>
    </w:p>
    <w:p>
      <w:pPr>
        <w:spacing w:after="0" w:line="183" w:lineRule="exact"/>
        <w:rPr>
          <w:sz w:val="20"/>
          <w:szCs w:val="20"/>
          <w:color w:val="auto"/>
        </w:rPr>
      </w:pPr>
    </w:p>
    <w:p>
      <w:pPr>
        <w:ind w:left="1300" w:right="5500" w:hanging="1295"/>
        <w:spacing w:after="0" w:line="500" w:lineRule="auto"/>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 xml:space="preserve">OWNERSHIP OF FIVE PERCENT OR LESS OF A CLASS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1300" w:right="3240" w:hanging="1295"/>
        <w:spacing w:after="0" w:line="500" w:lineRule="auto"/>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 xml:space="preserve">OWNERSHIP OF MORE THAN FIVE PERCENT ON BEHALF OF ANOTHER PERSON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auto"/>
        </w:rPr>
        <w:t>CERTIFICATION</w:t>
      </w:r>
    </w:p>
    <w:p>
      <w:pPr>
        <w:spacing w:after="0" w:line="225" w:lineRule="exact"/>
        <w:rPr>
          <w:sz w:val="20"/>
          <w:szCs w:val="20"/>
          <w:color w:val="auto"/>
        </w:rPr>
      </w:pPr>
    </w:p>
    <w:p>
      <w:pPr>
        <w:ind w:left="1300" w:right="2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tabs>
          <w:tab w:leader="none" w:pos="9900" w:val="left"/>
        </w:tabs>
        <w:rPr>
          <w:sz w:val="20"/>
          <w:szCs w:val="20"/>
          <w:color w:val="auto"/>
        </w:rPr>
      </w:pPr>
      <w:r>
        <w:rPr>
          <w:rFonts w:ascii="Times New Roman" w:cs="Times New Roman" w:eastAsia="Times New Roman" w:hAnsi="Times New Roman"/>
          <w:sz w:val="18"/>
          <w:szCs w:val="18"/>
          <w:b w:val="1"/>
          <w:bCs w:val="1"/>
          <w:color w:val="auto"/>
        </w:rPr>
        <w:t>CUSIP No. 33830T103</w:t>
      </w:r>
      <w:r>
        <w:rPr>
          <w:sz w:val="20"/>
          <w:szCs w:val="20"/>
          <w:color w:val="auto"/>
        </w:rPr>
        <w:tab/>
      </w:r>
      <w:r>
        <w:rPr>
          <w:rFonts w:ascii="Times New Roman" w:cs="Times New Roman" w:eastAsia="Times New Roman" w:hAnsi="Times New Roman"/>
          <w:sz w:val="17"/>
          <w:szCs w:val="17"/>
          <w:b w:val="1"/>
          <w:bCs w:val="1"/>
          <w:color w:val="auto"/>
        </w:rPr>
        <w:t>Page 8 of 8 Pages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November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DAVIS PARTNERSHIP,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Davis Asset Management, L.P.,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Davis Capital Partners,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DAVIS ASSET MANAGEMENT,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Davis Capital Partners,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DAVIS CAPITAL PARTNERS,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33830T103</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Rule 13d-1(k)(1) under the Securities Exchange Act of 1934, as amended, the undersigned hereby agree, as of November 29, 2022, that only one statement containing the information required by Schedule 13G, and each amendment thereto, need be filed with respect to the ownership by each of the undersigned of shares of common stock of Five Star Bancorp, a California corporation, and such statement to which this Joint Filing Agreement is attached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is filed on behalf of each of the undersigned.</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DAVIS PARTNERSHIP,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Davis Asset Management, L.P.,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Davis Capital Partners,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DAVIS ASSET MANAGEMENT,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Davis Capital Partners,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DAVIS CAPITAL PARTNERS,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Lansing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2022-11-30T10:50:19Z</dcterms:created>
  <dcterms:modified xsi:type="dcterms:W3CDTF">2022-11-30T10:50:19Z</dcterms:modified>
</cp:coreProperties>
</file>