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60"/>
        <w:jc w:val="both"/>
        <w:rPr/>
      </w:pPr>
      <w:r>
        <w:rPr>
          <w:rFonts w:ascii="Wingdings;sans-serif" w:hAnsi="Wingdings;sans-serif"/>
          <w:b w:val="false"/>
          <w:color w:val="000000"/>
          <w:sz w:val="20"/>
        </w:rPr>
        <w:t>x</w:t>
      </w: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60"/>
        <w:jc w:val="both"/>
        <w:rPr/>
      </w:pPr>
      <w:r>
        <w:rPr>
          <w:rFonts w:ascii="Wingdings;sans-serif" w:hAnsi="Wingdings;sans-serif"/>
          <w:b w:val="false"/>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 to _____</w:t>
      </w:r>
    </w:p>
    <w:p>
      <w:pPr>
        <w:pStyle w:val="TextBody"/>
        <w:bidi w:val="0"/>
        <w:spacing w:lineRule="auto" w:line="288" w:before="0" w:after="6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u w:val="single"/>
        </w:rPr>
        <w:t>001-40379</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FIVE STAR BANCORP</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473" w:type="dxa"/>
        <w:jc w:val="left"/>
        <w:tblInd w:w="0" w:type="dxa"/>
        <w:tblLayout w:type="fixed"/>
        <w:tblCellMar>
          <w:top w:w="28" w:type="dxa"/>
          <w:left w:w="28" w:type="dxa"/>
          <w:bottom w:w="28" w:type="dxa"/>
          <w:right w:w="28" w:type="dxa"/>
        </w:tblCellMar>
      </w:tblPr>
      <w:tblGrid>
        <w:gridCol w:w="1896"/>
        <w:gridCol w:w="1667"/>
        <w:gridCol w:w="1671"/>
        <w:gridCol w:w="948"/>
        <w:gridCol w:w="948"/>
        <w:gridCol w:w="1343"/>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California</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3100 Zinfandel Drive, Suite 100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Rancho Cordova, California</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(Address of principal executive offices)</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75-3100966</w:t>
            </w:r>
          </w:p>
          <w:p>
            <w:pPr>
              <w:pStyle w:val="TableContents"/>
              <w:bidi w:val="0"/>
              <w:spacing w:lineRule="auto" w:line="276" w:before="0" w:after="0"/>
              <w:jc w:val="center"/>
              <w:rPr/>
            </w:pPr>
            <w:r>
              <w:rPr>
                <w:color w:val="000000"/>
              </w:rPr>
              <w:t> </w:t>
            </w:r>
            <w:r>
              <w:rPr>
                <w:rFonts w:ascii="Times New Roman;sans-serif" w:hAnsi="Times New Roman;sans-serif"/>
                <w:b/>
                <w:color w:val="000000"/>
                <w:sz w:val="20"/>
              </w:rPr>
              <w:t xml:space="preserve">(I.R.S. Employer Identification No.) </w:t>
            </w:r>
          </w:p>
          <w:p>
            <w:pPr>
              <w:pStyle w:val="TableContents"/>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95670</w:t>
            </w:r>
          </w:p>
          <w:p>
            <w:pPr>
              <w:pStyle w:val="TableContents"/>
              <w:bidi w:val="0"/>
              <w:spacing w:lineRule="auto" w:line="276" w:before="0" w:after="0"/>
              <w:jc w:val="center"/>
              <w:rPr/>
            </w:pPr>
            <w:r>
              <w:rPr>
                <w:color w:val="000000"/>
              </w:rPr>
              <w:t> </w:t>
            </w:r>
            <w:r>
              <w:rPr>
                <w:rFonts w:ascii="Times New Roman;sans-serif" w:hAnsi="Times New Roman;sans-serif"/>
                <w:b/>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(916) 626-5000</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235"/>
        <w:gridCol w:w="1079"/>
        <w:gridCol w:w="1091"/>
        <w:gridCol w:w="564"/>
        <w:gridCol w:w="564"/>
        <w:gridCol w:w="566"/>
        <w:gridCol w:w="1118"/>
        <w:gridCol w:w="1118"/>
        <w:gridCol w:w="1589"/>
      </w:tblGrid>
      <w:tr>
        <w:trPr/>
        <w:tc>
          <w:tcPr>
            <w:tcW w:w="123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Class</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no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FSBC</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60"/>
        <w:jc w:val="center"/>
        <w:rPr/>
      </w:pPr>
      <w:r>
        <w:rPr>
          <w:rFonts w:ascii="Times New Roman;sans-serif" w:hAnsi="Times New Roman;sans-serif"/>
          <w:b/>
          <w:color w:val="000000"/>
          <w:sz w:val="20"/>
        </w:rPr>
        <w:t xml:space="preserve">Securities registered pursuant to Section 12(g) of the Act: </w:t>
      </w:r>
      <w:r>
        <w:rPr>
          <w:rFonts w:ascii="Times New Roman;sans-serif" w:hAnsi="Times New Roman;sans-serif"/>
          <w:b/>
          <w:color w:val="000000"/>
          <w:sz w:val="20"/>
          <w:u w:val="single"/>
        </w:rPr>
        <w:t>None</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if the registrant is not required to file reports pursuant to Section 13 or 15(d)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whether the registrant (l)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p>
    <w:p>
      <w:pPr>
        <w:pStyle w:val="TextBody"/>
        <w:bidi w:val="0"/>
        <w:spacing w:lineRule="auto" w:line="288" w:before="0" w:after="60"/>
        <w:jc w:val="both"/>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0" w:after="6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8"/>
        </w:rPr>
        <w:t>o</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 xml:space="preserve">o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of the registrant held by non-affiliates as of June 30, 2024 was $393.3 million. As of February 25, 2025, the number of shares outstanding of the registrant’s common stock was 21,329,235.</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to be filed with the Securities and Exchange Commission pursuant to Regulation 14A for its 2025 Annual Meeting of Shareholders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INDEX</w:t>
      </w:r>
    </w:p>
    <w:tbl>
      <w:tblPr>
        <w:tblW w:w="10205" w:type="dxa"/>
        <w:jc w:val="left"/>
        <w:tblInd w:w="0" w:type="dxa"/>
        <w:tblLayout w:type="fixed"/>
        <w:tblCellMar>
          <w:top w:w="28" w:type="dxa"/>
          <w:left w:w="28" w:type="dxa"/>
          <w:bottom w:w="28" w:type="dxa"/>
          <w:right w:w="28" w:type="dxa"/>
        </w:tblCellMar>
      </w:tblPr>
      <w:tblGrid>
        <w:gridCol w:w="761"/>
        <w:gridCol w:w="668"/>
        <w:gridCol w:w="668"/>
        <w:gridCol w:w="2581"/>
        <w:gridCol w:w="2464"/>
        <w:gridCol w:w="2518"/>
        <w:gridCol w:w="158"/>
        <w:gridCol w:w="158"/>
        <w:gridCol w:w="22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966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3">
              <w:r>
                <w:rPr>
                  <w:rStyle w:val="InternetLink"/>
                  <w:rFonts w:ascii="Times New Roman;sans-serif" w:hAnsi="Times New Roman;sans-serif"/>
                  <w:b w:val="false"/>
                  <w:color w:val="0000FF"/>
                  <w:sz w:val="20"/>
                  <w:u w:val="single"/>
                </w:rPr>
                <w:t>Cautionary Note Regarding Forward-Looking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3">
              <w:r>
                <w:rPr>
                  <w:rStyle w:val="InternetLink"/>
                  <w:rFonts w:ascii="Times New Roman;sans-serif" w:hAnsi="Times New Roman;sans-serif"/>
                  <w:b w:val="false"/>
                  <w:strike w:val="false"/>
                  <w:dstrike w:val="false"/>
                  <w:color w:val="000000"/>
                  <w:sz w:val="20"/>
                  <w:u w:val="none"/>
                  <w:effect w:val="none"/>
                </w:rPr>
                <w:t>1</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6">
              <w:r>
                <w:rPr>
                  <w:rStyle w:val="InternetLink"/>
                  <w:rFonts w:ascii="Times New Roman;sans-serif" w:hAnsi="Times New Roman;sans-serif"/>
                  <w:b w:val="false"/>
                  <w:color w:val="0000FF"/>
                  <w:sz w:val="20"/>
                  <w:u w:val="single"/>
                </w:rPr>
                <w:t>PART I</w:t>
              </w:r>
            </w:hyperlink>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6">
              <w:r>
                <w:rPr>
                  <w:rStyle w:val="InternetLink"/>
                  <w:rFonts w:ascii="Times New Roman;sans-serif" w:hAnsi="Times New Roman;sans-serif"/>
                  <w:b w:val="false"/>
                  <w:strike w:val="false"/>
                  <w:dstrike w:val="false"/>
                  <w:color w:val="000000"/>
                  <w:sz w:val="20"/>
                  <w:u w:val="none"/>
                  <w:effect w:val="none"/>
                </w:rPr>
                <w:t>3</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9">
              <w:r>
                <w:rPr>
                  <w:rStyle w:val="InternetLink"/>
                  <w:rFonts w:ascii="Times New Roman;sans-serif" w:hAnsi="Times New Roman;sans-serif"/>
                  <w:b w:val="false"/>
                  <w:color w:val="0000FF"/>
                  <w:sz w:val="20"/>
                  <w:u w:val="single"/>
                </w:rPr>
                <w:t>Item 1.</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9">
              <w:r>
                <w:rPr>
                  <w:rStyle w:val="InternetLink"/>
                  <w:rFonts w:ascii="Times New Roman;sans-serif" w:hAnsi="Times New Roman;sans-serif"/>
                  <w:b w:val="false"/>
                  <w:color w:val="0000FF"/>
                  <w:sz w:val="20"/>
                  <w:u w:val="single"/>
                </w:rPr>
                <w:t>Business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9">
              <w:r>
                <w:rPr>
                  <w:rStyle w:val="InternetLink"/>
                  <w:rFonts w:ascii="Times New Roman;sans-serif" w:hAnsi="Times New Roman;sans-serif"/>
                  <w:b w:val="false"/>
                  <w:strike w:val="false"/>
                  <w:dstrike w:val="false"/>
                  <w:color w:val="000000"/>
                  <w:sz w:val="20"/>
                  <w:u w:val="none"/>
                  <w:effect w:val="none"/>
                </w:rPr>
                <w:t>3</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55">
              <w:r>
                <w:rPr>
                  <w:rStyle w:val="InternetLink"/>
                  <w:rFonts w:ascii="Times New Roman;sans-serif" w:hAnsi="Times New Roman;sans-serif"/>
                  <w:b w:val="false"/>
                  <w:color w:val="0000FF"/>
                  <w:sz w:val="20"/>
                  <w:u w:val="single"/>
                </w:rPr>
                <w:t>Item 1A.</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55">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55">
              <w:r>
                <w:rPr>
                  <w:rStyle w:val="InternetLink"/>
                  <w:rFonts w:ascii="Times New Roman;sans-serif" w:hAnsi="Times New Roman;sans-serif"/>
                  <w:b w:val="false"/>
                  <w:strike w:val="false"/>
                  <w:dstrike w:val="false"/>
                  <w:color w:val="000000"/>
                  <w:sz w:val="20"/>
                  <w:u w:val="none"/>
                  <w:effect w:val="none"/>
                </w:rPr>
                <w:t>18</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58">
              <w:r>
                <w:rPr>
                  <w:rStyle w:val="InternetLink"/>
                  <w:rFonts w:ascii="Times New Roman;sans-serif" w:hAnsi="Times New Roman;sans-serif"/>
                  <w:b w:val="false"/>
                  <w:color w:val="0000FF"/>
                  <w:sz w:val="20"/>
                  <w:u w:val="single"/>
                </w:rPr>
                <w:t>Item 1B.</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58">
              <w:r>
                <w:rPr>
                  <w:rStyle w:val="InternetLink"/>
                  <w:rFonts w:ascii="Times New Roman;sans-serif" w:hAnsi="Times New Roman;sans-serif"/>
                  <w:b w:val="false"/>
                  <w:color w:val="0000FF"/>
                  <w:sz w:val="20"/>
                  <w:u w:val="single"/>
                </w:rPr>
                <w:t>Unresolved Staff Comments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58">
              <w:r>
                <w:rPr>
                  <w:rStyle w:val="InternetLink"/>
                  <w:rFonts w:ascii="Times New Roman;sans-serif" w:hAnsi="Times New Roman;sans-serif"/>
                  <w:b w:val="false"/>
                  <w:strike w:val="false"/>
                  <w:dstrike w:val="false"/>
                  <w:color w:val="000000"/>
                  <w:sz w:val="20"/>
                  <w:u w:val="none"/>
                  <w:effect w:val="none"/>
                </w:rPr>
                <w:t>40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61">
              <w:r>
                <w:rPr>
                  <w:rStyle w:val="InternetLink"/>
                  <w:rFonts w:ascii="Times New Roman;sans-serif" w:hAnsi="Times New Roman;sans-serif"/>
                  <w:b w:val="false"/>
                  <w:color w:val="0000FF"/>
                  <w:sz w:val="20"/>
                  <w:u w:val="single"/>
                </w:rPr>
                <w:t>Item 1C.</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61">
              <w:r>
                <w:rPr>
                  <w:rStyle w:val="InternetLink"/>
                  <w:rFonts w:ascii="Times New Roman;sans-serif" w:hAnsi="Times New Roman;sans-serif"/>
                  <w:b w:val="false"/>
                  <w:color w:val="0000FF"/>
                  <w:sz w:val="20"/>
                  <w:u w:val="single"/>
                </w:rPr>
                <w:t>Cybersecurity</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61">
              <w:r>
                <w:rPr>
                  <w:rStyle w:val="InternetLink"/>
                  <w:rFonts w:ascii="Times New Roman;sans-serif" w:hAnsi="Times New Roman;sans-serif"/>
                  <w:b w:val="false"/>
                  <w:strike w:val="false"/>
                  <w:dstrike w:val="false"/>
                  <w:color w:val="000000"/>
                  <w:sz w:val="20"/>
                  <w:u w:val="none"/>
                  <w:effect w:val="none"/>
                </w:rPr>
                <w:t>40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64">
              <w:r>
                <w:rPr>
                  <w:rStyle w:val="InternetLink"/>
                  <w:rFonts w:ascii="Times New Roman;sans-serif" w:hAnsi="Times New Roman;sans-serif"/>
                  <w:b w:val="false"/>
                  <w:color w:val="0000FF"/>
                  <w:sz w:val="20"/>
                  <w:u w:val="single"/>
                </w:rPr>
                <w:t>Item 2.</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64">
              <w:r>
                <w:rPr>
                  <w:rStyle w:val="InternetLink"/>
                  <w:rFonts w:ascii="Times New Roman;sans-serif" w:hAnsi="Times New Roman;sans-serif"/>
                  <w:b w:val="false"/>
                  <w:color w:val="0000FF"/>
                  <w:sz w:val="20"/>
                  <w:u w:val="single"/>
                </w:rPr>
                <w:t>Properties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64">
              <w:r>
                <w:rPr>
                  <w:rStyle w:val="InternetLink"/>
                  <w:rFonts w:ascii="Times New Roman;sans-serif" w:hAnsi="Times New Roman;sans-serif"/>
                  <w:b w:val="false"/>
                  <w:strike w:val="false"/>
                  <w:dstrike w:val="false"/>
                  <w:color w:val="000000"/>
                  <w:sz w:val="20"/>
                  <w:u w:val="none"/>
                  <w:effect w:val="none"/>
                </w:rPr>
                <w:t>42</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67">
              <w:r>
                <w:rPr>
                  <w:rStyle w:val="InternetLink"/>
                  <w:rFonts w:ascii="Times New Roman;sans-serif" w:hAnsi="Times New Roman;sans-serif"/>
                  <w:b w:val="false"/>
                  <w:color w:val="0000FF"/>
                  <w:sz w:val="20"/>
                  <w:u w:val="single"/>
                </w:rPr>
                <w:t>Item 3.</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67">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67">
              <w:r>
                <w:rPr>
                  <w:rStyle w:val="InternetLink"/>
                  <w:rFonts w:ascii="Times New Roman;sans-serif" w:hAnsi="Times New Roman;sans-serif"/>
                  <w:b w:val="false"/>
                  <w:strike w:val="false"/>
                  <w:dstrike w:val="false"/>
                  <w:color w:val="000000"/>
                  <w:sz w:val="20"/>
                  <w:u w:val="none"/>
                  <w:effect w:val="none"/>
                </w:rPr>
                <w:t>42</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0">
              <w:r>
                <w:rPr>
                  <w:rStyle w:val="InternetLink"/>
                  <w:rFonts w:ascii="Times New Roman;sans-serif" w:hAnsi="Times New Roman;sans-serif"/>
                  <w:b w:val="false"/>
                  <w:color w:val="0000FF"/>
                  <w:sz w:val="20"/>
                  <w:u w:val="single"/>
                </w:rPr>
                <w:t>Item 4.</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0">
              <w:r>
                <w:rPr>
                  <w:rStyle w:val="InternetLink"/>
                  <w:rFonts w:ascii="Times New Roman;sans-serif" w:hAnsi="Times New Roman;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70">
              <w:r>
                <w:rPr>
                  <w:rStyle w:val="InternetLink"/>
                  <w:rFonts w:ascii="Times New Roman;sans-serif" w:hAnsi="Times New Roman;sans-serif"/>
                  <w:b w:val="false"/>
                  <w:strike w:val="false"/>
                  <w:dstrike w:val="false"/>
                  <w:color w:val="000000"/>
                  <w:sz w:val="20"/>
                  <w:u w:val="none"/>
                  <w:effect w:val="none"/>
                </w:rPr>
                <w:t>42</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3">
              <w:r>
                <w:rPr>
                  <w:rStyle w:val="InternetLink"/>
                  <w:rFonts w:ascii="Times New Roman;sans-serif" w:hAnsi="Times New Roman;sans-serif"/>
                  <w:b w:val="false"/>
                  <w:color w:val="0000FF"/>
                  <w:sz w:val="20"/>
                  <w:u w:val="single"/>
                </w:rPr>
                <w:t>PART II</w:t>
              </w:r>
            </w:hyperlink>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73">
              <w:r>
                <w:rPr>
                  <w:rStyle w:val="InternetLink"/>
                  <w:rFonts w:ascii="Times New Roman;sans-serif" w:hAnsi="Times New Roman;sans-serif"/>
                  <w:b w:val="false"/>
                  <w:strike w:val="false"/>
                  <w:dstrike w:val="false"/>
                  <w:color w:val="000000"/>
                  <w:sz w:val="20"/>
                  <w:u w:val="none"/>
                  <w:effect w:val="none"/>
                </w:rPr>
                <w:t>43</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6">
              <w:r>
                <w:rPr>
                  <w:rStyle w:val="InternetLink"/>
                  <w:rFonts w:ascii="Times New Roman;sans-serif" w:hAnsi="Times New Roman;sans-serif"/>
                  <w:b w:val="false"/>
                  <w:color w:val="0000FF"/>
                  <w:sz w:val="20"/>
                  <w:u w:val="single"/>
                </w:rPr>
                <w:t>Item 5.</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76">
              <w:r>
                <w:rPr>
                  <w:rStyle w:val="InternetLink"/>
                  <w:rFonts w:ascii="Times New Roman;sans-serif" w:hAnsi="Times New Roman;sans-serif"/>
                  <w:b w:val="false"/>
                  <w:strike w:val="false"/>
                  <w:dstrike w:val="false"/>
                  <w:color w:val="000000"/>
                  <w:sz w:val="20"/>
                  <w:u w:val="none"/>
                  <w:effect w:val="none"/>
                </w:rPr>
                <w:t>43</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9">
              <w:r>
                <w:rPr>
                  <w:rStyle w:val="InternetLink"/>
                  <w:rFonts w:ascii="Times New Roman;sans-serif" w:hAnsi="Times New Roman;sans-serif"/>
                  <w:b w:val="false"/>
                  <w:color w:val="0000FF"/>
                  <w:sz w:val="20"/>
                  <w:u w:val="single"/>
                </w:rPr>
                <w:t>Item 6.</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79">
              <w:r>
                <w:rPr>
                  <w:rStyle w:val="InternetLink"/>
                  <w:rFonts w:ascii="Times New Roman;sans-serif" w:hAnsi="Times New Roman;sans-serif"/>
                  <w:b w:val="false"/>
                  <w:color w:val="0000FF"/>
                  <w:sz w:val="20"/>
                  <w:u w:val="single"/>
                </w:rPr>
                <w:t>[Reserved]</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79">
              <w:r>
                <w:rPr>
                  <w:rStyle w:val="InternetLink"/>
                  <w:rFonts w:ascii="Times New Roman;sans-serif" w:hAnsi="Times New Roman;sans-serif"/>
                  <w:b w:val="false"/>
                  <w:strike w:val="false"/>
                  <w:dstrike w:val="false"/>
                  <w:color w:val="000000"/>
                  <w:sz w:val="20"/>
                  <w:u w:val="none"/>
                  <w:effect w:val="none"/>
                </w:rPr>
                <w:t>44</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82">
              <w:r>
                <w:rPr>
                  <w:rStyle w:val="InternetLink"/>
                  <w:rFonts w:ascii="Times New Roman;sans-serif" w:hAnsi="Times New Roman;sans-serif"/>
                  <w:b w:val="false"/>
                  <w:color w:val="0000FF"/>
                  <w:sz w:val="20"/>
                  <w:u w:val="single"/>
                </w:rPr>
                <w:t>Item 7.</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82">
              <w:r>
                <w:rPr>
                  <w:rStyle w:val="InternetLink"/>
                  <w:rFonts w:ascii="Times New Roman;sans-serif" w:hAnsi="Times New Roman;sans-serif"/>
                  <w:b w:val="false"/>
                  <w:strike w:val="false"/>
                  <w:dstrike w:val="false"/>
                  <w:color w:val="000000"/>
                  <w:sz w:val="20"/>
                  <w:u w:val="none"/>
                  <w:effect w:val="none"/>
                </w:rPr>
                <w:t>44</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63">
              <w:r>
                <w:rPr>
                  <w:rStyle w:val="InternetLink"/>
                  <w:rFonts w:ascii="Times New Roman;sans-serif" w:hAnsi="Times New Roman;sans-serif"/>
                  <w:b w:val="false"/>
                  <w:color w:val="0000FF"/>
                  <w:sz w:val="20"/>
                  <w:u w:val="single"/>
                </w:rPr>
                <w:t>Item 7A.</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63">
              <w:r>
                <w:rPr>
                  <w:rStyle w:val="InternetLink"/>
                  <w:rFonts w:ascii="Times New Roman;sans-serif" w:hAnsi="Times New Roman;sans-serif"/>
                  <w:b w:val="false"/>
                  <w:color w:val="0000FF"/>
                  <w:sz w:val="20"/>
                  <w:u w:val="single"/>
                </w:rPr>
                <w:t>Quantitative and Qualitative Disclosure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63">
              <w:r>
                <w:rPr>
                  <w:rStyle w:val="InternetLink"/>
                  <w:rFonts w:ascii="Times New Roman;sans-serif" w:hAnsi="Times New Roman;sans-serif"/>
                  <w:b w:val="false"/>
                  <w:strike w:val="false"/>
                  <w:dstrike w:val="false"/>
                  <w:color w:val="000000"/>
                  <w:sz w:val="20"/>
                  <w:u w:val="none"/>
                  <w:effect w:val="none"/>
                </w:rPr>
                <w:t>71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66">
              <w:r>
                <w:rPr>
                  <w:rStyle w:val="InternetLink"/>
                  <w:rFonts w:ascii="Times New Roman;sans-serif" w:hAnsi="Times New Roman;sans-serif"/>
                  <w:b w:val="false"/>
                  <w:color w:val="0000FF"/>
                  <w:sz w:val="20"/>
                  <w:u w:val="single"/>
                </w:rPr>
                <w:t>Item 8.</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66">
              <w:r>
                <w:rPr>
                  <w:rStyle w:val="InternetLink"/>
                  <w:rFonts w:ascii="Times New Roman;sans-serif" w:hAnsi="Times New Roman;sans-serif"/>
                  <w:b w:val="false"/>
                  <w:color w:val="0000FF"/>
                  <w:sz w:val="20"/>
                  <w:u w:val="single"/>
                </w:rPr>
                <w:t>Financial Statements and Supplementary Data</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66">
              <w:r>
                <w:rPr>
                  <w:rStyle w:val="InternetLink"/>
                  <w:rFonts w:ascii="Times New Roman;sans-serif" w:hAnsi="Times New Roman;sans-serif"/>
                  <w:b w:val="false"/>
                  <w:strike w:val="false"/>
                  <w:dstrike w:val="false"/>
                  <w:color w:val="000000"/>
                  <w:sz w:val="20"/>
                  <w:u w:val="none"/>
                  <w:effect w:val="none"/>
                </w:rPr>
                <w:t>73</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56">
              <w:r>
                <w:rPr>
                  <w:rStyle w:val="InternetLink"/>
                  <w:rFonts w:ascii="Times New Roman;sans-serif" w:hAnsi="Times New Roman;sans-serif"/>
                  <w:b w:val="false"/>
                  <w:color w:val="0000FF"/>
                  <w:sz w:val="20"/>
                  <w:u w:val="single"/>
                </w:rPr>
                <w:t>Item 9.</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56">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56">
              <w:r>
                <w:rPr>
                  <w:rStyle w:val="InternetLink"/>
                  <w:rFonts w:ascii="Times New Roman;sans-serif" w:hAnsi="Times New Roman;sans-serif"/>
                  <w:b w:val="false"/>
                  <w:strike w:val="false"/>
                  <w:dstrike w:val="false"/>
                  <w:color w:val="000000"/>
                  <w:sz w:val="20"/>
                  <w:u w:val="none"/>
                  <w:effect w:val="none"/>
                </w:rPr>
                <w:t>118</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59">
              <w:r>
                <w:rPr>
                  <w:rStyle w:val="InternetLink"/>
                  <w:rFonts w:ascii="Times New Roman;sans-serif" w:hAnsi="Times New Roman;sans-serif"/>
                  <w:b w:val="false"/>
                  <w:color w:val="0000FF"/>
                  <w:sz w:val="20"/>
                  <w:u w:val="single"/>
                </w:rPr>
                <w:t>Item 9A.</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59">
              <w:r>
                <w:rPr>
                  <w:rStyle w:val="InternetLink"/>
                  <w:rFonts w:ascii="Times New Roman;sans-serif" w:hAnsi="Times New Roman;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59">
              <w:r>
                <w:rPr>
                  <w:rStyle w:val="InternetLink"/>
                  <w:rFonts w:ascii="Times New Roman;sans-serif" w:hAnsi="Times New Roman;sans-serif"/>
                  <w:b w:val="false"/>
                  <w:strike w:val="false"/>
                  <w:dstrike w:val="false"/>
                  <w:color w:val="000000"/>
                  <w:sz w:val="20"/>
                  <w:u w:val="none"/>
                  <w:effect w:val="none"/>
                </w:rPr>
                <w:t>118</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62">
              <w:r>
                <w:rPr>
                  <w:rStyle w:val="InternetLink"/>
                  <w:rFonts w:ascii="Times New Roman;sans-serif" w:hAnsi="Times New Roman;sans-serif"/>
                  <w:b w:val="false"/>
                  <w:color w:val="0000FF"/>
                  <w:sz w:val="20"/>
                  <w:u w:val="single"/>
                </w:rPr>
                <w:t>Item 9B.</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62">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62">
              <w:r>
                <w:rPr>
                  <w:rStyle w:val="InternetLink"/>
                  <w:rFonts w:ascii="Times New Roman;sans-serif" w:hAnsi="Times New Roman;sans-serif"/>
                  <w:b w:val="false"/>
                  <w:strike w:val="false"/>
                  <w:dstrike w:val="false"/>
                  <w:color w:val="000000"/>
                  <w:sz w:val="20"/>
                  <w:u w:val="none"/>
                  <w:effect w:val="none"/>
                </w:rPr>
                <w:t>118</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68">
              <w:r>
                <w:rPr>
                  <w:rStyle w:val="InternetLink"/>
                  <w:rFonts w:ascii="Times New Roman;sans-serif" w:hAnsi="Times New Roman;sans-serif"/>
                  <w:b w:val="false"/>
                  <w:color w:val="0000FF"/>
                  <w:sz w:val="20"/>
                  <w:u w:val="single"/>
                </w:rPr>
                <w:t>PART III</w:t>
              </w:r>
            </w:hyperlink>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68">
              <w:r>
                <w:rPr>
                  <w:rStyle w:val="InternetLink"/>
                  <w:rFonts w:ascii="Times New Roman;sans-serif" w:hAnsi="Times New Roman;sans-serif"/>
                  <w:b w:val="false"/>
                  <w:strike w:val="false"/>
                  <w:dstrike w:val="false"/>
                  <w:color w:val="000000"/>
                  <w:sz w:val="20"/>
                  <w:u w:val="none"/>
                  <w:effect w:val="none"/>
                </w:rPr>
                <w:t>119</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71">
              <w:r>
                <w:rPr>
                  <w:rStyle w:val="InternetLink"/>
                  <w:rFonts w:ascii="Times New Roman;sans-serif" w:hAnsi="Times New Roman;sans-serif"/>
                  <w:b w:val="false"/>
                  <w:color w:val="0000FF"/>
                  <w:sz w:val="20"/>
                  <w:u w:val="single"/>
                </w:rPr>
                <w:t>Item 10.</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71">
              <w:r>
                <w:rPr>
                  <w:rStyle w:val="InternetLink"/>
                  <w:rFonts w:ascii="Times New Roman;sans-serif" w:hAnsi="Times New Roman;sans-serif"/>
                  <w:b w:val="false"/>
                  <w:color w:val="0000FF"/>
                  <w:sz w:val="20"/>
                  <w:u w:val="single"/>
                </w:rPr>
                <w:t>Directors, Executive Officers and Corporate Governance</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71">
              <w:r>
                <w:rPr>
                  <w:rStyle w:val="InternetLink"/>
                  <w:rFonts w:ascii="Times New Roman;sans-serif" w:hAnsi="Times New Roman;sans-serif"/>
                  <w:b w:val="false"/>
                  <w:strike w:val="false"/>
                  <w:dstrike w:val="false"/>
                  <w:color w:val="000000"/>
                  <w:sz w:val="20"/>
                  <w:u w:val="none"/>
                  <w:effect w:val="none"/>
                </w:rPr>
                <w:t>119</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74">
              <w:r>
                <w:rPr>
                  <w:rStyle w:val="InternetLink"/>
                  <w:rFonts w:ascii="Times New Roman;sans-serif" w:hAnsi="Times New Roman;sans-serif"/>
                  <w:b w:val="false"/>
                  <w:color w:val="0000FF"/>
                  <w:sz w:val="20"/>
                  <w:u w:val="single"/>
                </w:rPr>
                <w:t>Item 11.</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74">
              <w:r>
                <w:rPr>
                  <w:rStyle w:val="InternetLink"/>
                  <w:rFonts w:ascii="Times New Roman;sans-serif" w:hAnsi="Times New Roman;sans-serif"/>
                  <w:b w:val="false"/>
                  <w:color w:val="0000FF"/>
                  <w:sz w:val="20"/>
                  <w:u w:val="single"/>
                </w:rPr>
                <w:t>Executive Compensation</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74">
              <w:r>
                <w:rPr>
                  <w:rStyle w:val="InternetLink"/>
                  <w:rFonts w:ascii="Times New Roman;sans-serif" w:hAnsi="Times New Roman;sans-serif"/>
                  <w:b w:val="false"/>
                  <w:strike w:val="false"/>
                  <w:dstrike w:val="false"/>
                  <w:color w:val="000000"/>
                  <w:sz w:val="20"/>
                  <w:u w:val="none"/>
                  <w:effect w:val="none"/>
                </w:rPr>
                <w:t>119</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77">
              <w:r>
                <w:rPr>
                  <w:rStyle w:val="InternetLink"/>
                  <w:rFonts w:ascii="Times New Roman;sans-serif" w:hAnsi="Times New Roman;sans-serif"/>
                  <w:b w:val="false"/>
                  <w:color w:val="0000FF"/>
                  <w:sz w:val="20"/>
                  <w:u w:val="single"/>
                </w:rPr>
                <w:t>Item 12.</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77">
              <w:r>
                <w:rPr>
                  <w:rStyle w:val="InternetLink"/>
                  <w:rFonts w:ascii="Times New Roman;sans-serif" w:hAnsi="Times New Roman;sans-serif"/>
                  <w:b w:val="false"/>
                  <w:color w:val="0000FF"/>
                  <w:sz w:val="20"/>
                  <w:u w:val="single"/>
                </w:rPr>
                <w:t>Security Ownership of Certain Beneficial Owners and Management and Related Shareholder Matters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77">
              <w:r>
                <w:rPr>
                  <w:rStyle w:val="InternetLink"/>
                  <w:rFonts w:ascii="Times New Roman;sans-serif" w:hAnsi="Times New Roman;sans-serif"/>
                  <w:b w:val="false"/>
                  <w:strike w:val="false"/>
                  <w:dstrike w:val="false"/>
                  <w:color w:val="000000"/>
                  <w:sz w:val="20"/>
                  <w:u w:val="none"/>
                  <w:effect w:val="none"/>
                </w:rPr>
                <w:t>119</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0">
              <w:r>
                <w:rPr>
                  <w:rStyle w:val="InternetLink"/>
                  <w:rFonts w:ascii="Times New Roman;sans-serif" w:hAnsi="Times New Roman;sans-serif"/>
                  <w:b w:val="false"/>
                  <w:color w:val="0000FF"/>
                  <w:sz w:val="20"/>
                  <w:u w:val="single"/>
                </w:rPr>
                <w:t>Item 13.</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80">
              <w:r>
                <w:rPr>
                  <w:rStyle w:val="InternetLink"/>
                  <w:rFonts w:ascii="Times New Roman;sans-serif" w:hAnsi="Times New Roman;sans-serif"/>
                  <w:b w:val="false"/>
                  <w:strike w:val="false"/>
                  <w:dstrike w:val="false"/>
                  <w:color w:val="000000"/>
                  <w:sz w:val="20"/>
                  <w:u w:val="none"/>
                  <w:effect w:val="none"/>
                </w:rPr>
                <w:t>120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3">
              <w:r>
                <w:rPr>
                  <w:rStyle w:val="InternetLink"/>
                  <w:rFonts w:ascii="Times New Roman;sans-serif" w:hAnsi="Times New Roman;sans-serif"/>
                  <w:b w:val="false"/>
                  <w:color w:val="0000FF"/>
                  <w:sz w:val="20"/>
                  <w:u w:val="single"/>
                </w:rPr>
                <w:t>Item 14.</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3">
              <w:r>
                <w:rPr>
                  <w:rStyle w:val="InternetLink"/>
                  <w:rFonts w:ascii="Times New Roman;sans-serif" w:hAnsi="Times New Roman;sans-serif"/>
                  <w:b w:val="false"/>
                  <w:color w:val="0000FF"/>
                  <w:sz w:val="20"/>
                  <w:u w:val="single"/>
                </w:rPr>
                <w:t>Principal Accountant Fees and Services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83">
              <w:r>
                <w:rPr>
                  <w:rStyle w:val="InternetLink"/>
                  <w:rFonts w:ascii="Times New Roman;sans-serif" w:hAnsi="Times New Roman;sans-serif"/>
                  <w:b w:val="false"/>
                  <w:strike w:val="false"/>
                  <w:dstrike w:val="false"/>
                  <w:color w:val="000000"/>
                  <w:sz w:val="20"/>
                  <w:u w:val="none"/>
                  <w:effect w:val="none"/>
                </w:rPr>
                <w:t>120</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6">
              <w:r>
                <w:rPr>
                  <w:rStyle w:val="InternetLink"/>
                  <w:rFonts w:ascii="Times New Roman;sans-serif" w:hAnsi="Times New Roman;sans-serif"/>
                  <w:b w:val="false"/>
                  <w:color w:val="0000FF"/>
                  <w:sz w:val="20"/>
                  <w:u w:val="single"/>
                </w:rPr>
                <w:t>PART IV</w:t>
              </w:r>
            </w:hyperlink>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86">
              <w:r>
                <w:rPr>
                  <w:rStyle w:val="InternetLink"/>
                  <w:rFonts w:ascii="Times New Roman;sans-serif" w:hAnsi="Times New Roman;sans-serif"/>
                  <w:b w:val="false"/>
                  <w:strike w:val="false"/>
                  <w:dstrike w:val="false"/>
                  <w:color w:val="000000"/>
                  <w:sz w:val="20"/>
                  <w:u w:val="none"/>
                  <w:effect w:val="none"/>
                </w:rPr>
                <w:t>121</w:t>
              </w:r>
            </w:hyperlink>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9">
              <w:r>
                <w:rPr>
                  <w:rStyle w:val="InternetLink"/>
                  <w:rFonts w:ascii="Times New Roman;sans-serif" w:hAnsi="Times New Roman;sans-serif"/>
                  <w:b w:val="false"/>
                  <w:color w:val="0000FF"/>
                  <w:sz w:val="20"/>
                  <w:u w:val="single"/>
                </w:rPr>
                <w:t>Item 15.</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89">
              <w:r>
                <w:rPr>
                  <w:rStyle w:val="InternetLink"/>
                  <w:rFonts w:ascii="Times New Roman;sans-serif" w:hAnsi="Times New Roman;sans-serif"/>
                  <w:b w:val="false"/>
                  <w:color w:val="0000FF"/>
                  <w:sz w:val="20"/>
                  <w:u w:val="single"/>
                </w:rPr>
                <w:t>Exhibits and Financial Statement Schedules</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89">
              <w:r>
                <w:rPr>
                  <w:rStyle w:val="InternetLink"/>
                  <w:rFonts w:ascii="Times New Roman;sans-serif" w:hAnsi="Times New Roman;sans-serif"/>
                  <w:b w:val="false"/>
                  <w:strike w:val="false"/>
                  <w:dstrike w:val="false"/>
                  <w:color w:val="000000"/>
                  <w:sz w:val="20"/>
                  <w:u w:val="none"/>
                  <w:effect w:val="none"/>
                </w:rPr>
                <w:t>121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92">
              <w:r>
                <w:rPr>
                  <w:rStyle w:val="InternetLink"/>
                  <w:rFonts w:ascii="Times New Roman;sans-serif" w:hAnsi="Times New Roman;sans-serif"/>
                  <w:b w:val="false"/>
                  <w:color w:val="0000FF"/>
                  <w:sz w:val="20"/>
                  <w:u w:val="single"/>
                </w:rPr>
                <w:t>Item 16.</w:t>
              </w:r>
            </w:hyperlink>
          </w:p>
        </w:tc>
        <w:tc>
          <w:tcPr>
            <w:tcW w:w="75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92">
              <w:r>
                <w:rPr>
                  <w:rStyle w:val="InternetLink"/>
                  <w:rFonts w:ascii="Times New Roman;sans-serif" w:hAnsi="Times New Roman;sans-serif"/>
                  <w:b w:val="false"/>
                  <w:color w:val="0000FF"/>
                  <w:sz w:val="20"/>
                  <w:u w:val="single"/>
                </w:rPr>
                <w:t>Form 10-K Summary</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92">
              <w:r>
                <w:rPr>
                  <w:rStyle w:val="InternetLink"/>
                  <w:rFonts w:ascii="Times New Roman;sans-serif" w:hAnsi="Times New Roman;sans-serif"/>
                  <w:b w:val="false"/>
                  <w:strike w:val="false"/>
                  <w:dstrike w:val="false"/>
                  <w:color w:val="000000"/>
                  <w:sz w:val="20"/>
                  <w:u w:val="none"/>
                  <w:effect w:val="none"/>
                </w:rPr>
                <w:t>122</w:t>
              </w:r>
            </w:hyperlink>
          </w:p>
        </w:tc>
      </w:tr>
      <w:tr>
        <w:trPr/>
        <w:tc>
          <w:tcPr>
            <w:tcW w:w="96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966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295">
              <w:r>
                <w:rPr>
                  <w:rStyle w:val="InternetLink"/>
                  <w:rFonts w:ascii="Times New Roman;sans-serif" w:hAnsi="Times New Roman;sans-serif"/>
                  <w:b w:val="false"/>
                  <w:color w:val="0000FF"/>
                  <w:sz w:val="20"/>
                  <w:u w:val="single"/>
                </w:rPr>
                <w:t xml:space="preserve">SIGNATURES </w:t>
              </w:r>
            </w:hyperlink>
          </w:p>
        </w:tc>
        <w:tc>
          <w:tcPr>
            <w:tcW w:w="54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295">
              <w:r>
                <w:rPr>
                  <w:rStyle w:val="InternetLink"/>
                  <w:rFonts w:ascii="Times New Roman;sans-serif" w:hAnsi="Times New Roman;sans-serif"/>
                  <w:b w:val="false"/>
                  <w:strike w:val="false"/>
                  <w:dstrike w:val="false"/>
                  <w:color w:val="000000"/>
                  <w:sz w:val="20"/>
                  <w:u w:val="none"/>
                  <w:effect w:val="none"/>
                </w:rPr>
                <w:t>123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Glossary of Acronyms, Abbreviations, and Terms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identified below are used in various sections of this Annual Report on Form 10-K, including the section entitled “Management’s Discussion and Analysis of Financial Condition and Results of Operations” in Item 2 and the unaudited Consolidated Financial Statements and Notes to the Financial Statements in Item 1 of this Annual Report on Form 10-K.</w:t>
      </w:r>
    </w:p>
    <w:tbl>
      <w:tblPr>
        <w:tblW w:w="10205" w:type="dxa"/>
        <w:jc w:val="left"/>
        <w:tblInd w:w="0" w:type="dxa"/>
        <w:tblLayout w:type="fixed"/>
        <w:tblCellMar>
          <w:top w:w="28" w:type="dxa"/>
          <w:left w:w="28" w:type="dxa"/>
          <w:bottom w:w="28" w:type="dxa"/>
          <w:right w:w="28" w:type="dxa"/>
        </w:tblCellMar>
      </w:tblPr>
      <w:tblGrid>
        <w:gridCol w:w="413"/>
        <w:gridCol w:w="363"/>
        <w:gridCol w:w="370"/>
        <w:gridCol w:w="1135"/>
        <w:gridCol w:w="1116"/>
        <w:gridCol w:w="1119"/>
        <w:gridCol w:w="109"/>
        <w:gridCol w:w="109"/>
        <w:gridCol w:w="109"/>
        <w:gridCol w:w="484"/>
        <w:gridCol w:w="484"/>
        <w:gridCol w:w="502"/>
        <w:gridCol w:w="1234"/>
        <w:gridCol w:w="1096"/>
        <w:gridCol w:w="1562"/>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Adjustments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FNMA</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National Mortgage Association</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U.S.</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GNMA</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National Mortgage Association</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Sponsored Entity</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Bancorp</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Bancorp and its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ICS</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Insured Cash Sweep®</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Public Offering</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Basel III</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capital framework and rules for U.S. banking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LM</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modification made to borrower experiencing financial difficulty</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CDARS</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 Account Registry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Expected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CFPB</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Financial Protection Bureau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NII</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Reinvestment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CME</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Chicago Mercantile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OFAC</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Foreign Assets Control</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DFPI</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Financial Protection and Innovation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ROAA</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Assets, annualized</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Value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ROAE</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Equity, annualized</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ROUA</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Small Business Administration</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Governors of the Federal Reserve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FFIEC</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Financial Institutions Examination Council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of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Department</w:t>
            </w:r>
          </w:p>
        </w:tc>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the Treasury</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FHLMC</w:t>
            </w:r>
          </w:p>
        </w:tc>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Mortgage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related to the concentration of our business in California, and specifically within Northern California, including risks associated with any downturn in the real estate sector;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market interest rates that affect the pricing of our loans and deposits, our net interest income, and our borrowers’ ability to repay loans;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the U.S. economy, including an economic slowdown, inflation, deflation, housing prices, employment levels, rate of growth, and general business conditions;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uncertain market conditions and economic trends nationally, regionally, and particularly in Northern California and California;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soundness of other financial institutions and the impacts related to or resulting from bank failures and other economic and industry volatility, including increased regulatory requirements and costs and potential impacts to macroeconomic conditions;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recent and future legislative and regulatory changes, including changes in banking, securities, and tax laws and regulations and their application by our regulators, and economic stimulus programs;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effects of increased competition from a wide variety of local, regional, national, and other providers of financial and investment services;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risks associated with our loan portfolios, and specifically with our commercial real estate loans;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maintain adequate liquidity and to maintain capital necessary to fund our growth strategy and operations and to satisfy minimum regulatory capital levels;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risks related to our strategic focus on lending to small to medium-sized businesses;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sufficiency of the assumptions and estimates we make in establishing reserves for potential credit losses and the value of loan collateral and securities;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level of nonperforming assets and the costs associated with resolving problem loans, if any, and complying with government-imposed foreclosure moratoriums;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comply with various governmental and regulatory requirements applicable to financial institutions, including supervisory actions by federal and state banking agencies;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governmental monetary and fiscal policies, including the policies of the Federal Reserve;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risks associated with unauthorized access, cybersecurity breaches, cyber-crime, and other threats and disruptions to data security;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implement, maintain, and improve effective risk management framework, disclosure controls and procedures, and internal controls over financial reporting;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adopt and successfully integrate new initiatives or technologies into our business in a strategic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attract and retain executive officers and key employees and their customer and community relationships;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any future U.S. federal government shutdown and uncertainty regarding the U.S. federal government’s debt limit and credit rating;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occurrence or impact of climate change or natural or man-made disasters or calamities, such as wildfires, droughts, mudslides, floods, and earthquakes, and particularly in Northern California and California;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and impact of local, regional, and global business, economic, and political conditions and geopolitical events, such as pandemics, civil unrest, wars, and acts of terrorism;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other factors that are discussed in the sections entitled “Management’s Discussion and Analysis of Financial Condition and Results of Operations” and “Risk Factors.”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considered exhaustive and should be read together with other cautionary statements that are included in this Annual Report on Form 10-K, including those discussed in the section entitled “Risk Factors.” Additional factors that could cause results or performance to materially differ from those expressed in our forward-looking statements are detailed in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Annual Report on Form 10-K.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the greater Sacramento metropolitan area of California, Five Star Bancorp is a bank holding company that operates through its wholly owned subsidiary, Five Star Bank, a California state-chartered non-member bank. The Bank began operations on December 20, 1999. Bancorp was incorporated on September 16, 2002 and became the sole shareholder of the Bank on June 2, 2003. Our executive offices are located at 3100 Zinfandel Drive, Suite 100, Rancho Cordova, California 95670 and our telephone number is (916) 626-5000. Our website address is https://www.fivestarbank.com. Information on our website should not be considered a part of this Annual Report on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broad range of banking products and services to small and medium-sized businesses, professionals, and individuals primarily in Northern California through eight branch offices. The Bank opened a full service branch in Downtown San Francisco in September 2024. The Bank’s deposits are insured in whole or in part by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At December 31, 2024, we had total assets of $4.1 billion, total loans held for investment of $3.5 billion, and total deposits of $3.6 billion.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Company completed its IPO, in connection with which the Company terminated its status as a Subchapter S corporation as of May 5, 2021 and became a taxable C Corporation.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references in this report to “we,” “our,” “us,” “the Company,” or “Bancorp” refer to Five Star Bancorp and our consolidated subsidiary. All references to “the Bank” or “Five Star” refer to Five Star Bank, our wholly owned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the Bank, provides financial services to customers who are predominately small and middle-market businesses, professionals, and individuals primarily in the Northern California region. Our primary loan products are commercial real estate loans, land development loans, construction loans, and operating lines of credit and our primary deposit products are checking accounts, savings accounts, money market accounts, and term certificate accounts.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geographic market is the Roseville/Sacramento/Rancho Cordova/Elk Grove area (the “Greater Sacramento Area”). The Greater Sacramento Area has a profitable and productive economy driven by the governmental, education, technology, health care, agricultural, and manufacturing sectors. Since 2016, our market share of the total deposits in the Greater Sacramento Area has increased significantly, according to the FDIC Deposit Market Share Reports. We believe that our market growth confirms the quality of the purpose-driven and integrity-centered banking that we strive to deliver to our customers.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continued our expansion into the San Francisco Bay Area, including the opening of a full service branch in Downtown San Francisco in September 2024. We hired eight business development officers, four relationship managers, three loan officers, one relationship specialist, one treasury solutions specialist, and one branch manager during 2024 as part of our expansion.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Products and Services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Lending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focus primarily on commercial lending, with an emphasis on commercial real estate. We offer a variety of loans to small and medium-sized businesses, professionals, and individuals, including commercial real estate, commercial, commercial land and construction, and farmland loans. Although a substantial portion of our loan portfolio consists of commercial real estate loans within our market, our portfolio is diverse and includes a significant amount of SBA loans to customers nationwide. To a lesser extent, we also offer residential real estate and construction loans and consumer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0"/>
          <w:u w:val="single"/>
        </w:rPr>
        <w:t>Commercial real estate loans</w:t>
      </w:r>
      <w:r>
        <w:rPr>
          <w:rFonts w:ascii="Times New Roman;sans-serif" w:hAnsi="Times New Roman;sans-serif"/>
          <w:b w:val="false"/>
          <w:color w:val="000000"/>
          <w:sz w:val="20"/>
        </w:rPr>
        <w:t>: As of December 31, 2024, we had $2.9 billion in total commercial real estate loans, representing 80.75% of total loans before deferred fees. These loans are viewed primarily as cash flow loans and secondarily as loans secured by real estate. These loans are generally collateralized by first liens on real estate and amortized over a period of years. We monitor and evaluate commercial real estate loans based on collateral, geography, and risk grade criteria. Our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our commercial real estate portfolio are diverse in terms of type and industry. This diversity helps reduce our exposure to adverse economic events that affect any single market or industry.</w:t>
      </w:r>
    </w:p>
    <w:p>
      <w:pPr>
        <w:pStyle w:val="TextBody"/>
        <w:bidi w:val="0"/>
        <w:spacing w:lineRule="auto" w:line="288" w:before="200" w:after="283"/>
        <w:jc w:val="both"/>
        <w:rPr/>
      </w:pPr>
      <w:r>
        <w:rPr>
          <w:rFonts w:ascii="Times New Roman;sans-serif" w:hAnsi="Times New Roman;sans-serif"/>
          <w:b w:val="false"/>
          <w:color w:val="000000"/>
          <w:sz w:val="20"/>
          <w:u w:val="single"/>
        </w:rPr>
        <w:t>Commercial land and construction loans</w:t>
      </w:r>
      <w:r>
        <w:rPr>
          <w:rFonts w:ascii="Times New Roman;sans-serif" w:hAnsi="Times New Roman;sans-serif"/>
          <w:b w:val="false"/>
          <w:color w:val="000000"/>
          <w:sz w:val="20"/>
        </w:rPr>
        <w:t xml:space="preserve">: As of December 31, 2024, we had $115.2 million in commercial land and construction loans, representing 3.26% of total loans before deferred fees. We make loans to established builders to construct residential properties, loans to developers of commercial real estate investment properties and residential developments, and, to a lesser extent, loans to individual clients for construction of single-family homes in our market. On rare occasions, we also make loans for the acquisition of undeveloped land subject to heightened underwriting requirements. Construction loans are typically disbursed as construction progresses and carry either fixed or variable interest rates generally based on the borrowers’ ability to repay the loans from the cash flow of their businesses. The terms of our commercial land and construction loans vary depending on factors such as the type and size of the development and the financial strength of the borrower/guarantor. Loans are typically structured with an interest-only construction period and mature at the completion of construction. </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 and construction loans</w:t>
      </w:r>
      <w:r>
        <w:rPr>
          <w:rFonts w:ascii="Times New Roman;sans-serif" w:hAnsi="Times New Roman;sans-serif"/>
          <w:b w:val="false"/>
          <w:color w:val="000000"/>
          <w:sz w:val="20"/>
        </w:rPr>
        <w:t>: As of December 31, 2024, we had $37.3 million in residential real estate and construction loans, representing 1.06% of total loans before deferred fees. Residential real estate loans are underwritten based upon income, credit history, and collateral. To monitor and manage residential loan risk, policies and procedures are developed and modified, as needed. We believe that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pStyle w:val="TextBody"/>
        <w:bidi w:val="0"/>
        <w:spacing w:lineRule="auto" w:line="288" w:before="200" w:after="283"/>
        <w:jc w:val="both"/>
        <w:rPr/>
      </w:pPr>
      <w:r>
        <w:rPr>
          <w:rFonts w:ascii="Times New Roman;sans-serif" w:hAnsi="Times New Roman;sans-serif"/>
          <w:b w:val="false"/>
          <w:color w:val="000000"/>
          <w:sz w:val="20"/>
          <w:u w:val="single"/>
        </w:rPr>
        <w:t>Farmland loans</w:t>
      </w:r>
      <w:r>
        <w:rPr>
          <w:rFonts w:ascii="Times New Roman;sans-serif" w:hAnsi="Times New Roman;sans-serif"/>
          <w:b w:val="false"/>
          <w:color w:val="000000"/>
          <w:sz w:val="20"/>
        </w:rPr>
        <w:t>: As of December 31, 2024, we had $47.2 million in farmland loans, representing 1.34% of total loans before deferred fees. We are a strong agricultural lender, with both lines of credit and term loans.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pStyle w:val="TextBody"/>
        <w:bidi w:val="0"/>
        <w:spacing w:lineRule="auto" w:line="288" w:before="200" w:after="283"/>
        <w:jc w:val="both"/>
        <w:rPr/>
      </w:pPr>
      <w:r>
        <w:rPr>
          <w:rFonts w:ascii="Times New Roman;sans-serif" w:hAnsi="Times New Roman;sans-serif"/>
          <w:b w:val="false"/>
          <w:color w:val="000000"/>
          <w:sz w:val="20"/>
          <w:u w:val="single"/>
        </w:rPr>
        <w:t>Commercial loans</w:t>
      </w:r>
      <w:r>
        <w:rPr>
          <w:rFonts w:ascii="Times New Roman;sans-serif" w:hAnsi="Times New Roman;sans-serif"/>
          <w:b w:val="false"/>
          <w:color w:val="000000"/>
          <w:sz w:val="20"/>
        </w:rPr>
        <w:t>: As of December 31, 2024, we had $198.1 million in commercial loans, representing 5.60% of total loans before deferred fees. Commercial loans are underwritten after evaluating the borrower’s ability to operate profitably and prudently expand its business. Underwriting standards are designed to promote relationship banking rather than transactional banking.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pStyle w:val="TextBody"/>
        <w:bidi w:val="0"/>
        <w:spacing w:lineRule="auto" w:line="288" w:before="200" w:after="283"/>
        <w:jc w:val="both"/>
        <w:rPr/>
      </w:pPr>
      <w:r>
        <w:rPr>
          <w:rFonts w:ascii="Times New Roman;sans-serif" w:hAnsi="Times New Roman;sans-serif"/>
          <w:b w:val="false"/>
          <w:i/>
          <w:color w:val="000000"/>
          <w:sz w:val="20"/>
          <w:u w:val="single"/>
        </w:rPr>
        <w:t>SBA loans</w:t>
      </w:r>
      <w:r>
        <w:rPr>
          <w:rFonts w:ascii="Times New Roman;sans-serif" w:hAnsi="Times New Roman;sans-serif"/>
          <w:b w:val="false"/>
          <w:color w:val="000000"/>
          <w:sz w:val="20"/>
        </w:rPr>
        <w:t xml:space="preserve">: As of December 31, 2024, our total commercial SBA portfolio held for investment was $42.8 million, representing 1.21% of total loans before deferred fees. In 2024, we sold 56 SBA 7(a) loans with government-guaranteed portions totaling approximately $18.3 million. We participate in the SBA 7(a) program in order to meet the needs of our small business community as well as customers nationwide. As an approved participant in the SBA Preferred Lender Program, we enable our clients to obtain SBA loans without being subject to the potentially lengthy SBA approval process necessary for lenders that are not SBA Preferred Lenders. The SBA presently guarantees 75% to 90% of the principal amount of qualifying loans originated under the 7(a) loan program. The guarantee is conditional and covers a portion of the risk of payment default by the borrower, but not the risk of improper closing and servicing by the lender. As such, prudent underwriting and closing processes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essential to effective utilization of the 7(a) program. We typically sell in the secondary market the SBA-guaranteed portion of the SBA loans we originate.</w:t>
      </w:r>
    </w:p>
    <w:p>
      <w:pPr>
        <w:pStyle w:val="TextBody"/>
        <w:bidi w:val="0"/>
        <w:spacing w:lineRule="auto" w:line="288" w:before="200" w:after="283"/>
        <w:jc w:val="both"/>
        <w:rPr/>
      </w:pPr>
      <w:r>
        <w:rPr>
          <w:rFonts w:ascii="Times New Roman;sans-serif" w:hAnsi="Times New Roman;sans-serif"/>
          <w:b w:val="false"/>
          <w:color w:val="000000"/>
          <w:sz w:val="20"/>
          <w:u w:val="single"/>
        </w:rPr>
        <w:t>Consumer and other loans</w:t>
      </w:r>
      <w:r>
        <w:rPr>
          <w:rFonts w:ascii="Times New Roman;sans-serif" w:hAnsi="Times New Roman;sans-serif"/>
          <w:b w:val="false"/>
          <w:color w:val="000000"/>
          <w:sz w:val="20"/>
        </w:rPr>
        <w:t>: As of December 31, 2024, we had $279.6 million in consumer and other loans, representing 7.90% of total loans before deferred fees. We make a variety of loans in relatively small amounts to individuals for personal purposes, primarily for home repairs and improvements. Consumer loans are underwritten based on the individual borrower’s income, current debt level, past credit history, and the value of any available collateral. The terms of consumer loans vary considerably based upon the loan type, nature of collateral, and size of the loan. The performance of consumer loans is affected by the local and regional economy as well as the rates of personal bankruptcies, job loss, divorce, and other individual-specific characteristics. We do not expect these consumer and other loans to make up a significant portion of our lending activity.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Lending Philosophy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keeping with our mission of purpose-driven and integrity-centered banking, we seek credit arrangements that serve our local community and provide attractive risk-adjusted returns to us. We pursue our objectives and are mindful of liquidity, flexibility, and risk considerations by exercising controls on non-interest expenses and close management of our assets and liabilities. We periodically set guidelines aimed to maintain stability of our loan-to-deposit ratio, minimize past-due and non-accrual loans, and achieve an optimal loan mix and concentration. We seek well-margined and collateralized loan opportunities to borrowers with extensive professional asset operating experience.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Lending Policy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common documentation, policies, and standards for lending based on the type of loan. A thorough credit analysis precedes commercial and real estate loan decisions, and we follow well-established and proven procedures when approving consumer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 Management Loan Committee and a Director Loan Committee. Our Management Loan Committee is comprised of our Chief Executive Officer, our Chief Credit Officer, certain other members of management, and select senior loan officers and is primarily responsible for day-to-day implementation and oversight of our loan approval procedures. Our board of directors approves, from time to time, a delegated lending authority to members of the Management Loan Committee. The amount of authority delegated to each member of the committee varies based on years of direct lending experience, responsibility, and performance. The authority limits also vary by collateral type.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Concentrations of Credit Risk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a diversified loan portfolio, a substantial portion is secured by commercial and residential real estate located in Northern California. As of December 31, 2024, approximately 57.66% of our real estate loans measured by dollar amount were secured by collateral located in California, a majority of which is in Northern California. Additionally, we have a high concentration of real estate related loans, which represented approximately 86.41% of total loans before deferred fees at December 31, 2024. Although management believes such concentrations have no more than the normal risk of collectability, a substantial decline in the economy in general, or a decline in real estate values in our primary market in particular, could have an adverse impact on the collectability of these loans. Personal and business incomes represent the primary source of repayment for the majority of these loans.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Deposit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Representing 97.30% of our total liabilities as of December 31, 2024, deposits are our primary source of funding for our business operations. As of December 31, 2024, we held total deposits of $3.6 billion, including $922.6 million in non-interest-bearing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a complete array of deposit products for small and medium-sized businesses, professionals, and individuals, including a variety of checking and savings accounts, time deposits, and money market accounts. We also provide a wide range of deposit services, including debit cards, remote deposit capture, online banking, mobile banking, and direct deposit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most of our deposits from individuals, small and medium-sized businesses, and municipalities in our market. We solicit deposits through our relationship-driven team of dedicated and accessible bankers and through community-focused marketing. We emphasize obtaining deposit relationships at loan origination. We provide a high level of customer service to our depositors. We have invested in personnel, business and compliance processes, and technology that enable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acquire, and efficiently and effectively serve, a wide array of business deposit accounts, while continuing to provide the level of customer service for which we are known.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49 largest deposit relationships, each accounting for more than $10.0 million, totaled $1.8 billion, or 50.35% of our total deposits. This includes $674.1 million of our total deposits held by municipalities, of which we conduct a monthly review. Our management maintains our liquidity position and lines of credit with correspondent banks to mitigate the risk of large withdrawals by this group of large depositors.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Investment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carrying value of our investment portfolio, which represented 2.49% of total assets, totaled $100.9 million and had an average effective yield of 2.09% and an estimated modified duration of approximately 6.14 years. The primary objectives of the investment portfolio are to provide a source of liquidity and provide collateral that can be readily sold or pledged for public deposits or other business purposes. At December 31, 2024, 50.10% and 39.50% of our investment portfolio consisted of mortgage-backed securities and obligations of states and political subdivisions, respectively. The remainder of our securities portfolio is invested in U.S. government agencies, collateralized mortgage obligations, and corporate bonds. We regularly evaluate the composition of our investment portfolio as the interest rate yield curve changes and may sell or pledge investment securities from time to time to adjust our exposure to interest rates or to provide liquidity to meet loan demand. Due to loan growth, we are holding the majority of our on-balance sheet liquidity in the Federal Reserve Bank to provide readily available funds for loan growth and deposit activities in the normal course of business for our existing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banking business is highly competitive, and we face strong competition from many other financial institutions and financial services providers.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 eight branches in our key market of Northern California. We opened a full service branch in Downtown San Francisco in September 2024. Many other commercial and community banks, savings institutions, credit unions, and other financial institutions maintain a physical presence in our primary market area, and some maintain only a virtual presence.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To offset these competitive disadvantages, we concentrate marketing efforts in the local markets we service with local advertisements and personal contacts. We depend on our reputation of having greater personal service than our competitors, as well as consistency, flexibility, our ability to make credit and other business decisions quickly, and our deep knowledge of competitor strengths and weaknesses.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FDIC Summary of Deposits as of June 30, 2024, Five Star ranks sixth in the Sacramento-Roseville-Folsom metropolitan statistical area (“MSA”) by deposit market share with deposits of $2.8 billion and four branches. As of June 30, 2024, total market deposits in the Sacramento-Roseville-Folsom MSA were $92.2 billion, of which $75.4 billion, or approximately 81.77%, is held by five money center banks across 181 branches. We are the 43rd largest insured depository institution in California by deposits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Information Technology Systems</w:t>
      </w:r>
    </w:p>
    <w:p>
      <w:pPr>
        <w:pStyle w:val="TextBody"/>
        <w:bidi w:val="0"/>
        <w:spacing w:lineRule="auto" w:line="288" w:before="200" w:after="283"/>
        <w:jc w:val="both"/>
        <w:rPr/>
      </w:pPr>
      <w:r>
        <w:rPr>
          <w:rFonts w:ascii="Times New Roman;sans-serif" w:hAnsi="Times New Roman;sans-serif"/>
          <w:b w:val="false"/>
          <w:color w:val="000000"/>
          <w:sz w:val="20"/>
        </w:rPr>
        <w:t>We have made, and continue to make, significant investments in our information technology systems and staff for our banking and lending operations and treasury management activities.</w:t>
      </w:r>
      <w:r>
        <w:rPr>
          <w:color w:val="000000"/>
        </w:rPr>
        <w:t xml:space="preserve"> </w:t>
      </w:r>
      <w:r>
        <w:rPr>
          <w:rFonts w:ascii="Times New Roman;sans-serif" w:hAnsi="Times New Roman;sans-serif"/>
          <w:b w:val="false"/>
          <w:color w:val="000000"/>
          <w:sz w:val="20"/>
        </w:rPr>
        <w:t>We believe this investment will support our continued growth and enable us to enhance our capabilities to offer new products, improve overall customer experience, improve profitability through efficiencies, and provide scalability for future growth. We utilize nationally recognized software vendors and their cloud/hosted models, which allow us to outsource the processing of our data. Our internal network and e-mail systems are administered by a managed service provider specializing in financial institutions, and</w:t>
      </w:r>
      <w:r>
        <w:rPr>
          <w:color w:val="000000"/>
        </w:rPr>
        <w:t xml:space="preserve"> </w:t>
      </w:r>
      <w:r>
        <w:rPr>
          <w:rFonts w:ascii="Times New Roman;sans-serif" w:hAnsi="Times New Roman;sans-serif"/>
          <w:b w:val="false"/>
          <w:color w:val="000000"/>
          <w:sz w:val="20"/>
        </w:rPr>
        <w:t xml:space="preserve">we maintain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infrastructure in a data center facility near Reno, Nevada. This site provides for power and connectivity redundancy, and we maintain a disaster recovery program, including a cloud-based recovery environment.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other systems, including our electronic funds transfer, transaction processing, and online banking services are hosted by third-party service providers. The scalability of this infrastructure will support our growth strategy. In addition, the tested capability of these vendors to automatically switch over to standby systems should allow us to recover our systems and provide business continuity quickly in case of a disaster.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under the Jumpstart Our Business Startups Act of 2012 (the “JOBS Act”). An emerging growth company may take advantage of reduced reporting requirements and is relieved of certain other significant requirements that are otherwise generally applicable to public companies. Among other factors, as an emerging growth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discuss our results of operations for only two years in the section entitled “Management’s Discussion and Analysis of Financial Condition and Results of Operations,” provided that we reference disclosure where the third year of our results of operations may be found;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are exempt from the requirement to provide an opinion from our auditors on the design and operating effectiveness of our internal control over financial reporting pursuant to the Sarbanes-Oxley Act of 2002, as amended (the “Sarbanes-Oxley Act”);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may choose not to comply with any new requirements adopted by the PCAOB requiring mandatory audit firm rotation or a supplement to the auditor’s report providing additional information about the audit and our audited financial statements;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are permitted to provide less extensive disclosure regarding our executive compensation arrangements pursuant to the rules applicable to smaller reporting companies and with which emerging growth companies may comply, which means we are not required to include a compensation discussion and analysis and other disclosures regarding our executive compensation in this Annual Report on Form 10-K;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are not required to hold nonbinding advisory votes on executive compensation or golden parachute arrangements.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take advantage of these provisions for up to five years unless we earlier cease to qualify as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JOBS Act exempts emerging growth companies from compliance with new or revised financial accounting standards until private companies (that is, those that have not had a registration statement declared effective under the Securities Act of 1933, as amended, or do not have a class of securities registered under the Securities Exchange Act of 1934, as amended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effective risk management and control processes are critical to our safety and soundness, our ability to predict and manage the challenges that we face, and, ultimately, our long-term corporate success. Risk management refers to the activities by which we identify, measure, monitor, evaluate, and manage the risks we face in the course of our banking activities. These include liquidity, interest rate, credit, operational, compliance, regulatory, strategic, financial, and reputational risk exposures. Our board of directors, both directly and through its committees, is responsible for overseeing our risk management processes, including quarterly enterprise risk management assessments and annual assessments in the following areas: (i) cyber; (ii) Bank Secrecy Act of 1970 (“Bank Secrecy Act”)/anti-money laundering; and (iii) third-party risk, with each of the committees of our board of directors assuming a different and important role in overseeing the management of the risks we face.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our board of directors is responsible for overseeing risks associated with financial matters (particularly financial reporting, accounting practices and policies, disclosure controls and procedures, and internal control over financial reporting). The Compensation Committee of our board of directors has primary responsibility for risks and exposures associated with our compensation policies, plans, and practices regarding executive compensation, board compensation, and our compensation structure generally. Our Compensation Committee, in conjunction with our President and Chief Executive Officer and other members of our management, as appropriate, reviews our incentive compensation arrangements to ensure these programs are consistent with applicable laws and regulations, including safety and soundness requirements, and do not encourage imprudent or excessive risk-taking by our employees. The Governance and Nominating Committee of our board of directors oversees risks associated with the independence of our board of directors and potential conflicts of interest.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senior management is responsible for implementing our risk management processes by assessing and managing the risks we face, including strategic, operational, regulatory, investment, and execution risks, on a day-to-day basis, and reporting to our board of directors regarding our risk management processes. Our senior management is also responsible for creating and recommending to our board of directors for approval appropriate risk appetite metrics reflecting the aggregate levels and types of risk we are willing to accept in connection with the operation of our business and pursuit of our business objectives.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role of our board of directors in our risk oversight is consistent with our leadership structure, with our President and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facilitate talent attraction and retention, we strive to create an inclusive, safe, and healthy workplace with opportunities for our employees to grow and develop in their careers, supported by strong compensation, benefits, and health and welfare programs.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Profile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205 full-time employees and five part-time employees. None of our employees are covered by a collective bargaining agreement. We consider our relationship with our employees to be good and have not experienced interruptions of operations due to labor disagreements.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competitive compensation and benefits program to help meet the needs of our employees. In addition to salaries, this program includes annual bonus opportunities, a 401(k) plan with an employer matching contribution, healthcare and insurance benefits, flexible spending accounts, paid time off and family leave, and an employee assistance program.</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Learning and Development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in the growth and development of our employees by providing a multi-dimensional approach to learning that empowers, intellectually grows, and professionally develops our colleagues under the leadership of a Director of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Engagement. We facilitate the educational and professional development of our employees through support to attend conferences and obtain degrees, licenses, and certifications while employed by us.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Commitment to Environmental, Social, and Governance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executing an Environmental, Social, and Governance strategy designed to promote positive change that focuses on the environmental impacts of our business and the geographical service areas in which we serve, social factors in the communities we serve, and the governance of our board of directors.</w:t>
      </w:r>
    </w:p>
    <w:p>
      <w:pPr>
        <w:pStyle w:val="TextBody"/>
        <w:bidi w:val="0"/>
        <w:spacing w:lineRule="auto" w:line="288" w:before="200" w:after="283"/>
        <w:jc w:val="both"/>
        <w:rPr/>
      </w:pPr>
      <w:r>
        <w:rPr>
          <w:rFonts w:ascii="Times New Roman;sans-serif" w:hAnsi="Times New Roman;sans-serif"/>
          <w:b w:val="false"/>
          <w:color w:val="000000"/>
          <w:sz w:val="20"/>
          <w:u w:val="single"/>
        </w:rPr>
        <w:t>Environmental</w:t>
      </w:r>
      <w:r>
        <w:rPr>
          <w:rFonts w:ascii="Times New Roman;sans-serif" w:hAnsi="Times New Roman;sans-serif"/>
          <w:b w:val="false"/>
          <w:color w:val="000000"/>
          <w:sz w:val="20"/>
        </w:rPr>
        <w:t>: Climate change impacts our customers, communities, employees, and shareholders. We are committed to developing policies and procedures that can contribute to reducing the effects of climate change, including funding customer business ventures that create a positive environmental impact through agriculture or technology. We continue to sponsor and support environmental impact initiatives by partnering with our customers that aid in the efforts of a clean and sustainable community. Additionally, we equip customers with technology tools designed to reduce their carbon footprint by reducing in-branch customer visits.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taken steps designed to help reduce our own carbon footprint by utilizing e-signatures to conduct business to reduce paper consumption, occupying sustainable facilities when possible, and encouraging our employees to work remotely, where possible. We recognize that reducing the effects of climate change and helping to drive the transformation to a lower carbon environment are ongoing efforts, and plan to continually seek out opportunities that can positively impact the effect that climate change has on the environment.</w:t>
      </w:r>
    </w:p>
    <w:p>
      <w:pPr>
        <w:pStyle w:val="TextBody"/>
        <w:bidi w:val="0"/>
        <w:spacing w:lineRule="auto" w:line="288" w:before="200" w:after="283"/>
        <w:jc w:val="both"/>
        <w:rPr/>
      </w:pPr>
      <w:r>
        <w:rPr>
          <w:rFonts w:ascii="Times New Roman;sans-serif" w:hAnsi="Times New Roman;sans-serif"/>
          <w:b w:val="false"/>
          <w:color w:val="000000"/>
          <w:sz w:val="20"/>
          <w:u w:val="single"/>
        </w:rPr>
        <w:t>Social</w:t>
      </w:r>
      <w:r>
        <w:rPr>
          <w:rFonts w:ascii="Times New Roman;sans-serif" w:hAnsi="Times New Roman;sans-serif"/>
          <w:b w:val="false"/>
          <w:color w:val="000000"/>
          <w:sz w:val="20"/>
        </w:rPr>
        <w:t>: We work to create positive social impacts in the communities in which our business operates, including by assisting unhoused populations, supporting affordable housing projects, and prioritizing non-profit donations. We believe it is our shared responsibility to build a strong foundation of community by fostering a culture of belonging and inclusion. We also remain focused on the investment in, economic development of, and sustainability of the geographical service areas in which we serve.</w:t>
      </w:r>
    </w:p>
    <w:p>
      <w:pPr>
        <w:pStyle w:val="TextBody"/>
        <w:bidi w:val="0"/>
        <w:spacing w:lineRule="auto" w:line="288" w:before="200" w:after="283"/>
        <w:jc w:val="both"/>
        <w:rPr/>
      </w:pPr>
      <w:r>
        <w:rPr>
          <w:rFonts w:ascii="Times New Roman;sans-serif" w:hAnsi="Times New Roman;sans-serif"/>
          <w:b w:val="false"/>
          <w:color w:val="000000"/>
          <w:sz w:val="20"/>
          <w:u w:val="single"/>
        </w:rPr>
        <w:t>Governance</w:t>
      </w:r>
      <w:r>
        <w:rPr>
          <w:rFonts w:ascii="Times New Roman;sans-serif" w:hAnsi="Times New Roman;sans-serif"/>
          <w:b w:val="false"/>
          <w:color w:val="000000"/>
          <w:sz w:val="20"/>
        </w:rPr>
        <w:t>: The Governance and Nominating Committee is committed to diversity on our board of directors and compliance with applicable rules, regulations, and guidance regarding the composition of our leadership. Members of our board of directors represent diverse backgrounds, including diversity of race, ethnicity, gender, and other demographics. We are committed to ethical business practices and accounting transparency, as evidenced through our involvement in the community and results of examinations by regulators.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Dedication to Diversity, Equity, and Inclusion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Diversity, Equity, and Inclusion (“DE&amp;I”) is essential in our workplace. We have a fully engaged Executive Vice President, Chief Operating Officer who leads our DE&amp;I efforts. Our Human Resources department is focused on our commitment to DE&amp;I through hiring practices and employee training. We are committed to ensuring that all employees feel a sense of belonging in the workplace and that processes and programs are impartial, fair, and provide equal opportunity for every individual. We also have a history of serving customers in the non-profit community who are dedicated to the success of under-resourced and vulnerable populations, the empowerment of women, and the continued vitality of the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annual reports on Form 10-K, quarterly reports on Form 10-Q, proxy statements, current reports on Form 8-K, amendments to those reports filed or furnished pursuant to Section 13(a) or 15(d) of the Exchange Act, and other filings with the SEC are available free of charge at https://investors.fivestarbank.com under the heading “Financials &amp; Filings,” as soon as reasonably practicable after the Company electronically files such material with, or furnishes it to, the SEC. These reports are also available for free on the SEC’s website at https://www.sec.gov. The information contained on the Company’s website as referenced in this Annual Report on Form 10-K should not be considered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Supervision and Regulation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and state banking laws impose a comprehensive system of supervision, examination, regulation, and enforcement on the operations of insured banks and their holding companies. Supervision and regulation of banks, their holding companies, and affiliates is intended primarily for the protection of depositors and customers, the Deposit Insurance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“DIF”) of the FDIC, and the U.S. banking and financial system, rather than holders of our capital stock. As a result, our growth, earnings performance, and operations may be affected by the requirements of federal and state statutes and by the regulations and policies of various bank regulatory agencies, including the DFPI, the FDIC, the Federal Reserve, and the CFPB. Furthermore, tax laws administered by the IRS and state taxing authorities, accounting rules developed by the FASB, securities laws administered by the SEC and state securities authorities, anti-money laundering laws enforced by the Treasury Department, and SBA regulations with respect to small business loans, have an impact on our business. These statutes, regulations, and policies are continually under the review of the United States Congress and state legislatures, as well as federal and state regulatory agencies, and the nature and extent of future legislative, regulatory, or other developments affecting financial institutions are impossible to predict with any certainty. Any change in the statutes, regulations or regulatory policies applicable to us, including changes in their interpretation, expectations or implementation, could have a material effect on our business and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this end, due to the recent issuance of certain executive orders by the President of the United States, it may not be clear for a period of time as to what the priorities of the three prudential banking agencies, the OCC, Federal Reserve, and FDIC, may be with respect to their respective supervisory and enforcement matters for banks and bank holding companies during the current administration. For example, one executive order requires independent agencies, including the Federal Reserve and FDIC, to submit to the White House Office of Management and Budget (“OMB”) major orders proposed by these agencies for OMB’s review. OMB would also write “performance standards and management objectives” to the heads of independent agencies, and review and adjust their budgets, including the Federal Reserve (excluding with respect to its monetary policy function) and the FDIC. As a result, it may take longer for the prudential banking agencies to establish their supervisory and enforcement priorities and develop and adopt new rules and regulations, or make changes to existing rules and regulations. Another executive order requires agency heads to determine whether ongoing enforcement of any regulations identified in their regulatory review is compliant with law and policy of the current administration. This executive order also provides that to preserve resources and ensure lawful enforcement, agency heads, in consultation with the Director of the OMB, shall, on a case-by-case basis and as appropriate and consistent with applicable law, then direct the termination of all such enforcement proceedings that do not comply with the Constitution, laws, or the policy of the current administration. It is unclear what impact these orders will have on the supervisory and enforcement activities of the OCC, Federal Reserve, and FDIC.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material elements of the regulatory and supervisory framework applicable to us and the Bank. It does not describe all of the statutes, regulations, and regulatory policies that apply, nor does it provide complete summaries of the statutes, regulations, and policies referenced therein.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Supervision and Regulation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bank holding company registered under the Bank Holding Company Act of 1956, as amended (the “BHC Act”). As a result, we are primarily subject to the supervision, examination, and reporting requirements of the BHC Act, Federal Deposit Insurance Act (the “FDI Act”), the regulations of the Federal Reserve and FDIC, and certain of the requirements imposed by the Dodd-Frank Wall Street Reform and Consumer Protection Act of 2010 (the “Dodd-Frank Act”).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subjects bank holding companies, such as the Company, to restrictions on the types of activities in which they may engage and to a range of supervisory requirements and activities, including regulatory enforcement actions for violations of laws and regulations. Violations of laws and regulations, or other unsafe and unsound practices, may result in regulatory agencies imposing fines, penalties, or cease and desist orders, or taking other enforcement actions. Under certain circumstances, these agencies may enforce these remedies directly against officers, directors, employees, and other parties participating in the affairs of a bank or bank holding company.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Federal Oversight over Mergers and Acquisitions, Investments, and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requires a bank holding company to obtain the prior approval of the Federal Reserve before: (i) it may acquire direct or indirect ownership or control of any voting shares of any bank if, after such acquisition, the bank holding company will directly or indirectly own or control 5% or more of the voting shares of the bank; (ii) it or any of its subsidiaries, other than a bank, may acquire all or substantially all of the assets of any bank; or (iii) it may merge or consolidate with any other bank holding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approving any such transaction, the Federal Reserve is required by the BHC Act to consider a number of factors, including the transaction’s competitive impact, the financial and managerial resources and future prospects of the bank holding companies and banks concerned, the convenience and needs of the community to be served, and the effectiveness of the parties in combating money laundering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the FDI Act known as the Bank Merger Act impose similar approval standards for an insured depository institution to merge with another insured depository institution or a non-insured institution. On September 17, 2024, the FDIC finalized changes to its Statement of Policy on Bank Merger Transactions (the “Policy Statement”), which outlines factors that the FDIC will consider when evaluating a proposed bank merger transaction. Also on September 17, 2024, the United States Department of Justice (the “DOJ”) withdrew its 1995 Bank Merger Guidelines and announced that it will instead evaluate the competitive impact of bank mergers using its 2023 Merger Guidelines that the DOJ applies to mergers in all industries. Compared to the 1995 Bank Merger Guidelines, the 2023 Merger Guidelines set forth more stringent concentration limits and add several largely qualitative bases on which the DOJ may challenge a merger. While the effect of these changes for particular transactions remains unclear, both the Policy Statement and the change in the DOJ’s bank merger antitrust policy may make it more difficult and/or costly for us to obtain regulatory approval for an acquisition or otherwise result in more onerous conditions to obtain approval for an acquisition.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as amended by the interstate banking provisions of the Riegle-Neal Interstate Banking and Branching Efficiency Act of 1994 (the “Riegle-Neal Act”), permits us to acquire a bank located in any other state, regardless of state law to the contrary, subject to certain deposit percentage, aging requirements, and other restrictions. The Riegle-Neal Act also generally permits national- and state-chartered banks to branch interstate through acquisitions of banks in other states. Bank holding companies must be “well-capitalized” and “well-managed” to obtain federal bank regulatory approval of an interstate acquisition without regard to state law prohibiting the transaction.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also generally requires Federal Reserve approval for a bank holding company’s acquisition of a company that is not an insured depository institution. Bank holding companies generally may engage, directly or indirectly, only in managing or controlling banks, and such other activities as are determined by the Federal Reserve to be closely related to banking, and certain other permissible nonbanking activities. Bank holding companies generally must notify the Federal Reserve before acquiring a company that is not an insured depository institution or engaging in a permissible nonbanking activity, and the Federal Reserve considers several factors in reviewing such a notice. The Federal Reserve may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Gramm-Leach-Bliley Act (the “GLB Act”)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pStyle w:val="TextBody"/>
        <w:bidi w:val="0"/>
        <w:spacing w:lineRule="auto" w:line="288" w:before="200" w:after="283"/>
        <w:jc w:val="both"/>
        <w:rPr/>
      </w:pPr>
      <w:r>
        <w:rPr>
          <w:rFonts w:ascii="Times New Roman;sans-serif" w:hAnsi="Times New Roman;sans-serif"/>
          <w:b w:val="false"/>
          <w:color w:val="000000"/>
          <w:sz w:val="20"/>
        </w:rPr>
        <w:t xml:space="preserve">The FDIC has the authority to approve applications by state non-member banks to establish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branches, including, under the Riegle-Neal Act, in states other than the bank’s home state if the law of the state in which the branch is located, or is to be located, would permit establishment of the branch if the bank were a state bank chartered by that 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Source of Strength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 Act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Adequacy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holding companies and banks are subject to various regulatory capital requirements administered by federal and state bank regulatory agencies. Capital adequacy regulations and prompt corrective action regulations involve quantitative measures of assets, liabilities, and certain off-balance sheet items calculated under regulatory accounting practices, as well as qualitative judgments by the regulators about components of capital, risk-weightings, and other factors. United States capital regulations were substantially revised in 2013 as a result of changes in the Dodd-Frank Act and Basel III capital rules. The Federal Reserve and the FDIC, the primary federal regulators of the Company and Bank, respectively, have substantially similar generally applicable risk-based capital ratio and leverage ratio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generally applicable capital requirements of the Federal Reserve and the FDIC, the Company and the Bank are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In addition, insured depository institutions such as the Bank, unlike bank holding companies, are subject to further capital requirements to be deemed “well-capitalized” under the prompt corrective action provisions of the FDI Act and implementing regulations of the federal banking agencies, as described in the section entitled “—Supervision and Regulation of the Bank—Prompt Corrective Action” below.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calculating the denominator of the risk-based capital ratios, a banking institution’s assets and some of its specified off-balance sheet commitments and obligations are assigned to various risk categories. For purposes of calculating the numerator of the capital ratios, capital, at both the holding company and bank levels, is classified in one of three tiers depending on the “quality” and loss-absorbing features of the capital instrument. Common equity Tier 1 capital is predominantly comprised of common stock instruments (including related surplus) and retained earnings, net of treasury stock, and after making necessary capital deductions and adjustments. Tier 1 capital is comprised of common equity Tier 1 capital and additional Tier 1 capital, which includes non-cumulative perpetual preferred stock and similar instruments meeting specified eligibility criteria (including related surplus). Total capital is comprised of Tier 1 capital and Tier 2 capital, which includes certain subordinated notes with a minimum original maturity of five years (including related surplus) and a limited amount of allowance for credit losses. Newly issued trust preferred securities and cumulative perpetual preferred stock may not be included in Tier 1 capital, but generally may be included in Tier 2 capital, provided they do not include features that are disallowed by the capital rules, such as the acceleration of principal other than in the event of a bankruptcy, insolvency, or receivership of the issuer.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meet minimum capital requirements could subject a banking organization to a variety of enforcement remedies. A banking organization’s failure to exceed the capital conservation buffer with common equity Tier 1 capital would result in limitations on the banking organization’s ability to make capital distributions and discretionary bonus payments.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common equity Tier 1 capital, Tier 1 capital, and total capital of the Company on a consolidated basis equaled 11.02%, 11.02%, and 13.99% of its total risk-weighted assets, respectively, and its Tier 1 leverage ratio on a consolidated basis was 10.05%. At December 31, 2024, the Bank exceeded its minimum capital requirements with common equity Tier 1 capital, Tier 1 capital, and total capital equal to 12.61%, 12.61%, and 13.59% of its total risk-weighted assets, respectively, and a Tier 1 leverage ratio of 11.50%. As a result, the Bank was “well-capitalized” for prompt corrective action purposes based on the ratios and guidelines described above.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Payment of Dividends and Stock Repurchases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limited in its ability to pay dividends or repurchase its stock by the Federal Reserve, including if doing so would be an unsafe or unsound banking practice. When a bank holding company intends to declare or pay a dividend that could raise safety and soundness concerns, it generally will be required to inform and consult with the Federal Reserve in advance. It is the policy of the Federal Reserve that a bank holding company should generally pay dividends on common stock only out of earnings, and only if prospective earnings retention is consistent with the company’s capital needs and overall current and prospective financial condition. Additionally, bank holding companies should inform and consult with the Federal Reserve in advance of declaring and paying a dividend that exceeds earnings for the period for which the dividend is being paid.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guidance from the Federal Reserve, a bank holding company’s dividend policies will be assessed against, among other things, its ability to achieve applicable capital ratio requirements. If a bank holding company does not achieve applicable capital ratio requirements, it may not be able to pay dividends.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bank holding company is also required to give the Federal Reserve prior written notice before purchasing or redeeming its equity securities if the gross consideration for the purchase or redemption, when aggregated with the net consideration paid by the Company for all such purchases or redemptions during the preceding twelve months, is equal to 10% or more of the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This prior notice requirement does not apply to any bank holding company that meets certain “well-capitalized” and “well-managed” standards and is not the subject of any unresolved supervisory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bank holding company is required to consult with the Federal Reserve before redeeming any equity or other capital instrument included in Tier 1 or Tier 2 capital prior to stated maturity if such redemption could have a material effect on the level or composition of the organization’s capital base.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Examinations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holding companies and banks are subject to regular examination by their respective regulatory agencies, which results in examination reports and ratings that, while not publicly available, can impact the conduct and growth of their businesses. These examinations may consider not only compliance with applicable laws and regulations, but also capital levels, asset quality and risk, management ability and performance, earnings, liquidity, sensitivity to market risk, and various other factors. The regulatory agencies generally have broad authority to impose restrictions and limitations on the operations of a regulated entity when an agency determines, among other things, that such operations are unsafe or unsound, fail to comply with applicable law, or are otherwise inconsistent with laws and regulations or with the supervisory policies of these agencies.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Anti-Money Laundering Initiatives and Sanctions Compliance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Bank are subject to extensive regulations aimed at combating money laundering and terrorist financing. The Uniting and Strengthening America by Providing Appropriate Tools Required to Intercept and Obstruct Terrorism Act of 2001 (the “Patriot Act”) substantially broadened the scope of U.S. anti-money laundering laws and regulations by imposing significant compliance and due diligence obligations, creating new crimes and penalties, and expanding the extra-territorial jurisdiction of the United States. Treasury Department regulations implementing the Patriot Act impose obligations on financial institutions to maintain appropriate policies, procedures, and controls to detect, prevent, and report money laundering and terrorist financing and to verify the identity of their customers. In addition, the Anti-Money Laundering Act of 2020 (the “AML Act”), enacted in January 2021, includes the most substantial changes to U.S. anti-money laundering law since the Patriot Act. Among other things, the AML Act creates new beneficial ownership reporting requirements for certain entities doing business in the United States, requires the Treasury Department’s Financial Crimes Enforcement Network to establish national anti-money laundering priorities and combating the financing of terrorism priorities, increases anti-money laundering whistleblower awards and expands whistleblower protections, and enhances penalties for Bank Secrecy Act and anti-money laundering violations. Failure of a financial institution to maintain and implement adequate programs to combat money laundering and terrorist financing, or to comply with all of the relevant laws or regulations, could have serious legal and financial consequences for the institution.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Treasury Department’s Office of Foreign Assets Control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OFAC administers and enforces applicable economic and trade sanctions programs. These sanctions are usually targeted against foreign countries, terrorists, international narcotics traffickers, and those believed to be involved in the proliferation of weapons of mass destruction. These regulations generally require either the blocking of accounts or other property of specified entities or individuals, but they may also require the rejection of certain transactions involving specified entities or individuals. The Company maintains policies, procedures, and other internal controls designed to comply with anti-money laundering requirements and sanctions programs.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Sarbanes-Oxley Act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represents a comprehensive revision of laws affecting corporate governance, accounting obligations, and corporate reporting. The Sarbanes-Oxley Act is applicable to all companies with equity securities registered, or that file reports, under the Exchange Act. In particular, the act established: (i) requirements for audit committees, including independence, expertise, and responsibilities; (ii) responsibilities regarding financial statements for the chief executive officer and chief financial officer of the reporting company and new requirements for them to certify the accuracy of periodic reports; (iii) standards for auditors and regulation of audits; (iv) disclosure and reporting obligations for the reporting company and its directors and executive officers; and (v) civil and criminal penalties for violations of the federal securities laws. The legislation also established a new accounting oversight board to enforce auditing standards and restrict the scope of services that accounting firms may provide to their publicly traded company audit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Supervision and Regulation of the Bank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a commercial bank chartered under the laws of the state of California and is primarily subject to the supervision, examination, and reporting requirements of the FDIC and the DFPI. Almost every area of the operations and financial condition of the Bank is subject to extensive regulation and supervision and to various requirements and restrictions under federal and state law, including loans, reserves, investments, issuance of securities, establishment of branches, capital adequacy, liquidity, earnings, dividends, management practices, and the provision of services. The FDIC and the DFPI regularly examine the Bank’s operations and have the authority to approve or disapprove mergers, the establishment of branches, and similar corporate actions. Both regulatory agencies have the power to take enforcement action to prevent the development or continuance of unsafe or unsound banking practices or other violations of law. The Bank is subject to supervision, examination, enforcement, and reporting requirements under the FDI Act, the California Financial Code, regulations of the FDIC and the DFPI, and certain of the requirements imposed by the Dodd-Frank Act. The Company and the Bank are also subject to a wide range of consumer protection laws and regulations.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California Law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law governs the chartering and regulation of California commercial banks like ours, including organizational and capital requirements, fiduciary powers, investment authority, banking offices and electronic terminals, declaration of dividends, changes of control and mergers, out of state activities, interstate branching and banking, debt offerings, borrowing limits, and limits on loans to one borrower. The DFPI is charged with the Bank’s supervision and regulation. The DFPI may take possession of a bank if certain conditions exist, such as insufficient shareholders’ equity, unsafe or unauthorized operations, or violations of law.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California law, we may engage in the general business of banking, including, but not limited to, accepting deposits, making secured and unsecured loans, purchasing and holding real property for our own use, and issuing, advising, and confirming letters of credit. The amount a bank generally may borrow may not exceed the amount of its shareholders’ equity without the consent of the DFPI.</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Restrictions on Lending, Insider Transactions, and Affiliate Transactions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law limits California banks in the amount they may lend to one borrower and the amount they may lend to insiders. Under California law, with limited exceptions, unsecured loans to one person may not exceed 15% of the sum of a bank’s shareholders’ equity, allowance for credit losses, capital notes, and debentures. Additionally, both secured and unsecured loans to one person (excluding certain secured lending and letters of credit) at any given time generally may not exceed 25% of the sum of a bank’s shareholders’ equity, allowance for credit losses, capital notes, and debentures.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22(g) of the Federal Reserve Act, as implemented by the Federal Reserve’s Regulation O, governs and restricts extensions of credit by a member bank to an executive officer, director, or principal shareholder of the bank and its affiliates. By making these provisions applicable to state non-member banks, the FDI Act and FDIC regulations impose these restrictions on the Bank’s purchases or sales of assets from or to insiders of the Bank and the Company. In general, extensions of credit to insiders: (i) may not exceed certain dollar limitations; (ii) must be made on substantially the same terms, including interest rates and collateral, as those prevailing at the time for comparable transactions with third parties; and (iii) must not involve more than the normal risk of repayment or present other unfavorable features. Additionally, California law imposes insider lending limits that are similar to the restrictions of the Federal Reserve’s Regulation 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Sections 23A and 23B of the Federal Reserve Act, which the FDI Act makes applicable to a state non-member bank like ours in the same manner and to the same extent as if it were a member bank, establish parameters for an insured bank to conduct “covered transactions” with its affiliates, generally: (i) limiting the extent to which the bank or its subsidiaries may engage in “covered transactions” with any one affiliate to an amount not greater than 10% of the bank’s capital stock and surplus, and limiting the aggregate of all such transactions with all affiliates to an amount not greater than 20% of the bank’s capital stock and surplus; and (ii) requiring that all such transactions be on terms substantially the same, or at least as favorable, to the bank or subsidiary as those that would be provided to a non-affiliate. In addition, an insured bank’s loans to affiliates generally must be fully collateralized. The term “covered transaction” includes the making of loans to the affiliate, purchase of assets from the affiliate, issuance of a guarantee on behalf of the affiliate, and several other types of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Concentrations in Lending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2006, the federal bank regulatory agencies released guidance advising financial institutions of the risks posed by commercial real estate lending concentrations and reinforcing that financial institutions should implement sound risk management processes to identify, monitor, and control risks associated with commercial real estate concentrations. Higher allowances for credit losses and capital levels may also be required. The commercial real estate guidance provides that further supervisory analysis of an institution’s commercial real estate loan concentrations is warranted when its concentrations exceed either: (i) total reported loans for construction, land development, and other land of 100% or more of a bank’s total risk-based capital; or (ii) total reported loans secured by multifamily and non-farm non-residential properties and loans for construction, land development, and other land of 300% or more of a bank’s total risk-based capital, where the outstanding balance of the institution’s commercial real estate portfolio has also increased by 50% or more during the prior 36 months. We have exposures to loans secured by commercial real estate due to the nature of our market and the loan needs of both our retail and commercial customers. We believe that our long-term experience in commercial real estate lending, underwriting policies, internal controls, and other policies currently in place, as well as our loan and credit monitoring and administration procedures, are generally appropriate to managing our concentrations as required under the commercial real estate guidance.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Prompt Corrective Action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 Act identifies five capital categories for insured depository institutions: well-capitalized, adequately capitalized, undercapitalized, significantly undercapitalized, and critically undercapitalized. Under the banking agencies’ prompt corrective action framework, an insured depository institution is subject to differential regulation corresponding to the capital category within which the institution falls. For an insured depository institution to be “well-capitalized” under this framework, it must have a common equity Tier 1 capital ratio of at least 6.50%, a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 These limitations apply to the Bank, and not to the Company on a standalone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 Act requires the federal banking agencies to take prompt corrective action whenever an insured depository institution does not meet minimum capital requirements. Failure to meet the capital guidelines could also subject an insured depository institution to capital raising requirements. In addition, an insured depository institution is generally prohibited from making capital distributions, including paying dividends or paying management fees to a holding company, if the institution would thereafter be undercapitalized. Finally, failure to meet statutorily mandated capital guidelines or more restrictive ratios separately established for an insured depository institution could subject the institution to a variety of enforcement remedies available to federal regulatory authorities, including issuance of a capital directive, the termination of deposit insurance by the FDIC, a prohibition on accepting or renewing brokered deposits, limitations on the rates of interest that the institution may pay on its deposits, and other restrictions on its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 Act also requires the federal banking agencies to prescribe certain noncapital standards for safety and soundness relating generally to operations and management, asset quality, and executive compensation, and permits regulatory action against an insured depository institution that does not meet such standards.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Payment of Dividends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source of the Company’s cash flow is dividends from the Bank. There are various legal and regulatory provisions that limit the amount of dividends the Bank can pay to the Company without regulatory approval. Under the California Financial Code, the Bank may not make any distribution to shareholders that exceeds the lesser of its retained earnings or its net income for the last three fiscal years, less the amount of any distributions made by the Bank to shareholders of the Bank during such period. However, with prior approval of the DFPI, the Bank may make a distribution to shareholders that exceeds such amounts, subject to limits set forth in the California Financial Code. Moreover, an institution’s failure to exceed the capital conservation buffer set forth in the federal banking agencies’ capital rules with common equity Tier 1 capital would result in limitations on an institution’s ability to make capital distributions and discretionary bonus payments. In addition, an insured depository institution is generally prohibited from making capital distributions, including paying dividends or paying management fees to a holding company, if the institution would thereafter be undercapitalized. Finally, the FDI Act prohibits an insured depository institution from paying dividends on its capital stock if it is in default of its payment of deposit insurance assessments to the FDIC.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Reserve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rules require depository institutions, such as the Bank, to maintain reserves against their transaction accounts. In response to the COVID-19 pandemic, the Federal Reserve reduced reserve requirement ratios to 0.00% effective March 26, 2020. Increases to the reserve requirement would decrease the amount of the Bank’s assets that it may make available for lending and investment activities. Currently, the Federal Reserve has no plans to re-impose reserve requirements. However, the Federal Reserve may adjust reserve requirement ratios in the future if conditions warrant. Balances maintained by or on behalf of depository institutions in accounts at Federal Reserve Banks continue to receive interest when reserve requirement ratios are set to 0.00%. All balances earned the interest on excess reserves rate through July 28, 2021. Thereafter, all balances earn the Interest on Reserve Balances (the “IORB”) rate. The IORB rate is the rate of interest paid by the Federal Reserve Bank on balances maintained by or on behalf of an eligible institution in an account at a Federal Reserve Bank. The Board of Governors votes on the level of the IORB rate at each Federal Open Market Committee meeting that is consistent with the announced monetary policy stance. The amount of interest on reserve balances is calculated by multiplying the IORB rate on a day by the end of day balance maintained in an account on that day.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Consumer Protection Laws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consumer lending is not currently a significant focus of our business, we are subject to numerous laws and regulations intended to protect consumers, in addition to those discussed above, when lending or offering deposit products to consumers. These laws include, among others: the Truth in Lending Act, the Truth in Savings Act, the Electronic Fund Transfer Act, the Expedited Funds Availability Act, the Equal Credit Opportunity Act, the Fair and Accurate Credit Transactions Act, the Fair Housing Act, the Fair Credit Reporting Act, the Fair Debt Collection Act, the GLB Act, the Home Mortgage Disclosure Act, the Right to Financial Privacy Act, the Real Estate Settlement Procedures Act, laws regarding unfair and deceptive acts and practices, and usury laws. Additionally, the Dodd-Frank Act created the CFPB, which has authority to issue regulations prohibiting unfair, deceptive, or abusive acts or practices.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and local jurisdictions have consumer protection laws analogous, and in addition, to those listed above. These include, for instance, the California Unfair Competition Law, which broadly prohibits any unlawful, unfair, or fraudulent business act or practice, and false, deceptive, or misleading advertising. Violations of applicable consumer protection laws can result in significant potential liability, including actual damages, restitution, and injunctive relief, from litigation brought by customers, state attorneys general, and other plaintiffs, as well as enforcement actions by banking regulators.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Privacy Laws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GLB Act and California Consumer Privacy Act impose requirements related to the privacy of customer financial information. Among other things, these laws require disclosure of privacy policies to consumers and, in some circumstances, allow consumers to prevent disclosure of certain personal information to a nonaffiliated third party. The California Consumer Privacy Act grants California residents the rights to know about personal information collected about them, to delete certain of this personal information, to opt out of the sale of personal information, and to non-discrimination for exercising these rights. The privacy provisions of these laws may affect how consumer information is transmitted through diversified financial companies and conveyed to outside vendors.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22, 2024, the CFPB released a final rule to implement Section 1033 of the Dodd-Frank Act. Under the final rule, financial institutions are required, upon request, to make available to a consumer or third party authorized by the consumer certain information the Bank has concerning a consumer financial product or service covered by the rule, such as a credit card or a deposit account. In issuing this rule, the CFPB said that the rule will move the U.S. closer to an “open banking” system that will allow consumers to switch banks or other providers more easily. The final rule also requires, among other things, covered data providers, such as the Bank, to establish a developer interface that satisfies certain performance and data security specifications through which the data provider can receive requests for, and provide, specific types of data covered by the rule in electronic, usable form to authorized third parties directly or through data aggregators. Under the final rule, the Bank will be prohibited from charging fees for maintaining the developer interface or providing access to such data. The Bank may also act as an authorized third party to request and access covered data under the final rule from other financial institutions that are covered data providers. The final rule places data security, authorization, and other obligations on those authorized third parties, including limitations on secondary uses of the data received. Industry organizations have challenged the final rule in court and the litigation is ongoing. If the challenge is not successful, as a data provider, the Bank must comply with the rule beginning April 1, 2028. We are monitoring the status of the litigation and evaluating the impact of this rule.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Branching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California law, the Bank may open branch offices throughout California with the prior approval of the DFPI. In addition, with prior DFPI approval, the Bank may acquire branches of existing banks located in California. Under federal law, the Bank may establish branch offices with the prior approval of the FDIC. Federal law allows a bank to branch into a new state through the establishment of a new branch if, among other factors, the bank is “well-managed” and “well-capitalized” and, under the laws of the state in which the branch is to be located, a state bank chartered by that state would be permitted to establish the branch.</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FDIC Deposit Insurance Assessments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deposits of the Bank are insured by the DIF as administered by the FDIC and, accordingly, are subject to deposit insurance assessments to maintain the DIF at minimum levels required by statute. The Dodd-Frank Act increased the minimum reserve ratio requirement for the DIF to 1.35% of total estimated insured deposits or the comparable percentage of the deposit assessment base. The DIF reserve ratio fell to below the statutory minimum of 1.35% during the COVID-19 pandemic. The FDIC adopted a restoration plan in September 2020, which it amended in June 2022, to restore the DIF reserve ratio to at least 1.35% by September 30, 2028. On October 18, 2022, the FDIC adopted a final rule to increase initial base deposit insurance assessment rates for insured depository institutions by two basis points, beginning with the first quarterly assessment period of 2023. The increased assessment rate schedules will remain in effect unless and until the reserve ratio of the DIF meets or exceeds 2.00%. As a result of the new rule, the FDIC insurance costs of insured depository institutions, including the Bank, generally increased.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FDIC uses a risk-based assessment system that imposes insurance premiums as determined by multiplying an insured bank’s assessment base by its assessment rate. A bank’s deposit insurance assessment base is generally equal to its total assets minus its average tangible equity during the assessment period. For a depository institution that has been insured for more than five years and that has total consolidated assets of less than $10.0 billion, such as the Bank, the FDIC determines the assessment rate within a range of base assessment rates based on the bank’s CAMELS composite rating, considering other factors and adjustments. The CAMELS rating system is a supervisory rating system developed to classify a bank’s overall condition by considering capital adequacy, assets, management capability, earnings, liquidity, and sensitivity to market and interest rate risk.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of deposits may be terminated by the FDIC upon a finding that a bank has engaged in unsafe and unsound practices, is in an unsafe or unsound condition to continue operations, or has violated any applicable law, regulation, rule, order, or condition imposed by the bank’s federal regulatory agency. In addition, the FDI Act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including those of its parent bank holding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30, 2024, the FDIC issued a proposed rule that would revise the FDIC’s regulations governing the classification and treatment of brokered deposits. The proposal would require many insured depository institutions to classify a greater amount of their deposits obtained with the involvement of third parties as brokered deposits. An increase in the amount of brokered deposits on an insured depository institution’s balance sheet could, among other consequences, increase the institution’s deposit insurance assessment costs.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Community Reinvestment Act (“CRA”)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CRA requires that, in connection with examinations of insured depository institutions within their respective jurisdictions, the federal banking agencies must evaluate the record of each financial institution in meeting the credit needs of its local community, including low- and moderate-income neighborhoods. A bank’s CRA performance is also considered in evaluating applications seeking approval for mergers, acquisitions, and new offices or facilities, and a CRA rating of less than “Satisfactory” may adversely affect the ability of a bank or its parent company to engage in such transactions. The FDIC’s evaluation of the Bank’s record of performance under the CRA is publicly available. The FDIC’s CRA regulations provide that a bank may elect to have its CRA performance evaluated under a strategic plan. This option enables a bank to structure its CRA goals and objectives to address the needs of its community consistent with its business strategy, operational focus, capacity, and constraints. The Bank operated under a CRA Strategic Plan approved by the FDIC for the years 2019 to 2021 and received a rating of “Satisfactory” at its most recent CRA evaluation, dated as of July 22, 2024 and covering activities from 2021 through the evaluation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2023, the federal banking agencies issued a final rule amending the CRA regulations, to substantially revise how they evaluate an insured depository institution’s record of satisfying the credit needs of its entire communities, including low- and moderate-income individuals and neighborhoods. Under the final rule, banks with assets of at least $2 billion, including the Bank, are considered large banks and their retail lending, retail services and products, community development financing, and community development services will be subject to periodic evaluation. Depending on a large bank’s geographic distribution of lending, the evaluation of retail lending may include assessment areas in which the bank extends loans but does not operate any deposit-taking facilities, in addition to assessment areas in which the bank has deposit-taking facilities. Additionally, while the final rule retains the option for a large bank to adopt a strategic plan, a strategic plan under the final rule will generally be required to cover the same tests and geographies as the revised framework applies to other large banks. Most of the final rule’s new requirements were scheduled to become applicable beginning January 1, 2026. The remaining new requirements, including data reporting requirements, were scheduled to become applicable on January 1, 2027. However, industry organizations have challenged the final rule in court, and on March 29, 2024, the United States District Court for the Northern District of Texas granted an injunction and stay of the final rule. The final outcome of such challenge is uncertain.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FHLB Membership</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a member of the FHLB, which is one of 11 regional Federal Home Loan Banks that administer the home financing credit function of banking institutions. Each Federal Home Loan Bank is funded primarily from proceeds derived from the sale of consolidated obligations of the Federal Home Loan Bank system and makes advances to members in accordance with policies and procedures established by the Board of Directors of the Federal Home Loan Bank and subject to the oversight of the Federal Housing Finance Agency. All advances from a Federal Home Loan Bank are required to be fully secured by sufficient collateral as determined by the Federal Home Loan Bank. In addition, all long-term advances are required to provide funds for residential home financing.</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Cybersecurity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banking agencies pay close attention to the cybersecurity practices of banks and their holding companies and affiliates. The interagency council of the agencies, the FFIEC, has issued several policy statements and other guidance for banks as new cybersecurity threats arise. The FFIEC has recently focused on such matters as compromised customer credentials and business continuity planning. Examinations by the banking agencies now include review of an institution’s information technology and its ability to thwart cyber-attacks.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Banking organizations are required to notify their primary federal regulator of significant computer security incidents within 36 hours of determining that such an incident has occurred. In addition, the SEC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factors may have an adverse effect on our business, financial condition, and results of operations. You should carefully consider the following risks, together with all of the other information contained in this Annual Report on Form 10-K, including the sections entitled “Cautionary Note Regarding Forward-Looking Statements” and “Management’s Discussion and Analysis of Financial Condition and Results of Operations” and our financial statements and the related notes thereto.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most significant risks that may have an adverse effect on our business, financial condition, and results of operations are summarized below.</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business and operations are concentrated in Northern California, and we are sensitive to adverse changes in the local economy.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operate in a highly competitive market and face increasing competition from traditional and new financial services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may be unable to effectively manage our growth, which could have an adverse effect on our business, financial condition, and results of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operate in a highly regulated industry, and current regulatory requirements, including stringent capital requirements, consumer protection laws, and anti-money laundering laws, and failure to comply with these requirements and any future legislative and regulatory changes may have an adverse effect on our business, financial condition, and results of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and operations are concentrated in California, specifically Northern California, and we are more sensitive than our more geographically diversified competitors to adverse changes in the local economy.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Unlike many of our larger competitors that maintain significant operations located outside our market, substantially all of our customers are individuals and businesses located and doing business in the state of California. As of December 31, 2024, approximately 57.66%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larger, more geographically diverse competitors. A downturn in the local economy could make it more difficult for our borrowers to repay their loans, may lead to credit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small to medium-sized businesses to which we lend may have fewer resources to weather adverse business developments, which may impair a borrower’s ability to repay a loan.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are otherwise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is significantly dependent on the real estate markets in which we operate, as a significant percentage of our loan portfolio is secured by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 significant majority of our loan portfolio was comprised of loans with real estate as a primary or secondary component of collateral, with a majority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land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subject to interest rate risk, which could adversely affect our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are highly sensitive to many factors that are beyond our control, including general economic conditions and policies of various governmental and regulatory agencies and, in particular, the Federal Reserve, which has raised interest rates significantly in 2022 and 2023. As interest rates have increased, so have competitive pressures on the deposit cost of funds. This has been exacerbated by the bank failures in the first half of 2023 and the resulting heightened competition for deposits, which has also affected the interest we pay on deposits. It is not possible to predict the pace and magnitude of changes in interest rates, or the impact rate changes will have on our results of operations. Changes in monetary policy, including changes in interest rates, could influence not only the interest we receive on loans and securities and the interest we pay on deposits and borrowings, but such changes could 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December 31, 2024, significant portions of our interest-bearing liabilities were variable rate, where our variable rate liabilities reprice at a faster rate than our variable rate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credit losses, which could have an adverse effect on our business, financial condition, and results of operations. The Federal Reserve has indicated that it expects to continue to lower the target range for the federal funds rate in 2025. A decrease in the general level of interest rates may affect us through, among other things, increased prepayments on our loan portfolio, and our cost of funds may not fall as quickly as yields on interest-earning assets. Our asset-liability management strategy may not be effective in mitigating exposure to the risks related to changes in market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operate in a highly competitive market and face increasing competition from a variety of traditional and new financial services providers.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competitors.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and a loss of confidence by 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Failure to keep up with the rapid technological changes in the financial services industry could have an adverse effect on our competitive position and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dependent on the use of data and modeling in both our management’s decision-making generally and in meeting regulatory expectations in particular.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credit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their outputs could similarly result in suboptimal decision making, which could have an adverse effect on our business, financial condition, and results of operations.</w:t>
      </w:r>
    </w:p>
    <w:p>
      <w:pPr>
        <w:pStyle w:val="TextBody"/>
        <w:bidi w:val="0"/>
        <w:spacing w:lineRule="auto" w:line="288" w:before="240" w:after="283"/>
        <w:jc w:val="both"/>
        <w:rPr/>
      </w:pPr>
      <w:r>
        <w:rPr>
          <w:rFonts w:ascii="Times New Roman;sans-serif" w:hAnsi="Times New Roman;sans-serif"/>
          <w:b/>
          <w:color w:val="000000"/>
          <w:sz w:val="20"/>
        </w:rPr>
        <w:t>We may not be able to measure and limit our credit risk adequately, which could adversely affect our profitability.</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credit losses. Additional factors related to the credit quality of multifamily residential, real estate construction, and other commercial real estate loans include the quality of management of the business and tenant vacancy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exposed to higher credit risk and other risks and costs by our commercial real estate, commercial land and construction, commercial construction, farmland loans and other real estate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commercial land and construction, commercial construction, and farmland-based lending, which form significant portions of our loan portfolio, usually involve higher credit risks than other types of mortgage loans. These types of loans also involve larger loan balances to a single borrower or groups of related borrowers. These higher credit risks are further heightened when the loans are concentrated in a small number of larger borrowers, leading to relationship exposure.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loans, commercial and industrial loans, and construction loans are more susceptible to a risk of loss during a downturn in the business cycle. In particular, the increase in working from home since outbreak of the COVID-19 pandemic could have adverse effects on our loans for office space, which are dependent for repayment on the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 and management of the associated commercial real estate. Our underwriting, review, and monitoring cannot eliminate all the risks related to these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secured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protection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foreclose on and take title to real property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Curtailment of government-guaranteed loan programs or changes in federal government funding could affect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component of our business consists of originating and periodically selling U.S. government-guaranteed loans, in particular those guaranteed by the SBA. Pursuant to the Consolidated Appropriations Act, 2021, the SBA guaranteed 90% of the principal amount of each qualifying SBA loan originated under the SBA’s 7(a) loan program through October 1, 2021. The SBA presently guarantees 75% to 90% of the principal amount of qualifying loans originated under the 7(a) loan program. The U.S. government may not maintain the SBA 7(a) loan program, and even if it does, the guaranteed portion may not remain at its current or anticipated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year ended December 31, 2024 was approximately $18.3 million, compared to approximately $36.5 million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current or future delays to, reductions of, and/or cancellations of certain federal government payments in connection with cost-saving and government efficiency efforts undertaken by the Trump Administration may lead to increased repayment risk from clients of the Bank who rely on payments from the federal government in conducting their businesses. Potential losses could adversely affect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risk could impair our ability to fund operations and meet our obligations as they become due.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primary sources of funds consist of cash flows from operations, maturities and sales of investment securities, and proceeds from issuance and sale of our equity and debt securities. Additional liquidity is provided by the ability to borrow from the FHLB and the Federal Reserve Bank of San Francisco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may be adversely affected by the soundness of other financial institutions.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us and many other financial institutions. These events have adversely impacted and could continue to adversely affect our business, results of operations, and financial condition, as well as the market price and volatility of our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rapid rise in interest rates during 2022 and 2023 and the resulting industry-wide reduction in the fair value of securities portfolios, among other events, have resulted in a current state of volatility and uncertainty with respect to the health of the United States banking system. There is heightened awareness around liquidity, uninsured deposits, deposit composition, unrecognized investment losses, and capital. We are exposed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Regulatory requirements affecting our loans secured by commercial real estate could limit our ability to leverage our capital and adversely affect our growth and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reported loans secured by multifamily and non-farm non-residential properties and loans for construction, land development, and other land of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recovery on commercial real estate loans could be further reduced by a lack of a liquid secondary market for such mortgage loans and mortgage-backed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business strategy includes an emphasis on commercial real estate lending. Although we sold 56 SBA 7(a) loans with government-guaranteed portions totaling approximately $18.3 million in the year ended December 31, 2024,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appraisals and other valuation techniques we use in evaluating and monitoring loans secured by real property and OREO may not accurately reflect the net value of the asset.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credit losses may not reflect accurate loan impairments. Inaccurate valuation of OREO or inaccurate provisioning for credit losses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Federal, state, and local consumer lending laws may restrict our or our partners’ ability to originate certain loans or increase our risk of liability with respect to such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protection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largest loan relationships make up a material percentage of our total loan portfolio, and credit risks relating to these would have a disproportionate impact.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30 largest borrowing relationships ranged from approximately $20.3 million to $284.3 million (including unfunded commitments) and totaled approximately $1.4 billion in total commitments (representing, in the aggregate, 38.68% of our total loans held for investment before deferred fees at that date).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credit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largest deposit relationships currently make up a material percentage of our deposits and the withdrawal of deposits by our largest depositors could force us to fund our business through more expensive and less stable sources.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49 largest deposit relationships, each accounting for more than $10.0 million, amounted to $1.8 billion, or 50.35% of our total deposits. This includes $674.1 million in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short-term liquidity and have an adverse impact on our earnings.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allowance for credit losses may be inadequate to absorb losses inherent in the loan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credit losses that represents management’s judgment of probable losses and risks inherent in our loan portfolio. In determining the size of our allowance for credit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credit losses is inherently highly subjective and requires us to make significant estimates of and assumptions regarding current credit risk and future trends, all of which may change materially. Although we endeavor to maintain our allowance for credit losses at a level adequate to absorb any inherent losses in the loan portfolio, these estimates of credit losses are necessarily subjective, and their accuracy depends on the outcome of future events. At December 31, 2024, the allowance for credit losses was $37.8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credit losses in excess of our current allowance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requiring us to make material additions to our allowance for credit losses, which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federal and state banking regulators, as an integral part of their supervisory function, periodically review the allowance for credit losses. These regulatory agencies may require us to increase our allowance for credit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ASU No.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and all subsequent amendments that modified ASU 2016-13 (collectively,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Under the CECL model, the calculated allowance for credit losses was $5.3 million higher on January 1, 2023 than the allowance under the incurred loss model. For further information, please see Note 2, Recently Issued Accounting Standards, in the notes to our audited consolidated financial statements included in this Annual Report on Form 10-K.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could recognize losses on investment securities held in our securities portfolio, particularly if interest rates increase or economic and market conditions deteriorate.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carrying value of our investment securities portfolio was approximately $100.9 million. As of the same date, 8.27%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with respect to the securities, defaults by the issuer or with respect to the underlying securities, and changes in market interest rates and instability in the capital markets. Any of these factors, among others, could require the Company to record an allowance for credit losses, which could have an adverse effect on our business, financial condition, and results of operations. The process for determining whether an allowance for credit losses is required involves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depend on the accuracy and completeness of information provided by customers and counterparties.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Industry and Regulation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industry is highly regulated, and the regulatory framework, together with any future legislative or regulatory changes, may have an adverse effect on our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banking industry is highly regulated and supervised under both federal and state laws and regulations that are intended primarily for the protection of depositors, customers, the public, the banking system as a whole, and/or the FDIC DIF, not for the protection of our shareholders and creditors. We are subject to regulation and supervision by the Federal 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interpretations of such laws and regulations, or regulatory policies could result in sanctions by regulatory agencies, civil money penalties, and/or damage to our reputation, all of which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This could impact our ability to implement our strategy,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Monetary policies and regulations of the Federal Reserve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 with certainty.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Federal and state regulators periodically examine our business and may require us to remediate adverse examination findings or may take enforcement action against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different remedial actions as they deem appropriate. These actions may include requiring us to remediate any such adverse examination findings.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the Bank into receivership or conservatorship. Any regulatory enforcement action against us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subject to stringent capital requirements, which could have an adverse effect on our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6.50%, a Tier 1 capital ratio of at least 8.00%, a total capital ratio of at least 10.00%, and a Tier 1 leverage ratio of at least 5.00%, and must not be subject to any written agreement, order or capital directive, or prompt corrective action directive issued by its primary federal or state banking regulator to meet and maintain a specific capital level for any capital measure.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subject to numerous “fair and responsible banking” laws and other laws and regulations designed to protect consumers, and failure to comply with these laws could lead to a wide variety of sanctions.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CFPB, are responsible for enforcing these fair and responsible banking laws and regulations. Banks with no more than $10.0 billion in total consolidated assets, including the Bank, are subject to rules promulgated by the CFPB but are examined and supervised by federal banking agencies for compliance with federal consumer protection laws and regulations. The CFPB has issued rules that restrict or place conditions on various fees that financial institutions can charge consumers, including credit card late fees and overdraft fees. Although these rules have been challenged in court, and leadership of the CFPB during the Trump Administration has taken steps to curtail the CFPB’s regulatory activities, in general CFPB rulemaking has the potential to have a significant impact on the operations of the Bank.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a bank holding company and are dependent upon the Bank for cash flow, and the Bank’s ability to make cash distributions is restricted. Additionally, the Federal Reserve may require us to commit capital resources to support the Bank.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face a risk of noncompliance and enforcement action with the Bank Secrecy Act and other anti-money laundering statutes and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Secrecy Act, the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Treasury Department’s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Treasury Department’s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Ownership of Our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market price of our common stock may be volatile, and we may not be able to meet investor or analyst expectations. You may not be able to resell your shares at or above the price you paid and may lose part or all of your investment as a result.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 price has fluctuated from a low of $18.21 to a high of $33.55 between our initial public offering and December 31, 2024. Volatility in the market price of our common stock may negatively impact the price at which our common stock may be sold and may also negatively impact the timing of any sale. The market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continue to fluctuate widely in response to a variety of factors including the risk factors described herein and, among other things: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variations in quarterly or annual operating results, financial conditions, or credit quality;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business or economic conditions;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recommendations or research reports about us or the financial services industry in general published by securities analysts;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failure of securities analysts to cover, or to continue to cover, us;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financial estimates or publication of research reports and recommendations by financial analysts or actions taken by rating agencies with respect to us or other financial institutions;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news reports relating to trends, concerns, and other issues in the financial services industry;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reports related to the impact of natural or man-made disasters in our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perceptions in the marketplace regarding us and or our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sudden increases in the demand for our common stock, including as a result of any “short squeezes”;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significant acquisitions or business combinations, strategic partnerships, joint ventures, or capital commitments by or involving us or our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additional investments from third parties;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future sales or issuance of additional shares of our common stock;</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fluctuations in the market price of our common stock and operating results of our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or proposed changes in laws or regulations, or differing interpretations thereof, affecting our business, or enforcement of these laws or regulations;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new technology used, or services offered, by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additional investments from third parties; or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geopolitical conditions such as acts or threats of terrorism, pandemics, or military conflicts.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market price of our common stock over the short, medium, or long term, regardless of our actual performance. In the past, following periods of volatility in the market price of a company’s securities, shareholders have often instituted securities class action litigation. If we were to be involved in a class action lawsuit, it could divert the attention of our senior management and could adversely affect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an “emerging growth company,” as defined in the JOBS Act and are able to avail ourselves of reduced disclosure requirements applicable to emerging growth companies, which could make our common stock less attractive to investors and adversely affect the market price of our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discuss our results of operations for only two years in the section entitled “Management’s Discussion and Analysis of Financial Condition and Results of Operations”; not to provide an auditor attestation of our internal control over financial reporting; to take advantage of an extended transition period to comply with the new or revised accounting standards applicable to public companies; and not to seek a non-binding advisory vote on executive compensation or golden parachute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significant shareholders have the ability to control significant corporate activities, and our significant shareholders’ interests may not coincide with yours.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If securities or industry analysts do not publish research or publish inaccurate or unfavorable research about our business, or change their recommendations regarding our common stock, or if our operating results do not meet their expectations, the market price of our common stock and trading volume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or our operating results do not meet their expectations, either absolutely or relative to our competitors, the market price of our common stock would likely decline. If one or more of these analysts cease coverage of us or fail to publish reports on us regularly, we would lose visibility in the financial markets, which in turn could cause the market price of our common stock or trading volume to decline. If we fail to meet the expectations of analysts for our operating results, the market price of our common stock would likely decline. If one or more of these analysts ceases coverage of us or fails to publish reports on us regularly, demand for our stock could decrease, which could cause the market price of our common stock and trading volume to decline.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may not pay dividends on our common stock in the future, and our ability to pay dividends is subject to certain restrictions.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holders of our debt obligations and preferred stock, if any, have priority over the holders of our common stock with respect to payment in the event of liquidation, dissolution, or winding up and with respect to the payment of interest and dividends.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any liquidation, dissolution, or winding up of the Company, our common stock would rank below all claims of debt holders against us as well as any preferred stock that has been issued. As of December 31, 2024, we had outstanding an aggregate of $73.9 million of subordinated notes, net of debt issuance costs, outstanding, and we did not have any outstanding preferred stock or trust preferred securities. We could incur future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to the debt holders are satisfied and holders of subordinated notes and senior equity securities, including preferred shares, if any, have received any payment or distribution due to them. In addition, we are required to pay interest on the subordinated notes and dividends on the trust preferred securities and preferred stock before we will be able to pay any dividends on our common stock. Since any decision to issue debt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securities or our incurrence of other borrowings will negatively affect the market price of our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California law and the provisions of our amended and restated articles of incorporation and amended and restated bylaws may have an anti-takeover effect, and there are substantial regulatory limitations on changes of control of bank holding companies.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corporate law and provisions of our amended and restated articles of incorporation (“articles of incorporation”) and our second amended and restated bylaws (“bylaws”) could make it more difficult for a third party to acquire us, even if doing so would be perceived to be beneficial by our shareholders. Furthermore, with certain limited exceptions, federal regulations prohibit a person, company, or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bylaws have an exclusive forum provision, which could limit a shareholder’s ability to obtain a favorable judicial forum for disputes with us or our directors, officers, or other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officers, or other employees arising pursuant to any provision of the General Corporation Law of California or the articles of incorporation or the bylaws; or (iv) any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and divert management’s attention.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increased, and will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increase, our legal and financial compliance costs, will make some activities more difficult, time-consuming, or costly, and will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impact our ability to access the capital markets.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may identify deficiencies that would have to be remediated to satisfy the SEC rules for certification of our internal control over financial reporting. A material weakness is defined by the standards issued by the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success is largely dependent upon our management team and key employees and ability to successfully execute our business strategy.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If we implement new lines of business, products, or services, we may invest significant time and resources in doing so, and such new lines of business, products, or services may not be successful.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may pursue strategic acquisitions in the future, and we may not be able to overcome risks associated with such transactions.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plan to continue to grow our business organically, we may explore opportunities to invest in, or to acquire, other financial institutions and businesses that we believe would complement our existing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or acquisition activities could be material to our business and involve a number of risks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investing time and incurring expense associated with identifying and evaluating potential investments or acquisitions and negotiating potential transactions, resulting in our attention being diverted from the operation of our existing business;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lack of history among our management team in working together on acquisitions and related integration activities;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time, expense, and difficulty of integrating the operations and personnel of the combined businesses;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unexpected asset quality problems with acquired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inaccurate estimates and judgments used to evaluate credit, operations, management, and market risks with respect to the target institution or assets;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risks of impairment to goodwill or allowance for credit losses of investment securities;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potential exposure to unknown or contingent liabilities of banks and businesses we acquire;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 inability to realize expected synergies or returns on investment;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potential disruption of our ongoing banking business;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loss of key employees or key customers following our investment or acquisition.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reputation is critical to our business, and damage to it could have an adverse effect on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and compliance failures.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about us, whether accurate or not, may also damage our reputation, which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operations could be interrupted if our third-party service providers experience difficulty, terminate their services, or fail to comply with banking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third-party service providers, and banking organizations’ relationships with those providers, are subject to demanding regulatory requirements and attention by bank regulators. These regulatory expectations may change, and potentially become more rigorous in certain ways, due to an interagency effort to replace existing guidance on the risk management of third-party relationships with new guidance.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subject to laws regarding the privacy, information security, and protection of personal information, and any violation of these laws or other incidents involving personal, confidential, or proprietary information of individuals could damage our reputation and otherwise adversely affect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 out of the sale of personal information, and to non-discrimination for exercising these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System failure or cybersecurity breaches of our network security could subject us to increased operating costs as well as litigation, damage to our reputation, and other potential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Failures in, or breaches of, our computer systems and network infrastructure, or those of our third-party vendors or other service providers, including as a result of cyber-attacks, cybersecurity breaches, and other disruptions, could disrupt our business, result in the disclosure or misuse of confidential or proprietary information, result in supervisory liability or regulatory enforcement action, damage our reputation, result in a loss of customers and business, result in a loss of confidence in the security of our systems, products, and services,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transmitted through our computer systems and network infrastructure, which may result in business disruptions, significant liability to us, and damage to our reputation and may discourage current and potential customers from using our internet banking services. Our security measures, including firewalls and penetration testing, as well as oversight by our board of directors and the Audit Committee as well as management’s assessment, identification, and management of cybersecurity risks, may not prevent or detect future potential losses from system failures or cybersecurity breaches, attacks, or other disruptions. While we seek to continuously monitor for and react to any and all such malicious cyber activity and develop our systems to protect our technology infrastructure and data, such monitoring and systems development may not be effective in preventing misuse, misappropriation, or corruption. In the ordinary course of business, our board of directors receives quarterly cybersecurity risk management updates and members of the Audit Committee of our board of directors also attend the meetings of our information technology steering committee on a quarterly basis. Cybersecurity risk management is incorporated into our overall enterprise risk management model, which is updated on a quarterly basis and subject to oversight by our board of directors.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collect, process, and retain sensitive and confidential information regarding our customers. Although we devote significant resources, oversight by our board of directors,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malware,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(including costs associated with remediating any security breaches), supervisory liability,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 We are not able to anticipate or implement effective preventive measures against all security breaches of these types, especially because attacks are increasingly sophisticated, change frequently, often are not recognized until launched, and can originate from a wide variety of sources. Our early detection and response mechanisms could fail to detect, mitigate, or remediate these risks in a timely manner. Despite our implementation of protective measures and endeavoring to modify them as circumstances warrant, our computer systems, software, and networks may be vulnerable to human error, equipment failure, natural disasters, power loss, unauthorized access, supply chain attacks, distributed denial of service attacks, computer viruses and other malicious code, and other events that could result in significant liability and damage to our reputation, and have an ongoing impact on the security and stability of our operations. In addition, although we maintain insurance coverage that may, subject to terms and conditions, cover certain aspects of cyber and information security risks, such insurance coverage may be insufficient to cover all losses, such as litigation costs or financial losses that exceed our policy limits or are not covered under any of our current insurance policies.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security risks for financial institutions like us have increased recently in part because of new technologies, the use of the internet, cloud, and telecommunications technologies (including mobile devices) to conduct financial and other business transactions, and the increased sophistication and activities of organized crime, perpetrators of fraud, hackers, terrorists, and others. Additionally, like many large enterprises, we have introduced more remote work arrangements for our employees. The increase in remote work arrangements over the past few years has introduced potential new vulnerabilities to cyber threats. We also face increased cybersecurity risk as we deploy additional technologies and digital solutions, including our website and digital banking platform with complementary treasury management solutions. Moreover, any cyber-attack or other security breach may persist for an extended period of time without detection. We endeavor to design and implement policies and procedures to identify such cyber-attacks or breaches as quickly as possible; however, we expect that any investigation of a cyber-attack or breach would take substantial amounts of time, and that there may be extensive delays before we obtain full and reliable information.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 or breach.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Banking organizations are required to notify their primary federal regulator of significant computer security incidents within 36 hours of determining that such an incident has occurred. Failure to comply with this requirement in the event of such an incident could result in sanctions by regulatory agencies, civil money penalties, and/or damage to our reputation, all of which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 enacted rules, effective as of December 18, 2023,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If we fail to comply with these new requirements we could incur regulatory fines in addition to other adverse consequences to our reputation,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liability under various data protection laws. In the normal course of business, we collect, process, and retain sensitive and confidential information regarding our customers and employees, including personal data. As a result, we are subject to numerous laws and regulations designed to protect this information, such as U.S. federal, state, and international laws governing the protection of personally identifiable information. These laws and regulations are increasing in complexity and number. If any person, including any of our employees, negligently disregards or intentionally breaches our established controls with respect to client or employee data, or otherwise mismanages or misappropriates such data, we could be subject to significant monetary damages, regulatory enforcement actions, fines and/or criminal prosecution. In addition, unauthorized disclosure of sensitive or confidential client or employee data, whether through system failure, employee negligence, fraud, or misappropriation, could damage our reputation and cause us to lose clients and related revenue. Potential liability in the event of a security breach of client data could be significant. Depending on the circumstances giving rise to the breach, this liability may not be subject to a contractual limit or an exclusion of consequential or indirect damages.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ability to conduct our business could be disrupted by natural or man-made disasters or the effects of climate change.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wildfires, droughts, mudslides, floods, and other natural disasters.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 Climate change also could present financial risks to us as a result of transition risks, such as societal and/or technological responses to climate change, which could include changes in climate policy or in the regulation of financial institutions with respect to risks posed by climate change.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Litigation and regulatory actions, including possible enforcement actions, could subject us to significant fines, penalties, judgments, or other requirements resulting in increased expenses or restrictions on our business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in the normal course of business,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 are subject to an extensive body of accounting rules and best practices. Periodic changes to such rules may change the treatment and recognition of critical financial line items. In addition, the accuracy of our consolidated financial statements and related disclosures could be affected if the judgments, assumptions, or estimates used in our critical accounting policies are inaccurate.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credit losses on the basis of the current expected credit losses over the lifetime of our loans, which was applicable to us beginning in 2023, and may result in increases in our allowance for credit losses and future provisions for credit losses; and (ii) record the value of and liabilities relating to operating leases on our balance sheet, which became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crucial importance of identifying, assessing, and managing material risks from cybersecurity threats. We are committed to implementing and maintaining a comprehensive information security program to manage such risks and safeguard our systems and data, including the data of our customers.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Security Policies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cybersecurity risk in accordance with our Information Security Program (the “Information Security Program”), which is applicable to all users of our information technology assets, information assets, and facilities, including our employees, contractors, vendors, volunteers, and agents. The Information Security Program includes an Information Security Incident Response Policy (the “Incident Response Policy”), which sets forth the rules and requirements for identifying, investigating, validating, prioritizing, and responding to information security incidents, and addresses the response portion of security monitoring. The Information Security Program also includes: (i) an Information Security Incident Response Procedure (the “Incident Response Procedure”), which delineates the processes for reporting, classifying, investigating, planning, containing, eradicating, recovering, documenting, and communicating information security incidents, as well as post-incident activities; and (ii) a Security Monitoring Policy, which establishes the rules and requirements for enabling, logging, alerting, and monitoring real time security alerts and security logs (automated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manual), as well as various condition monitoring tests and reviews, and documentation requirements in connection with security incident identification.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 information security incidents are identified in a number of ways, including, but not limited to: users reporting security violations, system weaknesses, violations of our Information Security Acceptable Use Policy, which addresses the boundaries of acceptable use of our information technology assets, automated system alerts, and monitoring of both system generated and manually generated logs. Our Information Security Program mandates that any potential information security incident response begin at the initial internal communication and investigation stage, during which such events undergo initial investigation for validation, including related to the scope and depth of such incident and to ensure that it has not resulted from a false positive. Internal communications regarding the potential incident occur with the relevant security coordinator according to our Incident Response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this initial stage, we gather and update impact information and related documentation for such incident. We use an incident classification matrix to determine the initial classification of a potential information security incident, which considers users, customers, and systems affected, the sensitivity of data at risk, and the potential business impacts to the Company, including financial, legal, regulatory, operational, and reputation. The resulting classification of “Red,” “Yellow,” or “Green” identifies next steps for escalation and communication following initial investigation of the potential incident. Upon escalation of an incident, a member of management who is identified as an Incident Response Contact per our Information Security Program reviews and validates the initial determination of the priority of the incident prior to entering into the subsequent stage, during which a response to the incident is determined and notifications or communications are made to either additional personnel or any external entities. Depending on the specific details of any such incident, we may notify additional members of our management team, our board of directors, the Audit Committee, state and federal regulators, technology service providers, and/or the SEC. The timing of such communications varies based on the details of a particular incident and applicable regulations governing such disclosure. Following this classification and communication stage, we enter the recovery stage to determine containment and a response to the incident, assign technical staff to address such incident, implement containment, eradicate the incident source, and recover from such incident. Following any such incident, we engage in follow-up to communicate with law enforcement and notify impacted third parties and customers, as appropriate, in addition to further investigating the cause of the incident, documenting takeaways, and engaging in remediation.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 of Information Security (“DIS”) coordinates with other members of our executive management team identified in our Information Security Program to document, validate, respond to, and manage actual or potential security incidents according to their threat classifications as described above, and report to our board of directors and/or the Audit Committee on an ad hoc basis. The DIS also provides quarterly reports on the status of our Information Security Program and its compliance with regulatory requirements to our board of directors in connection with our board’s general risk management oversight role, as described in further detail below. The DIS and the Chief Information Officer (“CIO”) have shared responsibility for overseeing day-to-day operations of the Information Security Program; coordinating or contributing to reviews, audits, risk assessments, and other risk management material; development of departmental policies and procedures for board approval; and periodic updates to our information technology steering committee and/or the full board of directors. The CIO reports to the President and Chief Executive Officer, while the DIS reports to the Chief Regulatory Officer and reports regularly to the Audit Committee.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CIO has 20 years of industry experience including management of technology, security, data analytics, and vendor relationships. The DIS has over 10 years of industry experience and 25 years of information security experience focusing on management of security and vendor relationships. The DIS also possesses several industry certifications, including certification as a Certified in Risk and Information Systems Control and Certified Information Security Manager from the Information System Audit and Control Association.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the approval of the Audit Committee, we also engage third-party assessors, consultants, and auditors in connection with the Company’s Information Security Program and in accordance with our Audit Program, including to conduct external and internal penetration testing, independent audits, and risk assessments. We may also utilize third-party service providers in the ordinary course of business, including to assist us in performing information security assessments for third-party service providers that store or process our confidential data. These information security assessments, whether performed by a third party or internally, include a review of any systems and organization control reports, and proof of the vendor’s independent testing of their data protection controls, as well as a review of any exceptions noted and assessment of management responses, results of vulnerability and penetration testing, incident response processes, and third-party data protection controls (which can include, but are not limited to: access reviews and controls, backups, monitoring, encryption standards, and disaster recovery). The review of these areas is taken into account in order to provide an overall information security conclusion and risk rating for the vendor.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use a combination of technology, policies, procedures, training, and monitoring to promote security awareness and prevent security incidents.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Oversight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management team is responsible for the development of our policies and procedures and for managing any exception to the same. In particular, our DIS oversees information security compliance, as described above. The board of directors of the Company has ultimate oversight of cybersecurity-related risk and activities, including the review and approval of our policies and procedures related to cybersecurity. The Information Security Program is approved on an annual basis. Cybersecurity risk management is also incorporated into our overall enterprise risk management model, which is updated on a quarterly basis and subject to oversight by our board of directors.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our board of directors receives quarterly updates from the DIS regarding the Information Security Program and compliance with relevant regulations, as described above. Members of the Audit Committee of our board of directors receive presentations as well as minutes of the meetings of our information technology steering committee on a quarterly basis. Our information technology steering committee consists of members of our board of directors who have relevant experience from their audit and management experience as well as training provided by our management. If an incident occurs, depending on its priority as identified through the procedures described above, management may inform our board of directors and/or the Audit Committee sooner than its next quarterly update. See the section entitled “Part I, Item 1. Business—Risk Management” for additional information on the role of our board of directors and its committees in overseeing risk management.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Relevant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regulated financial institution, the Bank is also subject to financial privacy laws, and our cybersecurity practices are subject to oversight by the federal banking agencies. In addition, the Bank is subject to SEC rules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For additional information, see the section entitled “Part I, Item 1. Business—Supervision and Regulation—Supervision and Regulation of the Bank—Cybersecurity.”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Prior Incidents</w:t>
      </w:r>
    </w:p>
    <w:p>
      <w:pPr>
        <w:pStyle w:val="TextBody"/>
        <w:bidi w:val="0"/>
        <w:spacing w:lineRule="auto" w:line="288" w:before="200" w:after="283"/>
        <w:jc w:val="both"/>
        <w:rPr/>
      </w:pPr>
      <w:r>
        <w:rPr>
          <w:rFonts w:ascii="Times New Roman;sans-serif" w:hAnsi="Times New Roman;sans-serif"/>
          <w:b w:val="false"/>
          <w:color w:val="000000"/>
          <w:sz w:val="20"/>
        </w:rPr>
        <w:t xml:space="preserve">Although we have not, as of the date of this Annual Report on Form 10-K, experienced a cybersecurity threat or incident that materially affected our business strategy, results of operations, or financial condition, there can be no guarantee that we will not experience such an incident in the future. For additional information regarding the risk we face from cybersecurity threats, see the risk factor entitled </w:t>
      </w:r>
      <w:r>
        <w:rPr>
          <w:color w:val="000000"/>
        </w:rPr>
        <w:t>“</w:t>
      </w:r>
      <w:r>
        <w:rPr>
          <w:rFonts w:ascii="Times New Roman;sans-serif" w:hAnsi="Times New Roman;sans-serif"/>
          <w:b w:val="false"/>
          <w:i/>
          <w:color w:val="000000"/>
          <w:sz w:val="20"/>
        </w:rPr>
        <w:t>System failure or cybersecurity breaches of our network security could subject us to increased operating costs as well as litigation, damage to our reputation, and other potential losses.”</w:t>
      </w:r>
      <w:r>
        <w:rPr>
          <w:color w:val="000000"/>
        </w:rPr>
        <w:t xml:space="preserve"> </w:t>
      </w:r>
      <w:r>
        <w:rPr>
          <w:rFonts w:ascii="Times New Roman;sans-serif" w:hAnsi="Times New Roman;sans-serif"/>
          <w:b w:val="false"/>
          <w:color w:val="000000"/>
          <w:sz w:val="20"/>
        </w:rPr>
        <w:t>included in Part I, Item 1A.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at 3100 Zinfandel Drive, Suite 100, Rancho Cordova, CA 95670. As of December 31, 2024, in addition to our corporate headquarters, which includes our Rancho Cordova branch, we operated seven other branch offices in Roseville, Natomas, Redding, Elk Grove, Chico, Yuba City, and San Francisco and one administrative office in Sacramento. We lease our corporate headquarters and all of our other offices. The lease on our corporate headquarters expires in 2026, and the leases on our branch offices and administrative office expire in 2026 through 2035. We believe that these facilities and additional or alternative space available to us are adequate to meet our needs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 Holders of Common Stock, and Dividends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no par value per share, is traded on the Nasdaq Global Select Market under the symbol “FSBC.” On February 25, 2025, there were 125 holders of record of the Company’s common stock. The actual number of stockholders is greater than this, as it would include stockholders who are beneficial owners but whose shares are held in street name by brokers and other nominees.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paid cash dividends on its common stock in every quarter since January 2002, with the exception of the third and fourth quarters of 2009 and all quarters of 2010. Prior to our IPO, we were treated as an S Corporation for U.S. federal income tax purposes, and as such, we paid distributions to our existing shareholders to assist them in paying the U.S. federal income taxes on our taxable income that was “passed through” to them, as well as additional amounts for returns on capital. Following the completion of our IPO, our dividend policy and practice has changed, as we are now taxed as a C Corporation and, therefore, no longer pay distributions to provide our shareholders with funds to pay U.S. federal income tax on their pro rata portion of our taxable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currently the intention of the board of directors of the Company to continue payment of cash dividends on a quarterly basis. There is no assurance, however, that any dividends will be paid since they are dependent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us to our shareholders or by the Bank to us, and such other factors as our board of directors may deem relevant. As of December 31, 2024, there was $94.6 million available for payment of dividends by the Bank to the Company, under applicable laws and regulations. For a discussion of dividend restrictions on our common stock, or of restrictions on dividends from the Company’s subsidiaries to the Company, see the sections entitled “Part I, Item 1. Business—Supervision and Regulation—Supervision and Regulation of the Company—Payment of Dividends and Stock Repurchases” and “Part I, Item 1. Business—Supervision and Regulation—Supervision and Regulation of the Bank—Payment of Dividends.”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“Part III, Item 12. Security Ownership of Certain Beneficial Owners and Management and Related Shareholder Matters.”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Proceeds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presents the cumulative total yearly shareholder return from investing $100 on May 5, 2021, the Company’s IPO date, in each of our common stock, the S&amp;P 500 Index, and the KBW Nasdaq Regional Banking Index. Total return assumes the reinvestment of all dividends.</w:t>
      </w:r>
    </w:p>
    <w:p>
      <w:pPr>
        <w:pStyle w:val="TextBody"/>
        <w:bidi w:val="0"/>
        <w:spacing w:before="240" w:after="283"/>
        <w:jc w:val="both"/>
        <w:rPr/>
      </w:pPr>
      <w:r>
        <w:rPr/>
        <w:drawing>
          <wp:inline distT="0" distB="0" distL="0" distR="0">
            <wp:extent cx="6286500" cy="3105150"/>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6286500" cy="31051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745"/>
        <w:gridCol w:w="628"/>
        <w:gridCol w:w="641"/>
        <w:gridCol w:w="109"/>
        <w:gridCol w:w="109"/>
        <w:gridCol w:w="109"/>
        <w:gridCol w:w="384"/>
        <w:gridCol w:w="359"/>
        <w:gridCol w:w="270"/>
        <w:gridCol w:w="109"/>
        <w:gridCol w:w="109"/>
        <w:gridCol w:w="109"/>
        <w:gridCol w:w="483"/>
        <w:gridCol w:w="441"/>
        <w:gridCol w:w="442"/>
        <w:gridCol w:w="109"/>
        <w:gridCol w:w="109"/>
        <w:gridCol w:w="109"/>
        <w:gridCol w:w="483"/>
        <w:gridCol w:w="441"/>
        <w:gridCol w:w="442"/>
        <w:gridCol w:w="109"/>
        <w:gridCol w:w="109"/>
        <w:gridCol w:w="109"/>
        <w:gridCol w:w="483"/>
        <w:gridCol w:w="441"/>
        <w:gridCol w:w="442"/>
        <w:gridCol w:w="109"/>
        <w:gridCol w:w="109"/>
        <w:gridCol w:w="109"/>
        <w:gridCol w:w="469"/>
        <w:gridCol w:w="400"/>
        <w:gridCol w:w="576"/>
      </w:tblGrid>
      <w:tr>
        <w:trPr/>
        <w:tc>
          <w:tcPr>
            <w:tcW w:w="74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 Ending</w:t>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May 5, 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125.24 </w:t>
            </w:r>
          </w:p>
        </w:tc>
        <w:tc>
          <w:tcPr>
            <w:tcW w:w="4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4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115.55 </w:t>
            </w:r>
          </w:p>
        </w:tc>
        <w:tc>
          <w:tcPr>
            <w:tcW w:w="4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137.10 </w:t>
            </w:r>
          </w:p>
        </w:tc>
        <w:tc>
          <w:tcPr>
            <w:tcW w:w="5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149.27 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KBW Nasdaq Regional Banking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presents management’s perspective on our financial condition and results of operations on a consolidated basis. However, because we conduct all of our material business operations through our bank subsidiary, Five Star Bank, the discussion and analysis relate to activities primarily conducted by the Bank. This discussion and analysis should be read in conjunction with the audited consolidated financial statements and the accompanying notes presented elsewhere in this Annual Report on Form 10-K. Average balances, including balances used in calculating certain financial ratios, are generally comprised of average daily balances.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“Part I, Item 1A. Risk Factors.” We assume no obligation to update any of these forward-looking statements, except to the extent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a comparison of the results of operations and changes in financial condition for the fiscal years ended December 31, 2024 and December 31, 2023. For a discussion of our financial results for the fiscal year ended December 31, 2022, see the section entitled “Part II, Item 7. Management’s Discussion and Analysis of Financial Condition and Results of Operations”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the greater Sacramento metropolitan area of California, Five Star Bancorp (“Bancorp” or the “Company”)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eight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December 31, 2024, we had total assets of $4.1 billion, total loans held for investment of $3.5 billion, and total deposits of $3.6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Business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our deposits and short-term borrowings is primarily based on short-term interest rates, which are largely driven by the Federal Reserve’s actions and market competition. The yields generated by our loans and securities are typically affected by short-term and long-term interest rates, which are driven by market competition and market rates often impacted by the Federal Reserve’s actions. The level of net interest income is influenced by movements in such interest rates and the pace at which such movements occur.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have risen significantly following the historically low levels during the COVID-19 pandemic. Due to elevated levels of inflation and corresponding pressure to raise interest rates, the Federal Reserve announced in January 2022 that it would be slowing the pace of its bond purchasing and increasing the target range for the federal funds rate over time. The Federal Open Market Committee (“FOMC”) then increased the target range eleven times throughout 2022 and 2023. During 2024, the Federal Reserve decreased the federal funds rate three times. As of December 31, 2024, the target range for the federal funds rate had been decreased to 4.25% to 4.50%, and the FOMC signaled that current economic data and the interest rate environment are more balanced, projecting two decreases in 2025, as part of a strategy to return inflation to normalized levels.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interest rates may be lowered over the next few years. Based on our liability sensitivity, a steepened yield curve could have a beneficial impact on our net interest income. Additionally, a continued flat yield curve would be expected to maintain our net interest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Factors Affecting Comparability of Financial Results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Corporation Status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at our inception, we elected to be taxed for U.S. federal income tax purposes as an S Corporation. In conjunction with our IPO, we filed consents from the requisite amount of our shareholders to revoke our S Corporation election with the IRS,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EPS data presented in our historical financial statements for periods prior to the termination of our S Corporation status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state income tax rate at a combined statutory rate of 29.11%.</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AAA of $31.9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deferred tax assets and liabilities were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year ended December 31, 2021.</w:t>
      </w:r>
    </w:p>
    <w:p>
      <w:pPr>
        <w:pStyle w:val="TextBody"/>
        <w:bidi w:val="0"/>
        <w:spacing w:lineRule="auto" w:line="288" w:before="240" w:after="283"/>
        <w:jc w:val="both"/>
        <w:rPr/>
      </w:pPr>
      <w:r>
        <w:rPr>
          <w:rFonts w:ascii="Times New Roman;sans-serif" w:hAnsi="Times New Roman;sans-serif"/>
          <w:b w:val="false"/>
          <w:i/>
          <w:color w:val="000000"/>
          <w:sz w:val="20"/>
        </w:rPr>
        <w:t>Allowance for Credit Losses (</w:t>
      </w:r>
      <w:r>
        <w:rPr>
          <w:color w:val="000000"/>
        </w:rPr>
        <w:t>“</w:t>
      </w:r>
      <w:r>
        <w:rPr>
          <w:rFonts w:ascii="Times New Roman;sans-serif" w:hAnsi="Times New Roman;sans-serif"/>
          <w:b w:val="false"/>
          <w:i/>
          <w:color w:val="000000"/>
          <w:sz w:val="20"/>
        </w:rPr>
        <w:t>ACL</w:t>
      </w:r>
      <w:r>
        <w:rPr>
          <w:color w:val="000000"/>
        </w:rPr>
        <w:t>”</w:t>
      </w:r>
      <w:r>
        <w:rPr>
          <w:rFonts w:ascii="Times New Roman;sans-serif" w:hAnsi="Times New Roman;sans-serif"/>
          <w:b w:val="false"/>
          <w:i/>
          <w:color w:val="000000"/>
          <w:sz w:val="20"/>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the Company adopted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continue to be recorded in other comprehensive income. Under the CECL model, the calculated allowance for credit losses was $5.3 million higher on January 1, 2023 than the allowance under the incurred loss model. For further information, please see Note 2, Recently Issued Accounting Standards, in the notes to our audited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accordance with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financial condition and results of operations. These policies and estimates are considered critical because they have a material impact, or they have the potential to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ACL represents the estimated probable credit losses in our loan and investment portfolios and is estimated as of December 31, 2024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 The most significant components of qualitative and environmental factors used to estimate the allowance for credit losses are adjustments relating to prevailing economic conditions, concentrations within the loan portfolio, and external factors. The prevailing economic conditions factor is estimated based on a range of potential economic conditions and is applied at both the portfolio and individual concentration level based on various factors. This estimate is subject to significant judgment and could potentially add $2.4 million based on existing loan balances, if not more, to the allowance for credit losses while using severely adverse economic conditions in the estimate. The concentrations within the loan portfolio factor is estimated based on concentrations at the loan pool level. This estimate is subject to significant judgment and could potentially add $9.4 million based on existing loan balances, if not more, to the allowance for credit losses while using a severely adverse market outlook for the specifically identified concentrations. The external factor is estimated based on current external factors, such as environmental factors, which could impact the loan portfolio. This estimate is subject to significant judgment and could potentially add $6.9 million based on existing loan balances, if not more, to the allowance for credit losses while using severely adverse external factors in the estimate.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twelve months ended December 31, 2024, we refined our methodology of measuring the ACL on three pools of loans: Multifamily, C&amp;I SBA, and CRE Non-Owner Occupied loans. Within the Multifamily pool, Manufactured Home Community (“MHC”) loans were segregated from traditional Multifamily as we identified a data source to provide sufficient historical peer loss data specific to MHC loans. This segregation now adjusts for differences in the risk characteristics and performance of MHCs compared to traditional Multifamily properties. Losses are estimated using a discounted cash flow analysis using individual probability of default and loss given default rates on a loan-by-loan basis. Applying this adjusted loss rate led to a decrease in the ACL for the MHC pool as of June 30, 2024 of approximately $5.8 million. During routine monitoring of charge-off activity within the C&amp;I SBA pool, we identified an increased level of charge-offs during the first six months of 2024, reflecting a change in the credit quality of the pool. In response to this, we increased the expected loss rates to be more in line with net charge-off rates during the first six months of 2024, as this time period reflects what is expected based on our current economic outlook for loans in the C&amp;I SBA pool. This adjustment reflects our estimate for future loss rates and increased the required reserves related to the C&amp;I SBA pool by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$4.6 million as of June 30, 2024. Within the CRE Non-Owner Occupied portfolio, RV Park loans were segregated from traditional CRE Non-Owner Occupied as we identified a data source to provide sufficient historical peer loss data specific to RV Park loans. This segregation now adjusts for differences in the risk characteristics and performance of RV Park loans compared to traditional CRE Non-Owner Occupied properties. We used calculations of individual probability of default and loss given default on a loan-by-loan basis to derive an estimated loss rate. Applying this adjusted loss rate led to a decrease in the ACL for the RV Park pool of approximately $3.3 million as of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focus is to continue to grow organically by leveraging our existing core competencies and positioning our business for success in the evolving banking landscape. In leveraging our core competencies, we intend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continue our organic lending growth in our market through our “purpose-driven and integrity-centered” approach to banking;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continue to focus on and grow each of the diverse industry clusters throughout our market areas;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build upon the strength of our brand to deepen and broaden client relationships and grow our deposit base;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attract additional banking professionals with track records of driving revenue growth;</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maintain our disciplined credit underwriting and robust risk management;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enhance our disciplined cost management culture;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leverage our technology platforms to improve our efficiency;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further engage in the economic development of our communities and market areas.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Highlights of the financial results are presented in the following tables:</w:t>
      </w:r>
    </w:p>
    <w:tbl>
      <w:tblPr>
        <w:tblW w:w="9173" w:type="dxa"/>
        <w:jc w:val="left"/>
        <w:tblInd w:w="0" w:type="dxa"/>
        <w:tblLayout w:type="fixed"/>
        <w:tblCellMar>
          <w:top w:w="28" w:type="dxa"/>
          <w:left w:w="28" w:type="dxa"/>
          <w:bottom w:w="28" w:type="dxa"/>
          <w:right w:w="28" w:type="dxa"/>
        </w:tblCellMar>
      </w:tblPr>
      <w:tblGrid>
        <w:gridCol w:w="1820"/>
        <w:gridCol w:w="1600"/>
        <w:gridCol w:w="1605"/>
        <w:gridCol w:w="109"/>
        <w:gridCol w:w="109"/>
        <w:gridCol w:w="109"/>
        <w:gridCol w:w="249"/>
        <w:gridCol w:w="1155"/>
        <w:gridCol w:w="320"/>
        <w:gridCol w:w="109"/>
        <w:gridCol w:w="109"/>
        <w:gridCol w:w="109"/>
        <w:gridCol w:w="248"/>
        <w:gridCol w:w="1150"/>
        <w:gridCol w:w="372"/>
      </w:tblGrid>
      <w:tr>
        <w:trPr/>
        <w:tc>
          <w:tcPr>
            <w:tcW w:w="182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917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 Highlights of Financial Results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4,053,278 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3,593,125 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3,532,686 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3,081,719 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3,557,994 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3,026,896 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subordinated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396,624 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285,774 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 quality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to 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17.53x</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to 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Capital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Tangible shareholders’ equity to tangible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tbl>
      <w:tblPr>
        <w:tblW w:w="8900" w:type="dxa"/>
        <w:jc w:val="left"/>
        <w:tblInd w:w="0" w:type="dxa"/>
        <w:tblLayout w:type="fixed"/>
        <w:tblCellMar>
          <w:top w:w="28" w:type="dxa"/>
          <w:left w:w="28" w:type="dxa"/>
          <w:bottom w:w="28" w:type="dxa"/>
          <w:right w:w="28" w:type="dxa"/>
        </w:tblCellMar>
      </w:tblPr>
      <w:tblGrid>
        <w:gridCol w:w="1672"/>
        <w:gridCol w:w="1469"/>
        <w:gridCol w:w="1479"/>
        <w:gridCol w:w="131"/>
        <w:gridCol w:w="131"/>
        <w:gridCol w:w="131"/>
        <w:gridCol w:w="278"/>
        <w:gridCol w:w="1090"/>
        <w:gridCol w:w="357"/>
        <w:gridCol w:w="131"/>
        <w:gridCol w:w="131"/>
        <w:gridCol w:w="131"/>
        <w:gridCol w:w="275"/>
        <w:gridCol w:w="1081"/>
        <w:gridCol w:w="413"/>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8900"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 Highlights of Financial Results (continued)</w:t>
            </w:r>
          </w:p>
        </w:tc>
      </w:tr>
      <w:tr>
        <w:trPr/>
        <w:tc>
          <w:tcPr>
            <w:tcW w:w="462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share and per share data)</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w:t>
            </w:r>
          </w:p>
        </w:tc>
      </w:tr>
      <w:tr>
        <w:trPr/>
        <w:tc>
          <w:tcPr>
            <w:tcW w:w="4620"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Selected operating data:</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Per common share data:</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 per share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Tangible book value per share</w:t>
            </w:r>
            <w:r>
              <w:rPr>
                <w:rFonts w:ascii="Times New Roman;sans-serif" w:hAnsi="Times New Roman;sans-serif"/>
                <w:b w:val="false"/>
                <w:color w:val="000000"/>
                <w:sz w:val="13"/>
              </w:rPr>
              <w:t>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Shares outstanding data:</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common shares outstanding</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20,154,385 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17,166,592 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common shares outstanding</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20,205,440 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17,187,969 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outstanding at end of period</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21,319,083 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17,256,989 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Performance and other financial ratios: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ROAA</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3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funds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Efficiency ratio</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equity to average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3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Cash dividend payout ratio on common stock</w:t>
            </w:r>
            <w:r>
              <w:rPr>
                <w:rFonts w:ascii="Times New Roman;sans-serif" w:hAnsi="Times New Roman;sans-serif"/>
                <w:b w:val="false"/>
                <w:color w:val="000000"/>
                <w:sz w:val="13"/>
              </w:rPr>
              <w:t>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hanging="54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Cash dividend payout ratio on common stock is calculated as dividends on common shares divided by basic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results of operations compares the year ended December 31, 2024 to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increased by $8.8 million, or 7.96%, for the year ended December 31, 2024, compared to the year ended December 31, 2023, while our net interest margin decreased 10 basis points during the same period. The increase in net interest income was primarily due to an increase in interest income driven by higher average balances and yields on loans, partially offset by an increase in interest expense due to higher average balances and rates on deposits. Additional detail relating to net interest margin in each period is provided below.</w:t>
      </w:r>
    </w:p>
    <w:p>
      <w:pPr>
        <w:pStyle w:val="TextBody"/>
        <w:bidi w:val="0"/>
        <w:spacing w:lineRule="auto" w:line="288" w:before="200" w:after="283"/>
        <w:jc w:val="both"/>
        <w:rPr/>
      </w:pPr>
      <w:r>
        <w:rPr>
          <w:rFonts w:ascii="Times New Roman;sans-serif" w:hAnsi="Times New Roman;sans-serif"/>
          <w:b w:val="false"/>
          <w:i/>
          <w:color w:val="000000"/>
          <w:sz w:val="20"/>
        </w:rPr>
        <w:t xml:space="preserve">Average balance sheet, interest, and yield/rate analysis. </w:t>
      </w:r>
      <w:r>
        <w:rPr>
          <w:rFonts w:ascii="Times New Roman;sans-serif" w:hAnsi="Times New Roman;sans-serif"/>
          <w:b w:val="false"/>
          <w:color w:val="000000"/>
          <w:sz w:val="20"/>
        </w:rPr>
        <w:t>Table 3 presents average balance sheet information, interest income, interest expense, and the corresponding average yield earned or rate paid for each period reported. The average balances are daily averages and include both performing and nonperforming loans.</w:t>
      </w:r>
    </w:p>
    <w:tbl>
      <w:tblPr>
        <w:tblW w:w="10239" w:type="dxa"/>
        <w:jc w:val="left"/>
        <w:tblInd w:w="0" w:type="dxa"/>
        <w:tblLayout w:type="fixed"/>
        <w:tblCellMar>
          <w:top w:w="28" w:type="dxa"/>
          <w:left w:w="28" w:type="dxa"/>
          <w:bottom w:w="28" w:type="dxa"/>
          <w:right w:w="28" w:type="dxa"/>
        </w:tblCellMar>
      </w:tblPr>
      <w:tblGrid>
        <w:gridCol w:w="695"/>
        <w:gridCol w:w="394"/>
        <w:gridCol w:w="307"/>
        <w:gridCol w:w="109"/>
        <w:gridCol w:w="109"/>
        <w:gridCol w:w="109"/>
        <w:gridCol w:w="211"/>
        <w:gridCol w:w="976"/>
        <w:gridCol w:w="109"/>
        <w:gridCol w:w="109"/>
        <w:gridCol w:w="109"/>
        <w:gridCol w:w="109"/>
        <w:gridCol w:w="211"/>
        <w:gridCol w:w="826"/>
        <w:gridCol w:w="109"/>
        <w:gridCol w:w="109"/>
        <w:gridCol w:w="109"/>
        <w:gridCol w:w="109"/>
        <w:gridCol w:w="327"/>
        <w:gridCol w:w="184"/>
        <w:gridCol w:w="458"/>
        <w:gridCol w:w="109"/>
        <w:gridCol w:w="109"/>
        <w:gridCol w:w="109"/>
        <w:gridCol w:w="211"/>
        <w:gridCol w:w="976"/>
        <w:gridCol w:w="109"/>
        <w:gridCol w:w="109"/>
        <w:gridCol w:w="109"/>
        <w:gridCol w:w="109"/>
        <w:gridCol w:w="211"/>
        <w:gridCol w:w="826"/>
        <w:gridCol w:w="109"/>
        <w:gridCol w:w="109"/>
        <w:gridCol w:w="109"/>
        <w:gridCol w:w="109"/>
        <w:gridCol w:w="334"/>
        <w:gridCol w:w="177"/>
        <w:gridCol w:w="517"/>
      </w:tblGrid>
      <w:tr>
        <w:trPr/>
        <w:tc>
          <w:tcPr>
            <w:tcW w:w="6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0239"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 Average Balances, Interest, and Yield/Rate</w:t>
            </w:r>
          </w:p>
        </w:tc>
      </w:tr>
      <w:tr>
        <w:trPr/>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Balance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Income/Expense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Balance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Income/Expense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Yield/Rate </w:t>
            </w:r>
          </w:p>
        </w:tc>
      </w:tr>
      <w:tr>
        <w:trPr/>
        <w:tc>
          <w:tcPr>
            <w:tcW w:w="13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Interest-earning deposits in banks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4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5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Investment securities</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4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Loans held for investment and sale</w:t>
            </w:r>
            <w:r>
              <w:rPr>
                <w:rFonts w:ascii="Times New Roman;sans-serif" w:hAnsi="Times New Roman;sans-serif"/>
                <w:b w:val="false"/>
                <w:color w:val="000000"/>
                <w:sz w:val="13"/>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Total interest-earning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Interest receivable and other assets, net</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Interest-bearing transaction accounts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Savings accounts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Money market accounts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Time accounts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Subordinated notes and other borrowings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4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2,182,379 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Net interest spread</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Net interest income/margin</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4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5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income/expense is divided by the actual number of days in the period multiplied by the actual number of days in the year to correspond to stated interest rate terms, where applicable.</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Yields on available-for-sale securities are calculated based on fair value. Investment security interest is earned on a 30/360 day basis monthly. Yields are not calculated on a tax-equivalent basis.</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Allowance for credit losses is included in interest receivable and other assets, net.</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Net interest spread represents the average yield earned on interest-earning assets minus the average rate paid on interest-bearing liabilities.</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Net interest margin is computed by calculating the difference between interest income and interest expense, divided by the average balance of interest-earning assets, then annualized based on the number of days in the given period.</w:t>
      </w:r>
    </w:p>
    <w:p>
      <w:pPr>
        <w:pStyle w:val="TextBody"/>
        <w:bidi w:val="0"/>
        <w:spacing w:lineRule="auto" w:line="288" w:before="200" w:after="283"/>
        <w:jc w:val="both"/>
        <w:rPr/>
      </w:pPr>
      <w:r>
        <w:rPr>
          <w:rFonts w:ascii="Times New Roman;sans-serif" w:hAnsi="Times New Roman;sans-serif"/>
          <w:b w:val="false"/>
          <w:i/>
          <w:color w:val="000000"/>
          <w:sz w:val="20"/>
        </w:rPr>
        <w:t xml:space="preserve">Analysis of changes in interest income and expenses. </w:t>
      </w:r>
      <w:r>
        <w:rPr>
          <w:rFonts w:ascii="Times New Roman;sans-serif" w:hAnsi="Times New Roman;sans-serif"/>
          <w:b w:val="false"/>
          <w:color w:val="000000"/>
          <w:sz w:val="20"/>
        </w:rPr>
        <w:t>Increases and decreases in interest income and interest expense result from changes in average 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tbl>
      <w:tblPr>
        <w:tblW w:w="7732" w:type="dxa"/>
        <w:jc w:val="left"/>
        <w:tblInd w:w="0" w:type="dxa"/>
        <w:tblLayout w:type="fixed"/>
        <w:tblCellMar>
          <w:top w:w="28" w:type="dxa"/>
          <w:left w:w="28" w:type="dxa"/>
          <w:bottom w:w="28" w:type="dxa"/>
          <w:right w:w="28" w:type="dxa"/>
        </w:tblCellMar>
      </w:tblPr>
      <w:tblGrid>
        <w:gridCol w:w="1255"/>
        <w:gridCol w:w="1102"/>
        <w:gridCol w:w="1107"/>
        <w:gridCol w:w="116"/>
        <w:gridCol w:w="116"/>
        <w:gridCol w:w="116"/>
        <w:gridCol w:w="224"/>
        <w:gridCol w:w="767"/>
        <w:gridCol w:w="116"/>
        <w:gridCol w:w="116"/>
        <w:gridCol w:w="116"/>
        <w:gridCol w:w="116"/>
        <w:gridCol w:w="224"/>
        <w:gridCol w:w="735"/>
        <w:gridCol w:w="116"/>
        <w:gridCol w:w="116"/>
        <w:gridCol w:w="116"/>
        <w:gridCol w:w="116"/>
        <w:gridCol w:w="224"/>
        <w:gridCol w:w="655"/>
        <w:gridCol w:w="163"/>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32"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 Interest Income and Expense Change Analysis</w:t>
            </w:r>
          </w:p>
        </w:tc>
      </w:tr>
      <w:tr>
        <w:trPr/>
        <w:tc>
          <w:tcPr>
            <w:tcW w:w="34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compared to </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the year ended December 31, 2023</w:t>
            </w:r>
          </w:p>
        </w:tc>
      </w:tr>
      <w:tr>
        <w:trPr/>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Variance due to</w:t>
            </w:r>
          </w:p>
        </w:tc>
      </w:tr>
      <w:tr>
        <w:trPr/>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Volume </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34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deposits with banks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and sale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32,569 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accounts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accounts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and other borrowings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interest income/margin</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11,637 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during the year ended December 31, 2024 increased $8.8 million, or 7.96%, to $119.7 million compared to $110.9 million during the year ended December 31, 2023. Net interest margin totaled 3.32% for the year ended December 31, 2024, a decrease of 10 basis points compared to the prior year. The increase in net interest income is primarily attributable to an additional $30.6 million in loan interest income due to a $336.3 million, or 11.41%, increase in the average balance of loans and a 37 basis point improvement in the average yield on loans as compared to the prior year. The increase in interest income was partially offset by an additional $24.5 million in deposit interest expense due to a $293.4 million, or 10.00%, increase in the average balance of deposits and a 58 basis point increase in the average cost of deposits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credit losses inherent in our loan portfolio at the balance sheet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2023, we adopted ASC 326, which replaced the former “incurred loss” model for recognizing credit losses with an “expected loss” model referred to as the CECL model. The CECL model calculates reserves over the life of a financial instrument and is largely driven by portfolio characteristics, economic outlook, and other key methodology assumptions. Under the CECL model, the calculated allowance for credit losses was $5.3 million higher on January 1, 2023 than the allowance under the incurred loss model.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$7.0 million provision for credit losses in the year ended December 31, 2024, compared to a $4.0 million provision for credit losses for the year ended December 31, 2023. The provision for credit losses increased $3.0 million, or 73.75%, primarily due to loan growth as loan originations in the year ended December 31, 2024 were almost double those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5 details the components of non-interest income for the periods indicated.</w:t>
      </w:r>
    </w:p>
    <w:tbl>
      <w:tblPr>
        <w:tblW w:w="10205" w:type="dxa"/>
        <w:jc w:val="left"/>
        <w:tblInd w:w="0" w:type="dxa"/>
        <w:tblLayout w:type="fixed"/>
        <w:tblCellMar>
          <w:top w:w="28" w:type="dxa"/>
          <w:left w:w="28" w:type="dxa"/>
          <w:bottom w:w="28" w:type="dxa"/>
          <w:right w:w="28" w:type="dxa"/>
        </w:tblCellMar>
      </w:tblPr>
      <w:tblGrid>
        <w:gridCol w:w="1100"/>
        <w:gridCol w:w="965"/>
        <w:gridCol w:w="969"/>
        <w:gridCol w:w="109"/>
        <w:gridCol w:w="109"/>
        <w:gridCol w:w="109"/>
        <w:gridCol w:w="386"/>
        <w:gridCol w:w="1132"/>
        <w:gridCol w:w="201"/>
        <w:gridCol w:w="109"/>
        <w:gridCol w:w="109"/>
        <w:gridCol w:w="109"/>
        <w:gridCol w:w="386"/>
        <w:gridCol w:w="1132"/>
        <w:gridCol w:w="201"/>
        <w:gridCol w:w="109"/>
        <w:gridCol w:w="109"/>
        <w:gridCol w:w="109"/>
        <w:gridCol w:w="211"/>
        <w:gridCol w:w="690"/>
        <w:gridCol w:w="109"/>
        <w:gridCol w:w="109"/>
        <w:gridCol w:w="109"/>
        <w:gridCol w:w="109"/>
        <w:gridCol w:w="397"/>
        <w:gridCol w:w="397"/>
        <w:gridCol w:w="621"/>
      </w:tblGrid>
      <w:tr>
        <w:trPr/>
        <w:tc>
          <w:tcPr>
            <w:tcW w:w="1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5: Non-interest Income</w:t>
            </w:r>
          </w:p>
        </w:tc>
      </w:tr>
      <w:tr>
        <w:trPr/>
        <w:tc>
          <w:tcPr>
            <w:tcW w:w="30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0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on deposit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sale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6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w:t>
            </w:r>
          </w:p>
        </w:tc>
        <w:tc>
          <w:tcPr>
            <w:tcW w:w="6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6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6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on BOLI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6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w:t>
            </w:r>
          </w:p>
        </w:tc>
        <w:tc>
          <w:tcPr>
            <w:tcW w:w="6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6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60"/>
        <w:jc w:val="both"/>
        <w:rPr/>
      </w:pPr>
      <w:r>
        <w:rPr>
          <w:rFonts w:ascii="Times New Roman;sans-serif" w:hAnsi="Times New Roman;sans-serif"/>
          <w:b w:val="false"/>
          <w:i/>
          <w:color w:val="000000"/>
          <w:sz w:val="20"/>
        </w:rPr>
        <w:t xml:space="preserve">Service charges on deposit accounts. </w:t>
      </w:r>
      <w:r>
        <w:rPr>
          <w:rFonts w:ascii="Times New Roman;sans-serif" w:hAnsi="Times New Roman;sans-serif"/>
          <w:b w:val="false"/>
          <w:color w:val="000000"/>
          <w:sz w:val="20"/>
        </w:rPr>
        <w:t>The increase resulted primarily from a $0.2 million increase in wire transfer fees recognized, partially offset by a small decrease in other fees recognized during the year ended December 31, 2024 compared to the year ended December 31, 2023.</w:t>
      </w:r>
    </w:p>
    <w:p>
      <w:pPr>
        <w:pStyle w:val="TextBody"/>
        <w:bidi w:val="0"/>
        <w:spacing w:lineRule="auto" w:line="288" w:before="200" w:after="160"/>
        <w:jc w:val="both"/>
        <w:rPr/>
      </w:pPr>
      <w:r>
        <w:rPr>
          <w:rFonts w:ascii="Times New Roman;sans-serif" w:hAnsi="Times New Roman;sans-serif"/>
          <w:b w:val="false"/>
          <w:i/>
          <w:color w:val="000000"/>
          <w:sz w:val="20"/>
        </w:rPr>
        <w:t xml:space="preserve">Net gain (loss) on sale of securities. </w:t>
      </w:r>
      <w:r>
        <w:rPr>
          <w:rFonts w:ascii="Times New Roman;sans-serif" w:hAnsi="Times New Roman;sans-serif"/>
          <w:b w:val="false"/>
          <w:color w:val="000000"/>
          <w:sz w:val="20"/>
        </w:rPr>
        <w:t>The decrease in the net loss on sale of securities resulted from the sale of two municipal securities with a par value of approximately $0.8 million for a loss of approximately $0.2 million during the year ended December 31, 2023, with no sales occurring during the year ended December 31, 2024.</w:t>
      </w:r>
    </w:p>
    <w:p>
      <w:pPr>
        <w:pStyle w:val="TextBody"/>
        <w:bidi w:val="0"/>
        <w:spacing w:lineRule="auto" w:line="288" w:before="200" w:after="160"/>
        <w:jc w:val="both"/>
        <w:rPr/>
      </w:pPr>
      <w:r>
        <w:rPr>
          <w:rFonts w:ascii="Times New Roman;sans-serif" w:hAnsi="Times New Roman;sans-serif"/>
          <w:b w:val="false"/>
          <w:i/>
          <w:color w:val="000000"/>
          <w:sz w:val="20"/>
        </w:rPr>
        <w:t>Gain on sale of loans.</w:t>
      </w:r>
      <w:r>
        <w:rPr>
          <w:color w:val="000000"/>
        </w:rPr>
        <w:t xml:space="preserve"> </w:t>
      </w:r>
      <w:r>
        <w:rPr>
          <w:rFonts w:ascii="Times New Roman;sans-serif" w:hAnsi="Times New Roman;sans-serif"/>
          <w:b w:val="false"/>
          <w:color w:val="000000"/>
          <w:sz w:val="20"/>
        </w:rPr>
        <w:t>The decrease related primarily to an overall decline in the volume of loans sold during the year ended December 31, 2024 compared to the year ended December 31, 2023. During the year ended December 31, 2024, 56 SBA 7(a) loans with government guaranteed portions totaling approximately $18.3 million were sold with an effective yield of 6.96%, as compared to approximately $36.5 million of loans sold with an effective yield of 5.35% during the year ended December 31, 2023.</w:t>
      </w:r>
    </w:p>
    <w:p>
      <w:pPr>
        <w:pStyle w:val="TextBody"/>
        <w:bidi w:val="0"/>
        <w:spacing w:lineRule="auto" w:line="288" w:before="200" w:after="160"/>
        <w:jc w:val="both"/>
        <w:rPr/>
      </w:pPr>
      <w:r>
        <w:rPr>
          <w:rFonts w:ascii="Times New Roman;sans-serif" w:hAnsi="Times New Roman;sans-serif"/>
          <w:b w:val="false"/>
          <w:i/>
          <w:color w:val="000000"/>
          <w:sz w:val="20"/>
        </w:rPr>
        <w:t>Loan-related fees.</w:t>
      </w:r>
      <w:r>
        <w:rPr>
          <w:color w:val="000000"/>
        </w:rPr>
        <w:t xml:space="preserve"> </w:t>
      </w:r>
      <w:r>
        <w:rPr>
          <w:rFonts w:ascii="Times New Roman;sans-serif" w:hAnsi="Times New Roman;sans-serif"/>
          <w:b w:val="false"/>
          <w:color w:val="000000"/>
          <w:sz w:val="20"/>
        </w:rPr>
        <w:t xml:space="preserve">The decrease was primarily a result of a $0.2 million net decrease in income earned from the credit card program, partially offset by a small increase in loan fee income earned on various loan types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60"/>
        <w:jc w:val="both"/>
        <w:rPr/>
      </w:pPr>
      <w:r>
        <w:rPr>
          <w:rFonts w:ascii="Times New Roman;sans-serif" w:hAnsi="Times New Roman;sans-serif"/>
          <w:b w:val="false"/>
          <w:i/>
          <w:color w:val="000000"/>
          <w:sz w:val="20"/>
        </w:rPr>
        <w:t>FHLB stock dividends</w:t>
      </w:r>
      <w:r>
        <w:rPr>
          <w:rFonts w:ascii="Times New Roman;sans-serif" w:hAnsi="Times New Roman;sans-serif"/>
          <w:b w:val="false"/>
          <w:color w:val="000000"/>
          <w:sz w:val="20"/>
        </w:rPr>
        <w:t>. The increase primarily relates to a 50 basis point increase in the annualized dividend rate earned year-over-year, while the average shares outstanding remained consistent.</w:t>
      </w:r>
    </w:p>
    <w:p>
      <w:pPr>
        <w:pStyle w:val="TextBody"/>
        <w:bidi w:val="0"/>
        <w:spacing w:lineRule="auto" w:line="288" w:before="200" w:after="160"/>
        <w:jc w:val="both"/>
        <w:rPr/>
      </w:pPr>
      <w:r>
        <w:rPr>
          <w:rFonts w:ascii="Times New Roman;sans-serif" w:hAnsi="Times New Roman;sans-serif"/>
          <w:b w:val="false"/>
          <w:i/>
          <w:color w:val="000000"/>
          <w:sz w:val="20"/>
        </w:rPr>
        <w:t>Earnings on BOLI</w:t>
      </w:r>
      <w:r>
        <w:rPr>
          <w:rFonts w:ascii="Times New Roman;sans-serif" w:hAnsi="Times New Roman;sans-serif"/>
          <w:b w:val="false"/>
          <w:color w:val="000000"/>
          <w:sz w:val="20"/>
        </w:rPr>
        <w:t>. The increase was primarily due to additional policies purchased between December 31, 2024 and December 31, 2023.</w:t>
      </w:r>
    </w:p>
    <w:p>
      <w:pPr>
        <w:pStyle w:val="TextBody"/>
        <w:bidi w:val="0"/>
        <w:spacing w:lineRule="auto" w:line="288" w:before="200" w:after="200"/>
        <w:jc w:val="both"/>
        <w:rPr/>
      </w:pPr>
      <w:r>
        <w:rPr>
          <w:rFonts w:ascii="Times New Roman;sans-serif" w:hAnsi="Times New Roman;sans-serif"/>
          <w:b w:val="false"/>
          <w:i/>
          <w:color w:val="000000"/>
          <w:sz w:val="20"/>
        </w:rPr>
        <w:t>Other income</w:t>
      </w:r>
      <w:r>
        <w:rPr>
          <w:rFonts w:ascii="Times New Roman;sans-serif" w:hAnsi="Times New Roman;sans-serif"/>
          <w:b w:val="false"/>
          <w:color w:val="000000"/>
          <w:sz w:val="20"/>
        </w:rPr>
        <w:t>. The decrease resulted primarily from $0.5 million in income received on equity investments in venture-backed funds during the year ended December 31, 2024, as compared to $1.7 million in income received on equity investments in venture-backed funds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Non-interest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6 details the components of non-interest expense for the periods indicated.</w:t>
      </w:r>
    </w:p>
    <w:tbl>
      <w:tblPr>
        <w:tblW w:w="9547"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349"/>
        <w:gridCol w:w="1195"/>
        <w:gridCol w:w="180"/>
        <w:gridCol w:w="109"/>
        <w:gridCol w:w="109"/>
        <w:gridCol w:w="109"/>
        <w:gridCol w:w="349"/>
        <w:gridCol w:w="1195"/>
        <w:gridCol w:w="180"/>
        <w:gridCol w:w="109"/>
        <w:gridCol w:w="109"/>
        <w:gridCol w:w="109"/>
        <w:gridCol w:w="211"/>
        <w:gridCol w:w="616"/>
        <w:gridCol w:w="109"/>
        <w:gridCol w:w="109"/>
        <w:gridCol w:w="109"/>
        <w:gridCol w:w="109"/>
        <w:gridCol w:w="308"/>
        <w:gridCol w:w="308"/>
        <w:gridCol w:w="61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547"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6: Non-interest Expense</w:t>
            </w:r>
          </w:p>
        </w:tc>
      </w:tr>
      <w:tr>
        <w:trPr/>
        <w:tc>
          <w:tcPr>
            <w:tcW w:w="26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27,097 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54,493 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47,775 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6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60"/>
        <w:jc w:val="both"/>
        <w:rPr/>
      </w:pPr>
      <w:r>
        <w:rPr>
          <w:rFonts w:ascii="Times New Roman;sans-serif" w:hAnsi="Times New Roman;sans-serif"/>
          <w:b w:val="false"/>
          <w:i/>
          <w:color w:val="000000"/>
          <w:sz w:val="20"/>
        </w:rPr>
        <w:t>Salaries and employee benefits.</w:t>
      </w:r>
      <w:r>
        <w:rPr>
          <w:color w:val="000000"/>
        </w:rPr>
        <w:t xml:space="preserve"> </w:t>
      </w:r>
      <w:r>
        <w:rPr>
          <w:rFonts w:ascii="Times New Roman;sans-serif" w:hAnsi="Times New Roman;sans-serif"/>
          <w:b w:val="false"/>
          <w:color w:val="000000"/>
          <w:sz w:val="20"/>
        </w:rPr>
        <w:t>The increase was the result of: (i) a $3.5 million increase in salaries, benefits, and bonuses, of which approximately $3.3 million related to employees hired to support expansion into the San Francisco Bay Area; and (ii) a $1.4 million increase in commissions paid, primarily to employees in the San Francisco Bay Area. The increase was partially offset by a $0.3 million increase in loan origination costs due to higher loan production, net of purchased consumer loans, period-over-period.</w:t>
      </w:r>
    </w:p>
    <w:p>
      <w:pPr>
        <w:pStyle w:val="TextBody"/>
        <w:bidi w:val="0"/>
        <w:spacing w:lineRule="auto" w:line="288" w:before="200" w:after="160"/>
        <w:jc w:val="both"/>
        <w:rPr/>
      </w:pPr>
      <w:r>
        <w:rPr>
          <w:rFonts w:ascii="Times New Roman;sans-serif" w:hAnsi="Times New Roman;sans-serif"/>
          <w:b w:val="false"/>
          <w:i/>
          <w:color w:val="000000"/>
          <w:sz w:val="20"/>
        </w:rPr>
        <w:t>Occupancy and equipment</w:t>
      </w:r>
      <w:r>
        <w:rPr>
          <w:rFonts w:ascii="Times New Roman;sans-serif" w:hAnsi="Times New Roman;sans-serif"/>
          <w:b w:val="false"/>
          <w:color w:val="000000"/>
          <w:sz w:val="20"/>
        </w:rPr>
        <w:t>. The increase related to rent expense for the San Francisco branch office and a new office lease to support back office staff during the year ended December 31, 2024, which did not exist for the full year ended December 31, 2023.</w:t>
      </w:r>
    </w:p>
    <w:p>
      <w:pPr>
        <w:pStyle w:val="TextBody"/>
        <w:bidi w:val="0"/>
        <w:spacing w:lineRule="auto" w:line="288" w:before="200" w:after="160"/>
        <w:jc w:val="both"/>
        <w:rPr/>
      </w:pPr>
      <w:r>
        <w:rPr>
          <w:rFonts w:ascii="Times New Roman;sans-serif" w:hAnsi="Times New Roman;sans-serif"/>
          <w:b w:val="false"/>
          <w:i/>
          <w:color w:val="000000"/>
          <w:sz w:val="20"/>
        </w:rPr>
        <w:t>Data processing and software</w:t>
      </w:r>
      <w:r>
        <w:rPr>
          <w:rFonts w:ascii="Times New Roman;sans-serif" w:hAnsi="Times New Roman;sans-serif"/>
          <w:b w:val="false"/>
          <w:color w:val="000000"/>
          <w:sz w:val="20"/>
        </w:rPr>
        <w:t>. The increase related to: (i) increased usage of our digital banking platform; (ii) higher transaction volumes related to the increased number of loan and deposit accounts; and (iii) an increased number of licenses required for new users on our loan origination and documentation system.</w:t>
      </w:r>
    </w:p>
    <w:p>
      <w:pPr>
        <w:pStyle w:val="TextBody"/>
        <w:bidi w:val="0"/>
        <w:spacing w:lineRule="auto" w:line="288" w:before="200" w:after="160"/>
        <w:jc w:val="both"/>
        <w:rPr/>
      </w:pPr>
      <w:r>
        <w:rPr>
          <w:rFonts w:ascii="Times New Roman;sans-serif" w:hAnsi="Times New Roman;sans-serif"/>
          <w:b w:val="false"/>
          <w:i/>
          <w:color w:val="000000"/>
          <w:sz w:val="20"/>
        </w:rPr>
        <w:t xml:space="preserve">Professional services. </w:t>
      </w:r>
      <w:r>
        <w:rPr>
          <w:rFonts w:ascii="Times New Roman;sans-serif" w:hAnsi="Times New Roman;sans-serif"/>
          <w:b w:val="false"/>
          <w:color w:val="000000"/>
          <w:sz w:val="20"/>
        </w:rPr>
        <w:t>The increase was due to an increase in audit, IT support, and other consulting fees for services provided for the year ended December 31, 2024 compared to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pPr>
      <w:r>
        <w:rPr>
          <w:rFonts w:ascii="Times New Roman;sans-serif" w:hAnsi="Times New Roman;sans-serif"/>
          <w:b w:val="false"/>
          <w:i/>
          <w:color w:val="000000"/>
          <w:sz w:val="20"/>
        </w:rPr>
        <w:t>Other operating expenses</w:t>
      </w:r>
      <w:r>
        <w:rPr>
          <w:rFonts w:ascii="Times New Roman;sans-serif" w:hAnsi="Times New Roman;sans-serif"/>
          <w:b w:val="false"/>
          <w:color w:val="000000"/>
          <w:sz w:val="20"/>
        </w:rPr>
        <w:t>. The increase is primarily related to a $0.2 million increase in IntraFi Network fees resulting from an overall increase in balances carried in the network, partially offset by a $0.1 million decrease in conference and training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increased by $0.2 million, or 0.89%, to $19.1 million for the year ended December 31, 2024, compared to $18.9 million for the year ended December 31, 2023. This increase is due to a $0.6 million provision to return true-up recorded during the year ended December 31, 2024, partially offset by a decline in taxable income year-over-year. The effective tax rate was 29.43% and 28.34% for the years ended December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CONDITION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compares our financial condition as of December 31, 2024 to our financial condition as of December 31, 2023. Table 7 summarizes selected components of our consolidated balance sheet as of December 31, 2024 and December 31, 2023.</w:t>
      </w:r>
    </w:p>
    <w:tbl>
      <w:tblPr>
        <w:tblW w:w="7041" w:type="dxa"/>
        <w:jc w:val="left"/>
        <w:tblInd w:w="0" w:type="dxa"/>
        <w:tblLayout w:type="fixed"/>
        <w:tblCellMar>
          <w:top w:w="28" w:type="dxa"/>
          <w:left w:w="28" w:type="dxa"/>
          <w:bottom w:w="28" w:type="dxa"/>
          <w:right w:w="28" w:type="dxa"/>
        </w:tblCellMar>
      </w:tblPr>
      <w:tblGrid>
        <w:gridCol w:w="820"/>
        <w:gridCol w:w="721"/>
        <w:gridCol w:w="723"/>
        <w:gridCol w:w="158"/>
        <w:gridCol w:w="158"/>
        <w:gridCol w:w="158"/>
        <w:gridCol w:w="306"/>
        <w:gridCol w:w="1418"/>
        <w:gridCol w:w="158"/>
        <w:gridCol w:w="158"/>
        <w:gridCol w:w="158"/>
        <w:gridCol w:w="158"/>
        <w:gridCol w:w="306"/>
        <w:gridCol w:w="1418"/>
        <w:gridCol w:w="22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041"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7: Selected Components of Consolidated Balance Sheets</w:t>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4,053,278 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3,593,125 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321,576 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3,532,686 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3,026,896 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net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285,774 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Total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total assets were $4.1 billion, an increase of $460.2 million from $3.6 billion at December 31, 2023, primarily due to a $451.0 million increase in total loans held for investment and a $30.8 million increase in cash and cash equivalents, partially offset by a $10.2 million decrease in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were $352.3 million at December 31, 2024, an increase of $30.8 million from $321.6 million at December 31, 2023. The increase in cash and cash equivalents was primarily due to increases in deposits of $531.1 million, $80.9 million in net proceeds from the 2024 Public Offering (as defined below), and pre-tax income of $64.7 million, partially offset by loan originations, net of repayments, of $442.8 million and a decrease in borrowings of $170.0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Investment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securities available-for-sale and held-to-maturity amounted to $100.9 million at December 31, 2024 and $111.2 million at December 31, 2023, a decrease of $10.2 million year-over-year. The decrease was primarily due to principal paydowns and amortization of $9.0 million, partially offset by an improvement in the unrealized loss on securities of $0.9 million, primarily in our municipal securities portfolios. The improvement in the unrealized loss was recognized as a result of interest rate decreases that occurred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8 presents the carrying value of our securities by their stated maturities, as well as the weighted average yields for each maturity range, as of the dates shown.</w:t>
      </w:r>
    </w:p>
    <w:tbl>
      <w:tblPr>
        <w:tblW w:w="15067" w:type="dxa"/>
        <w:jc w:val="left"/>
        <w:tblInd w:w="0" w:type="dxa"/>
        <w:tblLayout w:type="fixed"/>
        <w:tblCellMar>
          <w:top w:w="28" w:type="dxa"/>
          <w:left w:w="28" w:type="dxa"/>
          <w:bottom w:w="28" w:type="dxa"/>
          <w:right w:w="28" w:type="dxa"/>
        </w:tblCellMar>
      </w:tblPr>
      <w:tblGrid>
        <w:gridCol w:w="695"/>
        <w:gridCol w:w="574"/>
        <w:gridCol w:w="307"/>
        <w:gridCol w:w="109"/>
        <w:gridCol w:w="109"/>
        <w:gridCol w:w="109"/>
        <w:gridCol w:w="264"/>
        <w:gridCol w:w="528"/>
        <w:gridCol w:w="109"/>
        <w:gridCol w:w="109"/>
        <w:gridCol w:w="109"/>
        <w:gridCol w:w="109"/>
        <w:gridCol w:w="307"/>
        <w:gridCol w:w="204"/>
        <w:gridCol w:w="508"/>
        <w:gridCol w:w="109"/>
        <w:gridCol w:w="109"/>
        <w:gridCol w:w="109"/>
        <w:gridCol w:w="211"/>
        <w:gridCol w:w="616"/>
        <w:gridCol w:w="109"/>
        <w:gridCol w:w="109"/>
        <w:gridCol w:w="109"/>
        <w:gridCol w:w="109"/>
        <w:gridCol w:w="307"/>
        <w:gridCol w:w="204"/>
        <w:gridCol w:w="508"/>
        <w:gridCol w:w="109"/>
        <w:gridCol w:w="109"/>
        <w:gridCol w:w="109"/>
        <w:gridCol w:w="211"/>
        <w:gridCol w:w="721"/>
        <w:gridCol w:w="109"/>
        <w:gridCol w:w="109"/>
        <w:gridCol w:w="109"/>
        <w:gridCol w:w="109"/>
        <w:gridCol w:w="307"/>
        <w:gridCol w:w="204"/>
        <w:gridCol w:w="508"/>
        <w:gridCol w:w="109"/>
        <w:gridCol w:w="109"/>
        <w:gridCol w:w="109"/>
        <w:gridCol w:w="211"/>
        <w:gridCol w:w="721"/>
        <w:gridCol w:w="109"/>
        <w:gridCol w:w="109"/>
        <w:gridCol w:w="109"/>
        <w:gridCol w:w="109"/>
        <w:gridCol w:w="307"/>
        <w:gridCol w:w="204"/>
        <w:gridCol w:w="508"/>
        <w:gridCol w:w="109"/>
        <w:gridCol w:w="109"/>
        <w:gridCol w:w="109"/>
        <w:gridCol w:w="211"/>
        <w:gridCol w:w="826"/>
        <w:gridCol w:w="109"/>
        <w:gridCol w:w="109"/>
        <w:gridCol w:w="109"/>
        <w:gridCol w:w="109"/>
        <w:gridCol w:w="315"/>
        <w:gridCol w:w="196"/>
        <w:gridCol w:w="569"/>
      </w:tblGrid>
      <w:tr>
        <w:trPr/>
        <w:tc>
          <w:tcPr>
            <w:tcW w:w="69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5067" w:type="dxa"/>
            <w:gridSpan w:val="6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8: Stated Maturities and Weighted Average Yields - Investment Securities</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Due 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Yield</w:t>
            </w:r>
          </w:p>
        </w:tc>
      </w:tr>
      <w:tr>
        <w:trPr/>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Loan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December 31, 2024 and 2023, our total loans amounted to $3.5 billion and $3.1 billion, respectively. Table 9 presents the balance and associated percentage of each major product type within our portfolio as of the dates indicated.</w:t>
      </w:r>
    </w:p>
    <w:tbl>
      <w:tblPr>
        <w:tblW w:w="9581" w:type="dxa"/>
        <w:jc w:val="left"/>
        <w:tblInd w:w="0" w:type="dxa"/>
        <w:tblLayout w:type="fixed"/>
        <w:tblCellMar>
          <w:top w:w="28" w:type="dxa"/>
          <w:left w:w="28" w:type="dxa"/>
          <w:bottom w:w="28" w:type="dxa"/>
          <w:right w:w="28" w:type="dxa"/>
        </w:tblCellMar>
      </w:tblPr>
      <w:tblGrid>
        <w:gridCol w:w="1075"/>
        <w:gridCol w:w="946"/>
        <w:gridCol w:w="948"/>
        <w:gridCol w:w="109"/>
        <w:gridCol w:w="109"/>
        <w:gridCol w:w="109"/>
        <w:gridCol w:w="211"/>
        <w:gridCol w:w="976"/>
        <w:gridCol w:w="109"/>
        <w:gridCol w:w="109"/>
        <w:gridCol w:w="109"/>
        <w:gridCol w:w="109"/>
        <w:gridCol w:w="360"/>
        <w:gridCol w:w="361"/>
        <w:gridCol w:w="601"/>
        <w:gridCol w:w="109"/>
        <w:gridCol w:w="109"/>
        <w:gridCol w:w="109"/>
        <w:gridCol w:w="211"/>
        <w:gridCol w:w="976"/>
        <w:gridCol w:w="109"/>
        <w:gridCol w:w="109"/>
        <w:gridCol w:w="109"/>
        <w:gridCol w:w="109"/>
        <w:gridCol w:w="360"/>
        <w:gridCol w:w="361"/>
        <w:gridCol w:w="669"/>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9581" w:type="dxa"/>
            <w:gridSpan w:val="27"/>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9: Loans Outstanding</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96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of Loans</w:t>
            </w:r>
          </w:p>
        </w:tc>
      </w:tr>
      <w:tr>
        <w:trPr/>
        <w:tc>
          <w:tcPr>
            <w:tcW w:w="29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80.75 </w:t>
            </w:r>
          </w:p>
        </w:tc>
        <w:tc>
          <w:tcPr>
            <w:tcW w:w="6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6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6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6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6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6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6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6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6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6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6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6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3,534,606 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99.91 </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3,083,976 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6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3,095,440 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loan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3,535,933 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3,093,183 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and construction real estate loans consist of loans secured by single-family and multifamily residential properties, which are both owner-occupied and investor-owned.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Farmland loans consist of loans used to purchase, refinance, or improve farmland secured by farming properties themselves. The farmland is generally located in or near our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and other loans consist primarily of loans purchased in a loan purchase program with a non-bank lender, generally made to professionals for the purpose of large personal or household purchases. The loans are unsecured, fixed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rate loans. Consumer and other loans also include loans purchased or originated through financing partnerships which are no longer active.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10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may be obtained for loans that are downgraded to watch or substandard. Loans over $2.0 million are reviewed annually, at which time an internal assessment of collateral values is completed.</w:t>
      </w:r>
    </w:p>
    <w:tbl>
      <w:tblPr>
        <w:tblW w:w="10205" w:type="dxa"/>
        <w:jc w:val="left"/>
        <w:tblInd w:w="0" w:type="dxa"/>
        <w:tblLayout w:type="fixed"/>
        <w:tblCellMar>
          <w:top w:w="28" w:type="dxa"/>
          <w:left w:w="28" w:type="dxa"/>
          <w:bottom w:w="28" w:type="dxa"/>
          <w:right w:w="28" w:type="dxa"/>
        </w:tblCellMar>
      </w:tblPr>
      <w:tblGrid>
        <w:gridCol w:w="730"/>
        <w:gridCol w:w="442"/>
        <w:gridCol w:w="444"/>
        <w:gridCol w:w="109"/>
        <w:gridCol w:w="109"/>
        <w:gridCol w:w="109"/>
        <w:gridCol w:w="211"/>
        <w:gridCol w:w="976"/>
        <w:gridCol w:w="109"/>
        <w:gridCol w:w="109"/>
        <w:gridCol w:w="109"/>
        <w:gridCol w:w="109"/>
        <w:gridCol w:w="492"/>
        <w:gridCol w:w="342"/>
        <w:gridCol w:w="851"/>
        <w:gridCol w:w="109"/>
        <w:gridCol w:w="109"/>
        <w:gridCol w:w="109"/>
        <w:gridCol w:w="219"/>
        <w:gridCol w:w="1016"/>
        <w:gridCol w:w="113"/>
        <w:gridCol w:w="109"/>
        <w:gridCol w:w="109"/>
        <w:gridCol w:w="109"/>
        <w:gridCol w:w="319"/>
        <w:gridCol w:w="302"/>
        <w:gridCol w:w="592"/>
        <w:gridCol w:w="109"/>
        <w:gridCol w:w="109"/>
        <w:gridCol w:w="109"/>
        <w:gridCol w:w="364"/>
        <w:gridCol w:w="357"/>
        <w:gridCol w:w="691"/>
      </w:tblGrid>
      <w:tr>
        <w:trPr/>
        <w:tc>
          <w:tcPr>
            <w:tcW w:w="7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10: Commercial Real Estate Loans</w:t>
            </w:r>
          </w:p>
        </w:tc>
      </w:tr>
      <w:tr>
        <w:trPr/>
        <w:tc>
          <w:tcPr>
            <w:tcW w:w="16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Commercial Real Estate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Minimum LTV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Maximum LTV </w:t>
            </w:r>
          </w:p>
        </w:tc>
      </w:tr>
      <w:tr>
        <w:trPr/>
        <w:tc>
          <w:tcPr>
            <w:tcW w:w="16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Manufactured home community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RV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Faith-based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 storage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All other types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8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5,723,024 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Manufactured home community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RV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Faith-based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 storage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5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73.52 </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All other types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2,685,419 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8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5,318,047 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Types of collateral in the “all other types” category are those that individually make up less than 5.00% of the commercial real estate concentration.</w:t>
      </w:r>
    </w:p>
    <w:p>
      <w:pPr>
        <w:pStyle w:val="TextBody"/>
        <w:bidi w:val="0"/>
        <w:spacing w:lineRule="auto" w:line="288" w:before="200" w:after="283"/>
        <w:ind w:left="0" w:right="0" w:hanging="54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Minimum LTV and maximum LTV not shown for aggregated totals, as such values are meaningful only when presented by specific category.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84.09% of loans held for investment at December 31, 2024. Commercial secured lending represents 4.83% of loans held for investment at December 31, 2024. We sell the guaranteed portion of all SBA 7(a) loans in the secondary market and will continue to do so as long as market conditions continue to be favorable.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that our commercial real estate loan concentration is significant within our balance sheet. Commercial real estate loan balances as a percentage of risk-based capital were 571.91% and 682.72% as of December 31, 2024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2023, respectively. We have established internal concentration limits in the loan portfolio for commercial real estate loans by sector (e.g., manufactured home communities, self-storage, hospitality, etc.). All loan sectors were within our established limits as of December 31, 2024. Additionally, our loans are geographically concentrated with borrowers and collateralized properties primarily in California.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11 sets forth the contractual maturities of our loan portfolio as of the dates shown.</w:t>
      </w:r>
    </w:p>
    <w:tbl>
      <w:tblPr>
        <w:tblW w:w="10205" w:type="dxa"/>
        <w:jc w:val="left"/>
        <w:tblInd w:w="0" w:type="dxa"/>
        <w:tblLayout w:type="fixed"/>
        <w:tblCellMar>
          <w:top w:w="28" w:type="dxa"/>
          <w:left w:w="28" w:type="dxa"/>
          <w:bottom w:w="28" w:type="dxa"/>
          <w:right w:w="28" w:type="dxa"/>
        </w:tblCellMar>
      </w:tblPr>
      <w:tblGrid>
        <w:gridCol w:w="682"/>
        <w:gridCol w:w="445"/>
        <w:gridCol w:w="446"/>
        <w:gridCol w:w="109"/>
        <w:gridCol w:w="109"/>
        <w:gridCol w:w="109"/>
        <w:gridCol w:w="237"/>
        <w:gridCol w:w="930"/>
        <w:gridCol w:w="122"/>
        <w:gridCol w:w="109"/>
        <w:gridCol w:w="109"/>
        <w:gridCol w:w="109"/>
        <w:gridCol w:w="279"/>
        <w:gridCol w:w="1093"/>
        <w:gridCol w:w="144"/>
        <w:gridCol w:w="109"/>
        <w:gridCol w:w="109"/>
        <w:gridCol w:w="109"/>
        <w:gridCol w:w="272"/>
        <w:gridCol w:w="1260"/>
        <w:gridCol w:w="140"/>
        <w:gridCol w:w="109"/>
        <w:gridCol w:w="109"/>
        <w:gridCol w:w="109"/>
        <w:gridCol w:w="237"/>
        <w:gridCol w:w="812"/>
        <w:gridCol w:w="122"/>
        <w:gridCol w:w="109"/>
        <w:gridCol w:w="109"/>
        <w:gridCol w:w="109"/>
        <w:gridCol w:w="211"/>
        <w:gridCol w:w="976"/>
        <w:gridCol w:w="162"/>
      </w:tblGrid>
      <w:tr>
        <w:trPr/>
        <w:tc>
          <w:tcPr>
            <w:tcW w:w="68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11: Contractual Maturities - Gross Loans</w:t>
            </w:r>
          </w:p>
        </w:tc>
      </w:tr>
      <w:tr>
        <w:trPr/>
        <w:tc>
          <w:tcPr>
            <w:tcW w:w="15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in 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1 year through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5 years through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2,383,655 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110,418 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515,529 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2,834,820 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77,086 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3,537,853 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148,866 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363,715 </w:t>
            </w:r>
          </w:p>
        </w:tc>
        <w:tc>
          <w:tcPr>
            <w:tcW w:w="1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2,509,303 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73,556 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3,095,440 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12 sets forth the sensitivity to interest rate changes of our loan portfolio as of the dates shown.</w:t>
      </w:r>
    </w:p>
    <w:tbl>
      <w:tblPr>
        <w:tblW w:w="9596" w:type="dxa"/>
        <w:jc w:val="left"/>
        <w:tblInd w:w="0" w:type="dxa"/>
        <w:tblLayout w:type="fixed"/>
        <w:tblCellMar>
          <w:top w:w="28" w:type="dxa"/>
          <w:left w:w="28" w:type="dxa"/>
          <w:bottom w:w="28" w:type="dxa"/>
          <w:right w:w="28" w:type="dxa"/>
        </w:tblCellMar>
      </w:tblPr>
      <w:tblGrid>
        <w:gridCol w:w="1076"/>
        <w:gridCol w:w="945"/>
        <w:gridCol w:w="949"/>
        <w:gridCol w:w="109"/>
        <w:gridCol w:w="109"/>
        <w:gridCol w:w="109"/>
        <w:gridCol w:w="328"/>
        <w:gridCol w:w="1287"/>
        <w:gridCol w:w="169"/>
        <w:gridCol w:w="109"/>
        <w:gridCol w:w="109"/>
        <w:gridCol w:w="109"/>
        <w:gridCol w:w="410"/>
        <w:gridCol w:w="1898"/>
        <w:gridCol w:w="212"/>
        <w:gridCol w:w="109"/>
        <w:gridCol w:w="109"/>
        <w:gridCol w:w="109"/>
        <w:gridCol w:w="211"/>
        <w:gridCol w:w="97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6"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12: Sensitivity to Interest Rates - Gross Loans</w:t>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Floating or Adjustable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2,269,348 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946,642 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2,591,211 </w:t>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3,537,853 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2,115,034 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683,952 </w:t>
            </w:r>
          </w:p>
        </w:tc>
        <w:tc>
          <w:tcPr>
            <w:tcW w:w="1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2,411,488 </w:t>
            </w:r>
          </w:p>
        </w:tc>
        <w:tc>
          <w:tcPr>
            <w:tcW w:w="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3,095,440 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Asset Quality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ACL. We periodically employ the use of an independent consulting firm to evaluate our underwriting and risk assessment process. Like other financial institutions, we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risk that our loan portfolio will be exposed to increasing pressures from deteriorating borrower credit due to general economic conditions and rising interest rates.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Nonperforming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SBA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sold 56 SBA 7(a) loans with government-guaranteed portions totaling approximately $18.3 million. The Company received gross proceeds of $19.6 million on the loans sold in 2024, resulting in a net gain on sale of $1.3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sold 143 SBA 7(a) loans with government-guaranteed portions totaling approximately $36.5 million. The Company received gross proceeds of $38.4 million on the loans sold in 2023, resulting in a net gain on sale of $2.0 million.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Non-accrual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13 provides details of our nonperforming and restructured assets and certain other related information as of the dates presented:</w:t>
      </w:r>
    </w:p>
    <w:tbl>
      <w:tblPr>
        <w:tblW w:w="10205" w:type="dxa"/>
        <w:jc w:val="left"/>
        <w:tblInd w:w="0" w:type="dxa"/>
        <w:tblLayout w:type="fixed"/>
        <w:tblCellMar>
          <w:top w:w="28" w:type="dxa"/>
          <w:left w:w="28" w:type="dxa"/>
          <w:bottom w:w="28" w:type="dxa"/>
          <w:right w:w="28" w:type="dxa"/>
        </w:tblCellMar>
      </w:tblPr>
      <w:tblGrid>
        <w:gridCol w:w="2131"/>
        <w:gridCol w:w="1867"/>
        <w:gridCol w:w="1874"/>
        <w:gridCol w:w="140"/>
        <w:gridCol w:w="140"/>
        <w:gridCol w:w="140"/>
        <w:gridCol w:w="330"/>
        <w:gridCol w:w="966"/>
        <w:gridCol w:w="423"/>
        <w:gridCol w:w="140"/>
        <w:gridCol w:w="140"/>
        <w:gridCol w:w="140"/>
        <w:gridCol w:w="325"/>
        <w:gridCol w:w="952"/>
        <w:gridCol w:w="497"/>
      </w:tblGrid>
      <w:tr>
        <w:trPr/>
        <w:tc>
          <w:tcPr>
            <w:tcW w:w="213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13: Nonperforming and Restructured Assets</w:t>
            </w:r>
          </w:p>
        </w:tc>
      </w:tr>
      <w:tr>
        <w:trPr/>
        <w:tc>
          <w:tcPr>
            <w:tcW w:w="5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8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Non-accrual loans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non-accrual loans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4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Loans past due 90 days or more and still accruing</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past due 90 days or more and still accruing</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loans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4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owned</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4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LMs (not included above)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to period end nonperforming loans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2,101.78 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1,752.70 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to loans held for investment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total assets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plus performing LMs to loans held for investment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ratio of nonperforming loans to loans held for investment was 0.05% at December 31, 2024, decreasing from 0.06%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ratio of the allowance for credit losses to period end nonperforming loans increased from 1,752.70% as of December 31, 2023 to 2,101.78% as of December 31, 2024. This increase was due to: (i) a 9.76% increase in the allowance for credit losses year-over-year; and (ii) an 8.50% decrease in nonperforming loans year-over-year.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Potential Problem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risk grading system for our loans to aid us in evaluating the overall credit quality of our real estate loan portfolio and assessing the adequacy of our ACL.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banking industry defines loans graded substandard or doubtful as “classified” loans. Table 14 shows loans by credit quality risk rating as of the periods indicated.</w:t>
      </w:r>
    </w:p>
    <w:tbl>
      <w:tblPr>
        <w:tblW w:w="10205" w:type="dxa"/>
        <w:jc w:val="left"/>
        <w:tblInd w:w="0" w:type="dxa"/>
        <w:tblLayout w:type="fixed"/>
        <w:tblCellMar>
          <w:top w:w="28" w:type="dxa"/>
          <w:left w:w="28" w:type="dxa"/>
          <w:bottom w:w="28" w:type="dxa"/>
          <w:right w:w="28" w:type="dxa"/>
        </w:tblCellMar>
      </w:tblPr>
      <w:tblGrid>
        <w:gridCol w:w="1021"/>
        <w:gridCol w:w="875"/>
        <w:gridCol w:w="878"/>
        <w:gridCol w:w="109"/>
        <w:gridCol w:w="109"/>
        <w:gridCol w:w="109"/>
        <w:gridCol w:w="211"/>
        <w:gridCol w:w="976"/>
        <w:gridCol w:w="109"/>
        <w:gridCol w:w="109"/>
        <w:gridCol w:w="109"/>
        <w:gridCol w:w="109"/>
        <w:gridCol w:w="211"/>
        <w:gridCol w:w="826"/>
        <w:gridCol w:w="109"/>
        <w:gridCol w:w="109"/>
        <w:gridCol w:w="109"/>
        <w:gridCol w:w="109"/>
        <w:gridCol w:w="263"/>
        <w:gridCol w:w="770"/>
        <w:gridCol w:w="138"/>
        <w:gridCol w:w="109"/>
        <w:gridCol w:w="109"/>
        <w:gridCol w:w="109"/>
        <w:gridCol w:w="244"/>
        <w:gridCol w:w="470"/>
        <w:gridCol w:w="127"/>
        <w:gridCol w:w="109"/>
        <w:gridCol w:w="109"/>
        <w:gridCol w:w="109"/>
        <w:gridCol w:w="211"/>
        <w:gridCol w:w="976"/>
        <w:gridCol w:w="155"/>
      </w:tblGrid>
      <w:tr>
        <w:trPr/>
        <w:tc>
          <w:tcPr>
            <w:tcW w:w="102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14: Gross Loans Held for Investment by Credit Quality Risk Rating</w:t>
            </w:r>
          </w:p>
        </w:tc>
      </w:tr>
      <w:tr>
        <w:trPr/>
        <w:tc>
          <w:tcPr>
            <w:tcW w:w="27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Substandard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Doubtful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3,408,558 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3,534,606 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3,042,376 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3,083,976 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designated as watch and substandard, which are not considered adversely classified, increased to $126.0 million at December 31, 2024 from $41.6 million at December 31, 2023. The increase related primarily to an $83.8 million increase in loans designated as watch for loans which have indicators of deficient loan quality and potential significant issues which are expected to be temporary in nature. There were no loans with doubtful risk grades at December 31, 2024 or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Company’s allowance for credit losses was $37.8 million, compared to $34.4 million at December 31, 2023. The $3.4 million increase in the allowance is due to a $7.5 million provision for credit losses, partially offset by net charge-offs of $4.1 million during the year ended December 31, 2024, mainly attributable to commercial and industrial loans, during the same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entire allowance for credit losses is available to absorb losses from any and all loans, Table 15 represents management’s allocation of our allowance for credit losses by loan category, and the balance of loans in each category as a percentage of total loans, for the periods indicated.</w:t>
      </w:r>
    </w:p>
    <w:tbl>
      <w:tblPr>
        <w:tblW w:w="10205" w:type="dxa"/>
        <w:jc w:val="left"/>
        <w:tblInd w:w="0" w:type="dxa"/>
        <w:tblLayout w:type="fixed"/>
        <w:tblCellMar>
          <w:top w:w="28" w:type="dxa"/>
          <w:left w:w="28" w:type="dxa"/>
          <w:bottom w:w="28" w:type="dxa"/>
          <w:right w:w="28" w:type="dxa"/>
        </w:tblCellMar>
      </w:tblPr>
      <w:tblGrid>
        <w:gridCol w:w="811"/>
        <w:gridCol w:w="609"/>
        <w:gridCol w:w="611"/>
        <w:gridCol w:w="109"/>
        <w:gridCol w:w="109"/>
        <w:gridCol w:w="109"/>
        <w:gridCol w:w="348"/>
        <w:gridCol w:w="1192"/>
        <w:gridCol w:w="180"/>
        <w:gridCol w:w="109"/>
        <w:gridCol w:w="109"/>
        <w:gridCol w:w="109"/>
        <w:gridCol w:w="526"/>
        <w:gridCol w:w="352"/>
        <w:gridCol w:w="809"/>
        <w:gridCol w:w="109"/>
        <w:gridCol w:w="109"/>
        <w:gridCol w:w="109"/>
        <w:gridCol w:w="348"/>
        <w:gridCol w:w="1192"/>
        <w:gridCol w:w="180"/>
        <w:gridCol w:w="109"/>
        <w:gridCol w:w="109"/>
        <w:gridCol w:w="109"/>
        <w:gridCol w:w="489"/>
        <w:gridCol w:w="353"/>
        <w:gridCol w:w="897"/>
      </w:tblGrid>
      <w:tr>
        <w:trPr/>
        <w:tc>
          <w:tcPr>
            <w:tcW w:w="8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15: Allocation of the Allowance for Credit Losses</w:t>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of Loans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of Loans to Total Loans</w:t>
            </w:r>
          </w:p>
        </w:tc>
      </w:tr>
      <w:tr>
        <w:trPr/>
        <w:tc>
          <w:tcPr>
            <w:tcW w:w="20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37,791 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8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ratio of allowance for credit losses to total loans held for investment was 1.07% at December 31, 2024, as compared to 1.12%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16 provides information on the activity within the allowance for credit losses as of and for the periods indicated.</w:t>
      </w:r>
    </w:p>
    <w:tbl>
      <w:tblPr>
        <w:tblW w:w="10205" w:type="dxa"/>
        <w:jc w:val="left"/>
        <w:tblInd w:w="0" w:type="dxa"/>
        <w:tblLayout w:type="fixed"/>
        <w:tblCellMar>
          <w:top w:w="28" w:type="dxa"/>
          <w:left w:w="28" w:type="dxa"/>
          <w:bottom w:w="28" w:type="dxa"/>
          <w:right w:w="28" w:type="dxa"/>
        </w:tblCellMar>
      </w:tblPr>
      <w:tblGrid>
        <w:gridCol w:w="877"/>
        <w:gridCol w:w="661"/>
        <w:gridCol w:w="664"/>
        <w:gridCol w:w="109"/>
        <w:gridCol w:w="109"/>
        <w:gridCol w:w="109"/>
        <w:gridCol w:w="211"/>
        <w:gridCol w:w="976"/>
        <w:gridCol w:w="271"/>
        <w:gridCol w:w="109"/>
        <w:gridCol w:w="109"/>
        <w:gridCol w:w="109"/>
        <w:gridCol w:w="448"/>
        <w:gridCol w:w="402"/>
        <w:gridCol w:w="1008"/>
        <w:gridCol w:w="109"/>
        <w:gridCol w:w="109"/>
        <w:gridCol w:w="109"/>
        <w:gridCol w:w="211"/>
        <w:gridCol w:w="976"/>
        <w:gridCol w:w="271"/>
        <w:gridCol w:w="109"/>
        <w:gridCol w:w="109"/>
        <w:gridCol w:w="109"/>
        <w:gridCol w:w="437"/>
        <w:gridCol w:w="378"/>
        <w:gridCol w:w="1106"/>
      </w:tblGrid>
      <w:tr>
        <w:trPr/>
        <w:tc>
          <w:tcPr>
            <w:tcW w:w="8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16: Activity Within the Allowance for Credit Losses</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and for the year ended </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Activity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Average 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Activity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Average Loans Held for Investment</w:t>
            </w:r>
          </w:p>
        </w:tc>
      </w:tr>
      <w:tr>
        <w:trPr/>
        <w:tc>
          <w:tcPr>
            <w:tcW w:w="22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loans held for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3,276,841 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2,937,899 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adoption of ASC 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to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to loans held for investment decreased from 1.12% as of December 31, 2023 to 1.07% as of December 31, 2024. Net charge-offs as a percent of average loans held for investment increased from 0.11% to 0.12% for the years ended December 31, 2023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Liabilities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total liabilities increased by $349.3 million from $3.3 billion at December 31, 2023 to $3.7 billion at December 31, 2024. This increase was primarily attributable to an increase in deposits of $531.1 million, partially offset by a decrease in other borrowings of $170.0 million. The $531.1 million increase in deposits was largely due to increases in money market, time, and non-interest-bearing demand deposits of $242.9 million, $203.6 million, and $91.5 million, respectively, partially offset by decreases in interest-bearing transaction and savings deposits of $5.1 million and $1.8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Representing 97.30% of our total liabilities as of December 31, 2024, deposits are our primary source of funding for our business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deposits increased by $531.1 million, or 17.55%, to $3.6 billion at December 31, 2024 from $3.0 billion as of December 31, 2023. Deposit increases were primarily attributable to an increase in the number of new relationships, as well as normal fluctuations in our existing accounts. Non-interest-bearing deposits increased by $91.5 million in 2024 to $922.6 million, and represented 25.93% of total deposits at December 31, 2024, compared to 27.46% of total deposits at December 31, 2023. Our loan to deposit ratio was 99.38% at December 31, 2024, compared to 102.19% at December 31, 2023. We closely monitor the loan to deposit ratio for purposes of both operational objectives and regulatory capital compliance. We intend to continue to operate our business with close monitoring of the loan to deposit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17 summarizes our deposit composition by average deposits and average rates paid for the periods indicated.</w:t>
      </w:r>
    </w:p>
    <w:tbl>
      <w:tblPr>
        <w:tblW w:w="10205" w:type="dxa"/>
        <w:jc w:val="left"/>
        <w:tblInd w:w="0" w:type="dxa"/>
        <w:tblLayout w:type="fixed"/>
        <w:tblCellMar>
          <w:top w:w="28" w:type="dxa"/>
          <w:left w:w="28" w:type="dxa"/>
          <w:bottom w:w="28" w:type="dxa"/>
          <w:right w:w="28" w:type="dxa"/>
        </w:tblCellMar>
      </w:tblPr>
      <w:tblGrid>
        <w:gridCol w:w="696"/>
        <w:gridCol w:w="396"/>
        <w:gridCol w:w="309"/>
        <w:gridCol w:w="109"/>
        <w:gridCol w:w="109"/>
        <w:gridCol w:w="109"/>
        <w:gridCol w:w="211"/>
        <w:gridCol w:w="976"/>
        <w:gridCol w:w="109"/>
        <w:gridCol w:w="109"/>
        <w:gridCol w:w="109"/>
        <w:gridCol w:w="109"/>
        <w:gridCol w:w="327"/>
        <w:gridCol w:w="184"/>
        <w:gridCol w:w="459"/>
        <w:gridCol w:w="109"/>
        <w:gridCol w:w="109"/>
        <w:gridCol w:w="109"/>
        <w:gridCol w:w="403"/>
        <w:gridCol w:w="318"/>
        <w:gridCol w:w="453"/>
        <w:gridCol w:w="109"/>
        <w:gridCol w:w="109"/>
        <w:gridCol w:w="109"/>
        <w:gridCol w:w="211"/>
        <w:gridCol w:w="976"/>
        <w:gridCol w:w="109"/>
        <w:gridCol w:w="109"/>
        <w:gridCol w:w="109"/>
        <w:gridCol w:w="109"/>
        <w:gridCol w:w="327"/>
        <w:gridCol w:w="184"/>
        <w:gridCol w:w="459"/>
        <w:gridCol w:w="109"/>
        <w:gridCol w:w="109"/>
        <w:gridCol w:w="109"/>
        <w:gridCol w:w="378"/>
        <w:gridCol w:w="343"/>
        <w:gridCol w:w="415"/>
      </w:tblGrid>
      <w:tr>
        <w:trPr/>
        <w:tc>
          <w:tcPr>
            <w:tcW w:w="6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17: Deposit Composition by Average Balances and Average Rates Paid</w:t>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w:t>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Average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Rate Paid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Total Deposits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Rate Paid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 xml:space="preserve">% of Total Deposits </w:t>
            </w:r>
          </w:p>
        </w:tc>
      </w:tr>
      <w:tr>
        <w:trPr/>
        <w:tc>
          <w:tcPr>
            <w:tcW w:w="14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4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4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and 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41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415"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4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3,226,546 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2,933,157 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Uninsured and uncollateralized deposits totaled $1.2 billion and $1.0 billion at December 31, 2024 and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49 largest deposit relationships, each accounting for more than $10.0 million, totaled $1.8 billion, or 50.35% of our total deposits. The average age on deposit relationships of more than $5.0 million was approximately 9.13 years. As of December 31, 2023, our 40 largest deposit relationships, each accounting for more than $10.0 million, totaled $1.5 billion, or 49.80% of our total deposits. Overall, our large deposit relationships have been relatively consistent over time and have helped to continue to grow our deposit base. Table 18 shows the entity types making up our large deposit relationships at the dates indicated.</w:t>
      </w:r>
    </w:p>
    <w:tbl>
      <w:tblPr>
        <w:tblW w:w="6240" w:type="dxa"/>
        <w:jc w:val="left"/>
        <w:tblInd w:w="0" w:type="dxa"/>
        <w:tblLayout w:type="fixed"/>
        <w:tblCellMar>
          <w:top w:w="28" w:type="dxa"/>
          <w:left w:w="28" w:type="dxa"/>
          <w:bottom w:w="28" w:type="dxa"/>
          <w:right w:w="28" w:type="dxa"/>
        </w:tblCellMar>
      </w:tblPr>
      <w:tblGrid>
        <w:gridCol w:w="695"/>
        <w:gridCol w:w="611"/>
        <w:gridCol w:w="613"/>
        <w:gridCol w:w="138"/>
        <w:gridCol w:w="138"/>
        <w:gridCol w:w="138"/>
        <w:gridCol w:w="280"/>
        <w:gridCol w:w="1300"/>
        <w:gridCol w:w="144"/>
        <w:gridCol w:w="138"/>
        <w:gridCol w:w="138"/>
        <w:gridCol w:w="138"/>
        <w:gridCol w:w="278"/>
        <w:gridCol w:w="1289"/>
        <w:gridCol w:w="20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240" w:type="dxa"/>
            <w:gridSpan w:val="15"/>
            <w:tcBorders/>
            <w:tcMar>
              <w:top w:w="0" w:type="dxa"/>
              <w:left w:w="0" w:type="dxa"/>
              <w:bottom w:w="0" w:type="dxa"/>
              <w:right w:w="0" w:type="dxa"/>
            </w:tcMar>
            <w:vAlign w:val="center"/>
          </w:tcPr>
          <w:p>
            <w:pPr>
              <w:pStyle w:val="TableContents"/>
              <w:bidi w:val="0"/>
              <w:spacing w:lineRule="auto" w:line="273" w:before="0" w:after="0"/>
              <w:ind w:left="0" w:right="0" w:hanging="17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18: Composition of Large Deposit Relationships</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Municipalities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674,094 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693,685 </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Non-profits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188,252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605,894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525,193</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deposits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1,791,429 </w:t>
            </w:r>
          </w:p>
        </w:tc>
        <w:tc>
          <w:tcPr>
            <w:tcW w:w="1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1,507,258 </w:t>
            </w:r>
          </w:p>
        </w:tc>
        <w:tc>
          <w:tcPr>
            <w:tcW w:w="2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single deposit relationship at December 31, 2024 related to brokered deposits. The balance for this customer was $300.0 million, or approximately 8.43% of total deposits as of December 31, 2024. At December 31, 2023, our largest single deposit relationship related to a government agency and had a balance of $260.0 million, or 8.59% of total deposits as of December 31, 2023. As our demand deposits fluctuate, we have purchased brokered deposits as needed to supplement liquidity. We do not consider brokered deposits as core deposits, but as another deposit funding source for our loan growth.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19 sets forth the maturity of time deposits as of December 31, 2024.</w:t>
      </w:r>
    </w:p>
    <w:tbl>
      <w:tblPr>
        <w:tblW w:w="10205" w:type="dxa"/>
        <w:jc w:val="left"/>
        <w:tblInd w:w="0" w:type="dxa"/>
        <w:tblLayout w:type="fixed"/>
        <w:tblCellMar>
          <w:top w:w="28" w:type="dxa"/>
          <w:left w:w="28" w:type="dxa"/>
          <w:bottom w:w="28" w:type="dxa"/>
          <w:right w:w="28" w:type="dxa"/>
        </w:tblCellMar>
      </w:tblPr>
      <w:tblGrid>
        <w:gridCol w:w="943"/>
        <w:gridCol w:w="825"/>
        <w:gridCol w:w="828"/>
        <w:gridCol w:w="109"/>
        <w:gridCol w:w="109"/>
        <w:gridCol w:w="109"/>
        <w:gridCol w:w="330"/>
        <w:gridCol w:w="1295"/>
        <w:gridCol w:w="170"/>
        <w:gridCol w:w="109"/>
        <w:gridCol w:w="109"/>
        <w:gridCol w:w="109"/>
        <w:gridCol w:w="309"/>
        <w:gridCol w:w="1215"/>
        <w:gridCol w:w="160"/>
        <w:gridCol w:w="109"/>
        <w:gridCol w:w="109"/>
        <w:gridCol w:w="109"/>
        <w:gridCol w:w="211"/>
        <w:gridCol w:w="826"/>
        <w:gridCol w:w="109"/>
        <w:gridCol w:w="109"/>
        <w:gridCol w:w="109"/>
        <w:gridCol w:w="109"/>
        <w:gridCol w:w="296"/>
        <w:gridCol w:w="1161"/>
        <w:gridCol w:w="219"/>
      </w:tblGrid>
      <w:tr>
        <w:trPr/>
        <w:tc>
          <w:tcPr>
            <w:tcW w:w="9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3" w:before="0" w:after="0"/>
              <w:ind w:left="0" w:right="0" w:hanging="17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19: Scheduled Maturities of Time Deposits</w:t>
            </w:r>
          </w:p>
        </w:tc>
      </w:tr>
      <w:tr>
        <w:trPr/>
        <w:tc>
          <w:tcPr>
            <w:tcW w:w="25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$250,000 or Greater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Less than $250,000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Uninsured Portion</w:t>
            </w:r>
          </w:p>
        </w:tc>
      </w:tr>
      <w:tr>
        <w:trPr/>
        <w:tc>
          <w:tcPr>
            <w:tcW w:w="25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three through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six through twelve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twelve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344,129 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326,025 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328,668 </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FHLB Advances and Other Borrowings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utilize short-term collateralized FHLB borrowings to maintain adequate liquidity. There were no borrowings outstanding as of December 31, 2024 and borrowings of $170.0 million outstanding from the FHLB as of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we issued subordinated notes of $75.0 million. This debt was issued to investors in private placement transactions. See Note 9, Long Term Debt and Other Borrowings, in the notes to our audited consolidated financial statements included in this Annual Report on Form 10-K for additional information regarding these subordinated notes. The proceeds of the notes qualify as Tier 2 capital for the Company under the regulatory capital rules of the federal banking agencies.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20 is a summary of our outstanding subordinated notes as of December 31, 2024.</w:t>
      </w:r>
    </w:p>
    <w:tbl>
      <w:tblPr>
        <w:tblW w:w="10205" w:type="dxa"/>
        <w:jc w:val="left"/>
        <w:tblInd w:w="0" w:type="dxa"/>
        <w:tblLayout w:type="fixed"/>
        <w:tblCellMar>
          <w:top w:w="28" w:type="dxa"/>
          <w:left w:w="28" w:type="dxa"/>
          <w:bottom w:w="28" w:type="dxa"/>
          <w:right w:w="28" w:type="dxa"/>
        </w:tblCellMar>
      </w:tblPr>
      <w:tblGrid>
        <w:gridCol w:w="803"/>
        <w:gridCol w:w="627"/>
        <w:gridCol w:w="629"/>
        <w:gridCol w:w="130"/>
        <w:gridCol w:w="130"/>
        <w:gridCol w:w="130"/>
        <w:gridCol w:w="452"/>
        <w:gridCol w:w="452"/>
        <w:gridCol w:w="455"/>
        <w:gridCol w:w="130"/>
        <w:gridCol w:w="130"/>
        <w:gridCol w:w="130"/>
        <w:gridCol w:w="332"/>
        <w:gridCol w:w="1137"/>
        <w:gridCol w:w="171"/>
        <w:gridCol w:w="130"/>
        <w:gridCol w:w="130"/>
        <w:gridCol w:w="130"/>
        <w:gridCol w:w="600"/>
        <w:gridCol w:w="600"/>
        <w:gridCol w:w="602"/>
        <w:gridCol w:w="130"/>
        <w:gridCol w:w="130"/>
        <w:gridCol w:w="130"/>
        <w:gridCol w:w="539"/>
        <w:gridCol w:w="508"/>
        <w:gridCol w:w="738"/>
      </w:tblGrid>
      <w:tr>
        <w:trPr/>
        <w:tc>
          <w:tcPr>
            <w:tcW w:w="80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20: Subordinated Notes Outstanding</w:t>
            </w:r>
          </w:p>
        </w:tc>
      </w:tr>
      <w:tr>
        <w:trPr/>
        <w:tc>
          <w:tcPr>
            <w:tcW w:w="2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Issuance Date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 of Notes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Prepayment Right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r>
      <w:tr>
        <w:trPr/>
        <w:tc>
          <w:tcPr>
            <w:tcW w:w="20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Subordinated notes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17, 2027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2032</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at 6.00% through September 1, 2027, then three-month Term SOFR plus 329.0 basis points (7.93% as of December 31, 2024) through maturity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Shareholders’ Equity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equity totaled $396.6 million at December 31, 2024 and $285.8 million at December 31, 2023. The increase in shareholders’ equity was primarily a result of $80.9 million of additional common stock issued and outstanding in 2024 and net income recognized of $45.7 million, partially offset by $16.2 million in cash dividends paid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Management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December 31, 2024, management believes the above-mentioned sources will provide adequate liquidity during the next twelve months for the Bank to meet its operating needs. In addition, in April 2024, the Company closed the 2024 Public Offering. The proceeds to the Company, after deducting underwriting discounts and commissions and offering expenses payable by the Company, were approximately $80.9 million, providing additional cash to support the Company’s ongoing operating needs.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capital allocation objectives, during 2025, we project spending $0.7 million related to continued build-out of our IT systems and processes and allocating $17.1 million of cash for dividends on our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12-month period ending December 31, 2025, we project that our fixed commitments could potentially include: (i) approximately $433.6 million to fund off-balance sheet commitments outstanding at December 31, 2024; (ii) $7.6 million for IT services, IT support, and compliance expenditures; and (iii) $1.6 million for operating leases. In future years, we expect that our main sources and uses of cash will relate primarily to regular operating activities.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had cash outflows of $442.8 million in loan originations and advances, net of principal collected, and $21.7 million in loans originated for sale.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the ordinary course of business, we enter into commitments to extend credit, such as commitments to fund new loans and undisbursed construction funds. While these commitments represent contractual cash requirements,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portion of these commitments to extend credit may expire without being drawn upon. Therefore, the total commitment amounts do not necessarily represent future cash requirements. At December 31, 2024, off-balance sheet commitments totaled $433.6 million. We expect to fund these commitments to the extent utilized primarily through the repayment of existing loans, deposit growth, and liquid assets.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our primary source of funding for our business operations, and the cost of deposits has a significant impact on our net interest income and net interest margin.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had cash inflows related to an increase in deposits of $531.1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following December 31, 2024, approximately $666.9 million of time deposits are expected to mature, which includes $300.0 million of brokered deposits. In addition, we expect $3.3 million of time deposits to mature through 2029.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cash and cash equivalents represented 9.90% of total deposits.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totaled $100.9 million at December 31, 2024. Mortgage-backed securities and obligations of states and political subdivisions comprised 50.10% and 39.50%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$8.0 million from our securities over the next twelve months. In future periods, we expect to maintain approximately the same level of cash flows from our securities. Depending on market yield and our liquidity, we may purchase securities as a use of cash in our interest-earning asset portfolio.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had cash proceeds from sales, maturities, calls and prepayments of securities of $8.4 million. Additionally, at December 31, 2024, securities available-for-sale totaled $98.2 million, of which $95.1 million has been pledged as collateral for borrowings and other commitments.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Future Contractual Obligations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as of December 31, 2024 include both current and long-term obligations. Under our operating leases as discussed in Note 15, Commitments and Contingencies, we have a current obligation of $1.6 million and a long-term obligation of $6.6 million. We also have a current obligation of $666.9 million and a long-term obligation of $3.3 million related to time deposits, as discussed in Note 8, Interest-Bearing Deposits. We have net subordinated notes of $73.9 million, all of which are long-term obligations. Finally, we have one significant contract for core processing services. While the actual obligation is unknown and dependent on certain factors, including volume and activity, when using our 2024 average monthly expense extrapolated over the remaining life of the contract, we estimate that our current obligation under this contract is $0.9 million. We do not have a long-term obligation under this contract until it is renewed.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Liquidity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liquidity (consisting of cash and cash equivalents and unused and immediately available borrowing capacity as set forth in Table 21) was approximately $1.9 billion as of December 31, 2024.</w:t>
      </w:r>
    </w:p>
    <w:tbl>
      <w:tblPr>
        <w:tblW w:w="10049" w:type="dxa"/>
        <w:jc w:val="left"/>
        <w:tblInd w:w="0" w:type="dxa"/>
        <w:tblLayout w:type="fixed"/>
        <w:tblCellMar>
          <w:top w:w="28" w:type="dxa"/>
          <w:left w:w="28" w:type="dxa"/>
          <w:bottom w:w="28" w:type="dxa"/>
          <w:right w:w="28" w:type="dxa"/>
        </w:tblCellMar>
      </w:tblPr>
      <w:tblGrid>
        <w:gridCol w:w="1059"/>
        <w:gridCol w:w="931"/>
        <w:gridCol w:w="934"/>
        <w:gridCol w:w="109"/>
        <w:gridCol w:w="109"/>
        <w:gridCol w:w="109"/>
        <w:gridCol w:w="211"/>
        <w:gridCol w:w="976"/>
        <w:gridCol w:w="109"/>
        <w:gridCol w:w="109"/>
        <w:gridCol w:w="109"/>
        <w:gridCol w:w="109"/>
        <w:gridCol w:w="381"/>
        <w:gridCol w:w="1492"/>
        <w:gridCol w:w="196"/>
        <w:gridCol w:w="109"/>
        <w:gridCol w:w="109"/>
        <w:gridCol w:w="109"/>
        <w:gridCol w:w="322"/>
        <w:gridCol w:w="621"/>
        <w:gridCol w:w="168"/>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9"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21: Total Liquidity</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8"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Line of Credit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Letters of Credit Issued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Borrowings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Available</w:t>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701,500 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510,709 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 Discount Window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 bank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2,249,345 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701,500 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1,900,188 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FHLB Financing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a shareholder of the FHLB, which enables the Bank to have access to lower-cost FHLB financing when necessary. At December 31, 2024, the Bank had no outstanding FHLB financing borrowings and a total financing availability of $510.7 million, net of letters of credit issued of $701.5 million.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Federal Reserve Discount Window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to borrow from the Federal Reserve Discount Window when necessary. At December 31, 2024, the Bank had no outstanding Federal Reserve Discount Window borrowings and a total financing availability of $862.1 million.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Correspondent Bank Lines of Credit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unused and available amount for borrowing from correspondent bank lines of credit was $175.0 million.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use of liquidity for the Company is shareholder dividends. Bancorp paid dividends to its shareholders totaling $16.2 million during the year ended December 31, 2024.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2025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Impact of Inflation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Historical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22 summarizes our consolidated cash flow activities.</w:t>
      </w:r>
    </w:p>
    <w:tbl>
      <w:tblPr>
        <w:tblW w:w="8098" w:type="dxa"/>
        <w:jc w:val="left"/>
        <w:tblInd w:w="0" w:type="dxa"/>
        <w:tblLayout w:type="fixed"/>
        <w:tblCellMar>
          <w:top w:w="28" w:type="dxa"/>
          <w:left w:w="28" w:type="dxa"/>
          <w:bottom w:w="28" w:type="dxa"/>
          <w:right w:w="28" w:type="dxa"/>
        </w:tblCellMar>
      </w:tblPr>
      <w:tblGrid>
        <w:gridCol w:w="1255"/>
        <w:gridCol w:w="1103"/>
        <w:gridCol w:w="1107"/>
        <w:gridCol w:w="109"/>
        <w:gridCol w:w="109"/>
        <w:gridCol w:w="109"/>
        <w:gridCol w:w="253"/>
        <w:gridCol w:w="866"/>
        <w:gridCol w:w="131"/>
        <w:gridCol w:w="131"/>
        <w:gridCol w:w="131"/>
        <w:gridCol w:w="131"/>
        <w:gridCol w:w="253"/>
        <w:gridCol w:w="866"/>
        <w:gridCol w:w="131"/>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8"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22: Consolidated Cash Flow Activities</w:t>
            </w:r>
          </w:p>
        </w:tc>
      </w:tr>
      <w:tr>
        <w:trPr/>
        <w:tc>
          <w:tcPr>
            <w:tcW w:w="346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51,786 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by $12.9 million for the year ended December 31, 2024 compared to the year ended December 31, 2023, primarily due to lower loans originated for sale, higher interest receivable and other assets, and a higher provision for credit losses. These sources of cash were partially offset by lower proceeds from sale of loans. Cash provided by operating activities is subject to variability period-over-period as a result of timing differences, including with respect to the collection of receivables and payments of interest expense, accounts payable, and bonuses.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our operating results, see “Results of Operations” above.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$167.5 million for the year ended December 31, 2024 compared to the year ended December 31, 2023, primarily due to higher originations of loans held for investment, net of repayments, and higher investments in low income housing tax credits.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by $123.8 million for the year ended December 31, 2024 compared to the year ended December 31, 2023, primarily due to an increase in deposits and proceeds from the 2024 Public Offering, partially offset by payments on other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Capital Adequacy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Bancorp and the Bank are subject to various regulatory capital requirements administered by the federal and state banking agencies. Failure to meet minimum capital requirements as set forth in Tables 23 and 24 can initiate certain mandatory and possibly additional discretionary actions by regulators that, if undertaken, could have a material effect on our consolidated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December 31, 2024, both Bancorp and the Bank were in compliance with all applicable regulatory capital requirements, and the Bank qualified as “well-capitalized” under the prompt corrective action framework.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capital adequacy ratios as of December 31, 2024 and 2023 for Bancorp and the Bank are presented in Tables 23 and 24. As of December 31, 2024 and 2023, Bancorp’s Tier 2 capital included subordinated notes, which were not included at the Bank level. Eligible amounts of subordinated notes included in Tier 2 capital will be phased out by 20% per year beginning five years before the maturity date of the notes.</w:t>
      </w:r>
    </w:p>
    <w:tbl>
      <w:tblPr>
        <w:tblW w:w="10205" w:type="dxa"/>
        <w:jc w:val="left"/>
        <w:tblInd w:w="0" w:type="dxa"/>
        <w:tblLayout w:type="fixed"/>
        <w:tblCellMar>
          <w:top w:w="28" w:type="dxa"/>
          <w:left w:w="28" w:type="dxa"/>
          <w:bottom w:w="28" w:type="dxa"/>
          <w:right w:w="28" w:type="dxa"/>
        </w:tblCellMar>
      </w:tblPr>
      <w:tblGrid>
        <w:gridCol w:w="779"/>
        <w:gridCol w:w="486"/>
        <w:gridCol w:w="487"/>
        <w:gridCol w:w="109"/>
        <w:gridCol w:w="109"/>
        <w:gridCol w:w="109"/>
        <w:gridCol w:w="211"/>
        <w:gridCol w:w="826"/>
        <w:gridCol w:w="109"/>
        <w:gridCol w:w="109"/>
        <w:gridCol w:w="109"/>
        <w:gridCol w:w="109"/>
        <w:gridCol w:w="308"/>
        <w:gridCol w:w="308"/>
        <w:gridCol w:w="317"/>
        <w:gridCol w:w="109"/>
        <w:gridCol w:w="109"/>
        <w:gridCol w:w="109"/>
        <w:gridCol w:w="239"/>
        <w:gridCol w:w="938"/>
        <w:gridCol w:w="123"/>
        <w:gridCol w:w="123"/>
        <w:gridCol w:w="123"/>
        <w:gridCol w:w="123"/>
        <w:gridCol w:w="325"/>
        <w:gridCol w:w="188"/>
        <w:gridCol w:w="307"/>
        <w:gridCol w:w="109"/>
        <w:gridCol w:w="109"/>
        <w:gridCol w:w="109"/>
        <w:gridCol w:w="478"/>
        <w:gridCol w:w="248"/>
        <w:gridCol w:w="248"/>
        <w:gridCol w:w="248"/>
        <w:gridCol w:w="248"/>
        <w:gridCol w:w="248"/>
        <w:gridCol w:w="248"/>
        <w:gridCol w:w="248"/>
        <w:gridCol w:w="363"/>
      </w:tblGrid>
      <w:tr>
        <w:trPr/>
        <w:tc>
          <w:tcPr>
            <w:tcW w:w="7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23: Capital Ratios for Bancorp</w:t>
            </w:r>
          </w:p>
        </w:tc>
      </w:tr>
      <w:tr>
        <w:trPr/>
        <w:tc>
          <w:tcPr>
            <w:tcW w:w="175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pPr>
            <w:r>
              <w:rPr>
                <w:rFonts w:ascii="Times New Roman;sans-serif" w:hAnsi="Times New Roman;sans-serif"/>
                <w:b w:val="false"/>
                <w:i/>
                <w:sz w:val="20"/>
              </w:rPr>
              <w:br/>
            </w: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Required for Capital Adequacy Purposes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 to be Well-Capitalized under Prompt Corrective Action Provisions</w:t>
            </w:r>
          </w:p>
        </w:tc>
      </w:tr>
      <w:tr>
        <w:trPr/>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17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tbl>
      <w:tblPr>
        <w:tblW w:w="10205" w:type="dxa"/>
        <w:jc w:val="left"/>
        <w:tblInd w:w="0" w:type="dxa"/>
        <w:tblLayout w:type="fixed"/>
        <w:tblCellMar>
          <w:top w:w="28" w:type="dxa"/>
          <w:left w:w="28" w:type="dxa"/>
          <w:bottom w:w="28" w:type="dxa"/>
          <w:right w:w="28" w:type="dxa"/>
        </w:tblCellMar>
      </w:tblPr>
      <w:tblGrid>
        <w:gridCol w:w="726"/>
        <w:gridCol w:w="426"/>
        <w:gridCol w:w="428"/>
        <w:gridCol w:w="109"/>
        <w:gridCol w:w="109"/>
        <w:gridCol w:w="109"/>
        <w:gridCol w:w="211"/>
        <w:gridCol w:w="826"/>
        <w:gridCol w:w="109"/>
        <w:gridCol w:w="109"/>
        <w:gridCol w:w="109"/>
        <w:gridCol w:w="109"/>
        <w:gridCol w:w="308"/>
        <w:gridCol w:w="308"/>
        <w:gridCol w:w="317"/>
        <w:gridCol w:w="109"/>
        <w:gridCol w:w="109"/>
        <w:gridCol w:w="109"/>
        <w:gridCol w:w="230"/>
        <w:gridCol w:w="901"/>
        <w:gridCol w:w="118"/>
        <w:gridCol w:w="118"/>
        <w:gridCol w:w="118"/>
        <w:gridCol w:w="118"/>
        <w:gridCol w:w="325"/>
        <w:gridCol w:w="187"/>
        <w:gridCol w:w="295"/>
        <w:gridCol w:w="109"/>
        <w:gridCol w:w="109"/>
        <w:gridCol w:w="109"/>
        <w:gridCol w:w="259"/>
        <w:gridCol w:w="1014"/>
        <w:gridCol w:w="133"/>
        <w:gridCol w:w="133"/>
        <w:gridCol w:w="133"/>
        <w:gridCol w:w="133"/>
        <w:gridCol w:w="341"/>
        <w:gridCol w:w="282"/>
        <w:gridCol w:w="400"/>
      </w:tblGrid>
      <w:tr>
        <w:trPr/>
        <w:tc>
          <w:tcPr>
            <w:tcW w:w="7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24: Capital Ratios for the Bank</w:t>
            </w:r>
          </w:p>
        </w:tc>
      </w:tr>
      <w:tr>
        <w:trPr/>
        <w:tc>
          <w:tcPr>
            <w:tcW w:w="158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left"/>
              <w:rPr/>
            </w:pPr>
            <w:r>
              <w:rPr>
                <w:rFonts w:ascii="Times New Roman;sans-serif" w:hAnsi="Times New Roman;sans-serif"/>
                <w:b w:val="false"/>
                <w:i/>
                <w:sz w:val="20"/>
              </w:rPr>
              <w:br/>
            </w: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Required for Capital Adequacy Purposes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 to be Well-Capitalized under Prompt Corrective Action Provisions</w:t>
            </w:r>
          </w:p>
        </w:tc>
      </w:tr>
      <w:tr>
        <w:trPr/>
        <w:tc>
          <w:tcPr>
            <w:tcW w:w="158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1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0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40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0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40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251" w:type="dxa"/>
        <w:jc w:val="left"/>
        <w:tblInd w:w="0" w:type="dxa"/>
        <w:tblLayout w:type="fixed"/>
        <w:tblCellMar>
          <w:top w:w="28" w:type="dxa"/>
          <w:left w:w="28" w:type="dxa"/>
          <w:bottom w:w="28" w:type="dxa"/>
          <w:right w:w="28" w:type="dxa"/>
        </w:tblCellMar>
      </w:tblPr>
      <w:tblGrid>
        <w:gridCol w:w="124"/>
        <w:gridCol w:w="109"/>
        <w:gridCol w:w="109"/>
        <w:gridCol w:w="1727"/>
        <w:gridCol w:w="1727"/>
        <w:gridCol w:w="2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listed capital adequacy ratios exclude capital conservation buffers.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expected impact of accounting pronouncements recently adopted and accounting pronouncements recently issued but not yet adopted by us as of December 31, 2024, see Note 2, Recently Issued Accounting Standards, in the notes to our audited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non-GAAP financial measures when making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 About Market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total interest income was $57.7 million for the three months ended December 31, 2024 and $207.0 million for the year ended December 31, 2024. Our total interest expense was $24.3 million for the three months ended December 31, 2024 and $87.2 million for the year ended December 31, 2024. Overall, our net interest income was $33.5 million for the three months ended December 31, 2024 and $119.7 million for the year ended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December 31, 2024, the Company carried a slightly higher balance of liabilities than assets that will reprice within the next twelve months in the event that interest rates fall.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overnight federal funds rate (the rate used in the interest rate shock scenarios listed below) was 4.33%, a decrease from 5.33% at December 31, 2023. The scenarios presented assume that interest rates change instantaneously (“shock”) and that there are no significant changes in the structure of the Company’s balance sheet over the twelve months being measured.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Table 25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December 31, 2024 and 2023. </w:t>
      </w:r>
    </w:p>
    <w:tbl>
      <w:tblPr>
        <w:tblW w:w="10205" w:type="dxa"/>
        <w:jc w:val="left"/>
        <w:tblInd w:w="0" w:type="dxa"/>
        <w:tblLayout w:type="fixed"/>
        <w:tblCellMar>
          <w:top w:w="28" w:type="dxa"/>
          <w:left w:w="28" w:type="dxa"/>
          <w:bottom w:w="28" w:type="dxa"/>
          <w:right w:w="28" w:type="dxa"/>
        </w:tblCellMar>
      </w:tblPr>
      <w:tblGrid>
        <w:gridCol w:w="529"/>
        <w:gridCol w:w="466"/>
        <w:gridCol w:w="467"/>
        <w:gridCol w:w="163"/>
        <w:gridCol w:w="163"/>
        <w:gridCol w:w="163"/>
        <w:gridCol w:w="396"/>
        <w:gridCol w:w="352"/>
        <w:gridCol w:w="864"/>
        <w:gridCol w:w="163"/>
        <w:gridCol w:w="163"/>
        <w:gridCol w:w="163"/>
        <w:gridCol w:w="462"/>
        <w:gridCol w:w="366"/>
        <w:gridCol w:w="896"/>
        <w:gridCol w:w="163"/>
        <w:gridCol w:w="163"/>
        <w:gridCol w:w="163"/>
        <w:gridCol w:w="449"/>
        <w:gridCol w:w="352"/>
        <w:gridCol w:w="864"/>
        <w:gridCol w:w="163"/>
        <w:gridCol w:w="163"/>
        <w:gridCol w:w="163"/>
        <w:gridCol w:w="445"/>
        <w:gridCol w:w="348"/>
        <w:gridCol w:w="993"/>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25: Estimated Effect on Net Interest Income and EVE from Changing Interest Rates</w:t>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Interest Rates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Change in NII</w:t>
              <w:br/>
              <w:t>(as % of NII)</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Estimated Change in EVE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 of EVE)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Change in NII</w:t>
              <w:br/>
              <w:t>(as % of NII)</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Estimated Change in EVE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 of EVE)</w:t>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basis points)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4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(shock)</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8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8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9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(shock)</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8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(shock)</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8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9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+ 0 (flat)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(shock)</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8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9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(shock)</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8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(shock)</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8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9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186" w:type="dxa"/>
        <w:jc w:val="left"/>
        <w:tblInd w:w="0" w:type="dxa"/>
        <w:tblLayout w:type="fixed"/>
        <w:tblCellMar>
          <w:top w:w="28" w:type="dxa"/>
          <w:left w:w="28" w:type="dxa"/>
          <w:bottom w:w="28" w:type="dxa"/>
          <w:right w:w="28" w:type="dxa"/>
        </w:tblCellMar>
      </w:tblPr>
      <w:tblGrid>
        <w:gridCol w:w="3491"/>
        <w:gridCol w:w="3069"/>
        <w:gridCol w:w="3085"/>
        <w:gridCol w:w="158"/>
        <w:gridCol w:w="158"/>
        <w:gridCol w:w="225"/>
      </w:tblGrid>
      <w:tr>
        <w:trPr/>
        <w:tc>
          <w:tcPr>
            <w:tcW w:w="3491"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964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72">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(Moss Adams LLP; PCAOB ID# 659)</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72">
              <w:r>
                <w:rPr>
                  <w:rStyle w:val="InternetLink"/>
                  <w:rFonts w:ascii="Times New Roman;sans-serif" w:hAnsi="Times New Roman;sans-serif"/>
                  <w:b w:val="false"/>
                  <w:strike w:val="false"/>
                  <w:dstrike w:val="false"/>
                  <w:color w:val="000000"/>
                  <w:sz w:val="20"/>
                  <w:u w:val="none"/>
                  <w:effect w:val="none"/>
                </w:rPr>
                <w:t>74</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75">
              <w:r>
                <w:rPr>
                  <w:rStyle w:val="InternetLink"/>
                  <w:rFonts w:ascii="Times New Roman;sans-serif" w:hAnsi="Times New Roman;sans-serif"/>
                  <w:b w:val="false"/>
                  <w:color w:val="000080"/>
                  <w:sz w:val="20"/>
                  <w:u w:val="single"/>
                </w:rPr>
                <w:t>Consolidated Balance Sheets as of</w:t>
              </w:r>
            </w:hyperlink>
            <w:r>
              <w:rPr>
                <w:rFonts w:ascii="Times New Roman;sans-serif" w:hAnsi="Times New Roman;sans-serif"/>
                <w:b w:val="false"/>
                <w:color w:val="0000FF"/>
                <w:sz w:val="20"/>
                <w:u w:val="single"/>
              </w:rPr>
              <w:t xml:space="preserve"> December 31, 2024</w:t>
            </w:r>
            <w:hyperlink w:anchor="i992e64c3c6114c158244f040759da054_17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75">
              <w:r>
                <w:rPr>
                  <w:rStyle w:val="InternetLink"/>
                  <w:rFonts w:ascii="Times New Roman;sans-serif" w:hAnsi="Times New Roman;sans-serif"/>
                  <w:b w:val="false"/>
                  <w:strike w:val="false"/>
                  <w:dstrike w:val="false"/>
                  <w:color w:val="000000"/>
                  <w:sz w:val="20"/>
                  <w:u w:val="none"/>
                  <w:effect w:val="none"/>
                </w:rPr>
                <w:t>75</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2e64c3c6114c158244f040759da054_178">
              <w:r>
                <w:rPr>
                  <w:rStyle w:val="InternetLink"/>
                  <w:rFonts w:ascii="Times New Roman;sans-serif" w:hAnsi="Times New Roman;sans-serif"/>
                  <w:b w:val="false"/>
                  <w:color w:val="000080"/>
                  <w:sz w:val="20"/>
                  <w:u w:val="single"/>
                </w:rPr>
                <w:t>Consolidated Statements of Income for the years ended</w:t>
              </w:r>
            </w:hyperlink>
            <w:r>
              <w:rPr>
                <w:rFonts w:ascii="Times New Roman;sans-serif" w:hAnsi="Times New Roman;sans-serif"/>
                <w:b w:val="false"/>
                <w:color w:val="0000FF"/>
                <w:sz w:val="20"/>
                <w:u w:val="single"/>
              </w:rPr>
              <w:t xml:space="preserve"> December 31, 2024, 2023,</w:t>
            </w:r>
            <w:hyperlink w:anchor="i992e64c3c6114c158244f040759da054_17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78">
              <w:r>
                <w:rPr>
                  <w:rStyle w:val="InternetLink"/>
                  <w:rFonts w:ascii="Times New Roman;sans-serif" w:hAnsi="Times New Roman;sans-serif"/>
                  <w:b w:val="false"/>
                  <w:strike w:val="false"/>
                  <w:dstrike w:val="false"/>
                  <w:color w:val="000000"/>
                  <w:sz w:val="20"/>
                  <w:u w:val="none"/>
                  <w:effect w:val="none"/>
                </w:rPr>
                <w:t>76</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2e64c3c6114c158244f040759da054_181">
              <w:r>
                <w:rPr>
                  <w:rStyle w:val="InternetLink"/>
                  <w:rFonts w:ascii="Times New Roman;sans-serif" w:hAnsi="Times New Roman;sans-serif"/>
                  <w:b w:val="false"/>
                  <w:color w:val="000080"/>
                  <w:sz w:val="20"/>
                  <w:u w:val="single"/>
                </w:rPr>
                <w:t>Consolidated Statements of Comprehensive Income for the years ended</w:t>
              </w:r>
            </w:hyperlink>
            <w:r>
              <w:rPr>
                <w:rFonts w:ascii="Times New Roman;sans-serif" w:hAnsi="Times New Roman;sans-serif"/>
                <w:b w:val="false"/>
                <w:color w:val="0000FF"/>
                <w:sz w:val="20"/>
                <w:u w:val="single"/>
              </w:rPr>
              <w:t xml:space="preserve"> December 31, 2024, 2023,</w:t>
            </w:r>
            <w:hyperlink w:anchor="i992e64c3c6114c158244f040759da054_18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81">
              <w:r>
                <w:rPr>
                  <w:rStyle w:val="InternetLink"/>
                  <w:rFonts w:ascii="Times New Roman;sans-serif" w:hAnsi="Times New Roman;sans-serif"/>
                  <w:b w:val="false"/>
                  <w:strike w:val="false"/>
                  <w:dstrike w:val="false"/>
                  <w:color w:val="000000"/>
                  <w:sz w:val="20"/>
                  <w:u w:val="none"/>
                  <w:effect w:val="none"/>
                </w:rPr>
                <w:t>77</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2e64c3c6114c158244f040759da054_184">
              <w:r>
                <w:rPr>
                  <w:rStyle w:val="InternetLink"/>
                  <w:rFonts w:ascii="Times New Roman;sans-serif" w:hAnsi="Times New Roman;sans-serif"/>
                  <w:b w:val="false"/>
                  <w:color w:val="000080"/>
                  <w:sz w:val="20"/>
                  <w:u w:val="single"/>
                </w:rPr>
                <w:t>Consolidated Statements of Changes in Shareholders’ Equity for the years ended</w:t>
              </w:r>
            </w:hyperlink>
            <w:r>
              <w:rPr>
                <w:rFonts w:ascii="Times New Roman;sans-serif" w:hAnsi="Times New Roman;sans-serif"/>
                <w:b w:val="false"/>
                <w:color w:val="0000FF"/>
                <w:sz w:val="20"/>
                <w:u w:val="single"/>
              </w:rPr>
              <w:t xml:space="preserve"> December 31, 2024, 2023,</w:t>
            </w:r>
            <w:hyperlink w:anchor="i992e64c3c6114c158244f040759da054_184">
              <w:r>
                <w:rPr>
                  <w:rStyle w:val="InternetLink"/>
                  <w:rFonts w:ascii="Times New Roman;sans-serif" w:hAnsi="Times New Roman;sans-serif"/>
                  <w:b w:val="false"/>
                  <w:color w:val="000080"/>
                  <w:sz w:val="20"/>
                  <w:u w:val="single"/>
                </w:rPr>
                <w:t xml:space="preserve"> and</w:t>
              </w:r>
            </w:hyperlink>
            <w:r>
              <w:rPr>
                <w:color w:val="000000"/>
                <w:u w:val="single"/>
              </w:rPr>
              <w:t xml:space="preserve"> </w:t>
            </w:r>
            <w:r>
              <w:rPr>
                <w:rFonts w:ascii="Times New Roman;sans-serif" w:hAnsi="Times New Roman;sans-serif"/>
                <w:b w:val="false"/>
                <w:color w:val="0000FF"/>
                <w:sz w:val="20"/>
                <w:u w:val="single"/>
              </w:rPr>
              <w:t>2022</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84">
              <w:r>
                <w:rPr>
                  <w:rStyle w:val="InternetLink"/>
                  <w:rFonts w:ascii="Times New Roman;sans-serif" w:hAnsi="Times New Roman;sans-serif"/>
                  <w:b w:val="false"/>
                  <w:strike w:val="false"/>
                  <w:dstrike w:val="false"/>
                  <w:color w:val="000000"/>
                  <w:sz w:val="20"/>
                  <w:u w:val="none"/>
                  <w:effect w:val="none"/>
                </w:rPr>
                <w:t>78</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2e64c3c6114c158244f040759da054_187">
              <w:r>
                <w:rPr>
                  <w:rStyle w:val="InternetLink"/>
                  <w:rFonts w:ascii="Times New Roman;sans-serif" w:hAnsi="Times New Roman;sans-serif"/>
                  <w:b w:val="false"/>
                  <w:color w:val="000080"/>
                  <w:sz w:val="20"/>
                  <w:u w:val="single"/>
                </w:rPr>
                <w:t>Consolidated Statements of Cash Flows for the years ended</w:t>
              </w:r>
            </w:hyperlink>
            <w:r>
              <w:rPr>
                <w:rFonts w:ascii="Times New Roman;sans-serif" w:hAnsi="Times New Roman;sans-serif"/>
                <w:b w:val="false"/>
                <w:color w:val="0000FF"/>
                <w:sz w:val="20"/>
                <w:u w:val="single"/>
              </w:rPr>
              <w:t xml:space="preserve"> December 31, 2024, 2023,</w:t>
            </w:r>
            <w:hyperlink w:anchor="i992e64c3c6114c158244f040759da054_187">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87">
              <w:r>
                <w:rPr>
                  <w:rStyle w:val="InternetLink"/>
                  <w:rFonts w:ascii="Times New Roman;sans-serif" w:hAnsi="Times New Roman;sans-serif"/>
                  <w:b w:val="false"/>
                  <w:strike w:val="false"/>
                  <w:dstrike w:val="false"/>
                  <w:color w:val="000000"/>
                  <w:sz w:val="20"/>
                  <w:u w:val="none"/>
                  <w:effect w:val="none"/>
                </w:rPr>
                <w:t>79</w:t>
              </w:r>
            </w:hyperlink>
          </w:p>
        </w:tc>
      </w:tr>
      <w:tr>
        <w:trPr/>
        <w:tc>
          <w:tcPr>
            <w:tcW w:w="964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92e64c3c6114c158244f040759da054_190">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92e64c3c6114c158244f040759da054_190">
              <w:r>
                <w:rPr>
                  <w:rStyle w:val="InternetLink"/>
                  <w:rFonts w:ascii="Times New Roman;sans-serif" w:hAnsi="Times New Roman;sans-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Five Star Bancorp and Subsidiary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Five Star Bancorp (and subsidiary) (the “Company”) as of December 31, 2024 and 2023, the related consolidated statements of income, comprehensive income, changes in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consolidated financial position of the Company as of December 31, 2024 and 2023, and the consolidated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Accounting Principle</w:t>
      </w:r>
    </w:p>
    <w:p>
      <w:pPr>
        <w:pStyle w:val="TextBody"/>
        <w:bidi w:val="0"/>
        <w:spacing w:lineRule="auto" w:line="288" w:before="240" w:after="283"/>
        <w:jc w:val="both"/>
        <w:rPr/>
      </w:pPr>
      <w:r>
        <w:rPr>
          <w:rFonts w:ascii="Times New Roman;sans-serif" w:hAnsi="Times New Roman;sans-serif"/>
          <w:b w:val="false"/>
          <w:color w:val="000000"/>
          <w:sz w:val="20"/>
        </w:rPr>
        <w:t xml:space="preserve">As discussed in Notes 1, 2, 3 and 4 to the consolidated financial statements, the Company changed its method of accounting for the allowance for credit losses as of January 1, 2023, due to the adoption of Accounting Standards Update No. 2016-13, which established Accounting Standards Codification Topic 326,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in accordance with the standards of the PCAOB. As part of our audits, we are required to obtain an understanding of internal control over financial reporting, but not for the purpose of expressing an opinion on the effectiveness of the Company’s internal control over financial reporting in accordance with the standards of the PCAOB. Accordingly, we express no such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Everett, Washington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and 2023</w:t>
      </w:r>
    </w:p>
    <w:tbl>
      <w:tblPr>
        <w:tblW w:w="10205" w:type="dxa"/>
        <w:jc w:val="center"/>
        <w:tblInd w:w="0" w:type="dxa"/>
        <w:tblLayout w:type="fixed"/>
        <w:tblCellMar>
          <w:top w:w="28" w:type="dxa"/>
          <w:left w:w="28" w:type="dxa"/>
          <w:bottom w:w="28" w:type="dxa"/>
          <w:right w:w="28" w:type="dxa"/>
        </w:tblCellMar>
      </w:tblPr>
      <w:tblGrid>
        <w:gridCol w:w="2970"/>
        <w:gridCol w:w="2116"/>
        <w:gridCol w:w="2123"/>
        <w:gridCol w:w="211"/>
        <w:gridCol w:w="991"/>
        <w:gridCol w:w="109"/>
        <w:gridCol w:w="109"/>
        <w:gridCol w:w="109"/>
        <w:gridCol w:w="109"/>
        <w:gridCol w:w="211"/>
        <w:gridCol w:w="991"/>
        <w:gridCol w:w="156"/>
      </w:tblGrid>
      <w:tr>
        <w:trPr/>
        <w:tc>
          <w:tcPr>
            <w:tcW w:w="297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amounts)</w:t>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3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due from financial institutions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Interest-bearing deposits in banks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294,590 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352,343 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321,576 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Time deposits in banks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available-for-sale, at fair value, net of allowance for credit losses of $0 at December 31, 2024 and 2023 (amortized cost of $115,757 and $124,788 at December 31, 2024 and 2023,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held-to-maturity, at amortized cost, net of allowance for credit losses of $20 at December 31, 2024 and 2023 (fair value of $2,353 and $2,913 at December 31, 2024 and 2023,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held for sale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11,464 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held for investment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3,081,719 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Allowance for credit losses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(34,431)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held for investment, net of allowance for credit losses</w:t>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3,494,895 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3,047,288 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FHLB stock</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leases, right-of-use asset,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5,284 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Premises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Bank-owned life insurance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receivable and 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56,692 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4,053,278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3,593,125</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SHAREHOLDERS’ EQUITY</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Non-interest-bearing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831,101 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Interest-bearing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2,195,795 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deposits</w:t>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3,557,994 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3,026,896 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Borrowings: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Subordinated notes,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73,749 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borrowings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170,000 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payable and 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3,656,654 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3,307,351 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15)</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Shareholders’ equity:</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no par value; 10,000,000 shares authorized; zero issued and outstanding at December 31, 2024 and 2023</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no par value; 100,000,000 shares authorized; 21,319,083 shares issued and outstanding at December 31, 2024; 17,256,989 shares issued and outstanding at December 31, 2023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220,505 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 net of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(11,767)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shareholders’ equity</w:t>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396,624 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285,774 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 and shareholders’ equity</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4,053,278</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3,593,125</w:t>
            </w:r>
            <w:r>
              <w:rPr>
                <w:color w:val="000000"/>
              </w:rPr>
              <w:t>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8366" w:type="dxa"/>
        <w:jc w:val="center"/>
        <w:tblInd w:w="0" w:type="dxa"/>
        <w:tblLayout w:type="fixed"/>
        <w:tblCellMar>
          <w:top w:w="28" w:type="dxa"/>
          <w:left w:w="28" w:type="dxa"/>
          <w:bottom w:w="28" w:type="dxa"/>
          <w:right w:w="28" w:type="dxa"/>
        </w:tblCellMar>
      </w:tblPr>
      <w:tblGrid>
        <w:gridCol w:w="1530"/>
        <w:gridCol w:w="1345"/>
        <w:gridCol w:w="1354"/>
        <w:gridCol w:w="211"/>
        <w:gridCol w:w="826"/>
        <w:gridCol w:w="109"/>
        <w:gridCol w:w="109"/>
        <w:gridCol w:w="109"/>
        <w:gridCol w:w="109"/>
        <w:gridCol w:w="211"/>
        <w:gridCol w:w="826"/>
        <w:gridCol w:w="109"/>
        <w:gridCol w:w="109"/>
        <w:gridCol w:w="109"/>
        <w:gridCol w:w="109"/>
        <w:gridCol w:w="211"/>
        <w:gridCol w:w="826"/>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amounts)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Interest and fee income:</w:t>
            </w:r>
          </w:p>
        </w:tc>
        <w:tc>
          <w:tcPr>
            <w:tcW w:w="11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including fees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111,795 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Nontaxable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Interest-bearing deposits in banks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interest and fee income</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206,951 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174,382 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117,918 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Interest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Subordinated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interest expense</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87,240 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63,502 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14,848 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Net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103,070 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Net interest income after provision for credit losses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112,761 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106,880 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96,370 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Non-interest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charges on deposit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gain (loss) on sale of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Loan-related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FHLB stock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on BOLI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non-interest income</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7,157 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Non-interest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Salaries and employee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Data processing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FDIC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Advertising and promotional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non-interest expense</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54,493 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40,669 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62,858 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45,671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47,734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44,801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earnings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10205" w:type="dxa"/>
        <w:jc w:val="left"/>
        <w:tblInd w:w="0" w:type="dxa"/>
        <w:tblLayout w:type="fixed"/>
        <w:tblCellMar>
          <w:top w:w="28" w:type="dxa"/>
          <w:left w:w="28" w:type="dxa"/>
          <w:bottom w:w="28" w:type="dxa"/>
          <w:right w:w="28" w:type="dxa"/>
        </w:tblCellMar>
      </w:tblPr>
      <w:tblGrid>
        <w:gridCol w:w="2354"/>
        <w:gridCol w:w="1988"/>
        <w:gridCol w:w="1994"/>
        <w:gridCol w:w="211"/>
        <w:gridCol w:w="736"/>
        <w:gridCol w:w="109"/>
        <w:gridCol w:w="109"/>
        <w:gridCol w:w="109"/>
        <w:gridCol w:w="109"/>
        <w:gridCol w:w="211"/>
        <w:gridCol w:w="736"/>
        <w:gridCol w:w="109"/>
        <w:gridCol w:w="109"/>
        <w:gridCol w:w="109"/>
        <w:gridCol w:w="109"/>
        <w:gridCol w:w="211"/>
        <w:gridCol w:w="736"/>
        <w:gridCol w:w="156"/>
      </w:tblGrid>
      <w:tr>
        <w:trPr/>
        <w:tc>
          <w:tcPr>
            <w:tcW w:w="2354"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securities: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holding (loss) gain on securities available-for-sale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for net loss (gain) on sale of securities included in 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(benefit) expense related to items of other comprehensive (loss)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31,913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pPr>
      <w:r>
        <w:rPr>
          <w:rFonts w:ascii="Times New Roman;sans-serif" w:hAnsi="Times New Roman;sans-serif"/>
          <w:b/>
          <w:color w:val="000000"/>
          <w:sz w:val="20"/>
        </w:rPr>
        <w:t>FIVE STAR BANCORP AND SUBSIDIARY</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10205" w:type="dxa"/>
        <w:jc w:val="left"/>
        <w:tblInd w:w="0" w:type="dxa"/>
        <w:tblLayout w:type="fixed"/>
        <w:tblCellMar>
          <w:top w:w="28" w:type="dxa"/>
          <w:left w:w="28" w:type="dxa"/>
          <w:bottom w:w="28" w:type="dxa"/>
          <w:right w:w="28" w:type="dxa"/>
        </w:tblCellMar>
      </w:tblPr>
      <w:tblGrid>
        <w:gridCol w:w="874"/>
        <w:gridCol w:w="507"/>
        <w:gridCol w:w="510"/>
        <w:gridCol w:w="540"/>
        <w:gridCol w:w="541"/>
        <w:gridCol w:w="226"/>
        <w:gridCol w:w="109"/>
        <w:gridCol w:w="109"/>
        <w:gridCol w:w="109"/>
        <w:gridCol w:w="211"/>
        <w:gridCol w:w="826"/>
        <w:gridCol w:w="109"/>
        <w:gridCol w:w="109"/>
        <w:gridCol w:w="109"/>
        <w:gridCol w:w="109"/>
        <w:gridCol w:w="224"/>
        <w:gridCol w:w="879"/>
        <w:gridCol w:w="115"/>
        <w:gridCol w:w="109"/>
        <w:gridCol w:w="109"/>
        <w:gridCol w:w="109"/>
        <w:gridCol w:w="366"/>
        <w:gridCol w:w="1280"/>
        <w:gridCol w:w="192"/>
        <w:gridCol w:w="109"/>
        <w:gridCol w:w="109"/>
        <w:gridCol w:w="109"/>
        <w:gridCol w:w="263"/>
        <w:gridCol w:w="1034"/>
        <w:gridCol w:w="200"/>
      </w:tblGrid>
      <w:tr>
        <w:trPr/>
        <w:tc>
          <w:tcPr>
            <w:tcW w:w="8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9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r>
      <w:tr>
        <w:trPr/>
        <w:tc>
          <w:tcPr>
            <w:tcW w:w="1891" w:type="dxa"/>
            <w:gridSpan w:val="3"/>
            <w:vMerge w:val="continue"/>
            <w:tcBorders/>
            <w:tcMar>
              <w:top w:w="0" w:type="dxa"/>
              <w:left w:w="0" w:type="dxa"/>
              <w:bottom w:w="0" w:type="dxa"/>
              <w:right w:w="0" w:type="dxa"/>
            </w:tcMar>
            <w:vAlign w:val="center"/>
          </w:tcPr>
          <w:p>
            <w:pPr>
              <w:pStyle w:val="Normal"/>
              <w:bidi w:val="0"/>
              <w:jc w:val="left"/>
              <w:rPr/>
            </w:pPr>
            <w:r>
              <w:rPr/>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17,224,848 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235,046 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ASC 842 on retained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stock award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forfeitures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($1.05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17,241,926 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46,736 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(13,454)</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252,825 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ASC 326 on retained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stock award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forfeitures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($0.75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17,256,989 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77,036 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285,774 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stock award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forfeitures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($0.80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21,319,083 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106,464 </w:t>
            </w:r>
          </w:p>
        </w:tc>
        <w:tc>
          <w:tcPr>
            <w:tcW w:w="1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w:t>
            </w:r>
          </w:p>
        </w:tc>
        <w:tc>
          <w:tcPr>
            <w:tcW w:w="1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396,624 </w:t>
            </w:r>
          </w:p>
        </w:tc>
        <w:tc>
          <w:tcPr>
            <w:tcW w:w="2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pPr>
      <w:r>
        <w:rPr>
          <w:rFonts w:ascii="Times New Roman;sans-serif" w:hAnsi="Times New Roman;sans-serif"/>
          <w:b/>
          <w:color w:val="000000"/>
          <w:sz w:val="20"/>
        </w:rPr>
        <w:t>FIVE STAR BANCORP AND SUBSIDIARY</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10205" w:type="dxa"/>
        <w:jc w:val="left"/>
        <w:tblInd w:w="0" w:type="dxa"/>
        <w:tblLayout w:type="fixed"/>
        <w:tblCellMar>
          <w:top w:w="28" w:type="dxa"/>
          <w:left w:w="28" w:type="dxa"/>
          <w:bottom w:w="28" w:type="dxa"/>
          <w:right w:w="28" w:type="dxa"/>
        </w:tblCellMar>
      </w:tblPr>
      <w:tblGrid>
        <w:gridCol w:w="2229"/>
        <w:gridCol w:w="1894"/>
        <w:gridCol w:w="1898"/>
        <w:gridCol w:w="211"/>
        <w:gridCol w:w="841"/>
        <w:gridCol w:w="109"/>
        <w:gridCol w:w="109"/>
        <w:gridCol w:w="109"/>
        <w:gridCol w:w="109"/>
        <w:gridCol w:w="211"/>
        <w:gridCol w:w="841"/>
        <w:gridCol w:w="109"/>
        <w:gridCol w:w="109"/>
        <w:gridCol w:w="109"/>
        <w:gridCol w:w="109"/>
        <w:gridCol w:w="211"/>
        <w:gridCol w:w="841"/>
        <w:gridCol w:w="156"/>
      </w:tblGrid>
      <w:tr>
        <w:trPr/>
        <w:tc>
          <w:tcPr>
            <w:tcW w:w="222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w:t>
            </w:r>
          </w:p>
        </w:tc>
        <w:tc>
          <w:tcPr>
            <w:tcW w:w="11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11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deferred loan fees and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premiums and discounts on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subordinated note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low income housing tax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on BOLI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provision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originated for 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loans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proceeds from sale of loans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(gain) on sale of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Extinguishment of redeemed subordinated note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partial sale of equity investment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receivable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payable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operating activities</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51,786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38,914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45,975</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Maturities, prepayments, and calls of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call for equity investment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received from equity investment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Low income housing tax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 in time deposits in banks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 originations, net of repayments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(848,283)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premises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FHLB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BOLI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investing activities</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(446,744)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(279,278)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(836,922)</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1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 in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stock, net of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advances on other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dividends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subordinated note issuance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Subordinated note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Subordinated note redemption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financing activities</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425,725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301,949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625,609</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 in cash and cash equivalents</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61,585 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(165,338)</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Cash and cash equivalents at end of period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352,343</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321,576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259,991</w:t>
            </w:r>
            <w:r>
              <w:rPr>
                <w:color w:val="00000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tbl>
      <w:tblPr>
        <w:tblW w:w="10091" w:type="dxa"/>
        <w:jc w:val="left"/>
        <w:tblInd w:w="0" w:type="dxa"/>
        <w:tblLayout w:type="fixed"/>
        <w:tblCellMar>
          <w:top w:w="28" w:type="dxa"/>
          <w:left w:w="28" w:type="dxa"/>
          <w:bottom w:w="28" w:type="dxa"/>
          <w:right w:w="28" w:type="dxa"/>
        </w:tblCellMar>
      </w:tblPr>
      <w:tblGrid>
        <w:gridCol w:w="2308"/>
        <w:gridCol w:w="2031"/>
        <w:gridCol w:w="2035"/>
        <w:gridCol w:w="211"/>
        <w:gridCol w:w="721"/>
        <w:gridCol w:w="109"/>
        <w:gridCol w:w="109"/>
        <w:gridCol w:w="109"/>
        <w:gridCol w:w="109"/>
        <w:gridCol w:w="211"/>
        <w:gridCol w:w="721"/>
        <w:gridCol w:w="109"/>
        <w:gridCol w:w="109"/>
        <w:gridCol w:w="109"/>
        <w:gridCol w:w="109"/>
        <w:gridCol w:w="211"/>
        <w:gridCol w:w="616"/>
        <w:gridCol w:w="154"/>
      </w:tblGrid>
      <w:tr>
        <w:trPr/>
        <w:tc>
          <w:tcPr>
            <w:tcW w:w="2308"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w:t>
            </w:r>
          </w:p>
        </w:tc>
        <w:tc>
          <w:tcPr>
            <w:tcW w:w="10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noncash items: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Transfer from loans held for sale to loans held for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Unrealized (loss) gain on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recorded in conjunction with adoption of ASC 842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exchanged for ROUA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ROUA recorded in conjunction with adoption of ASC 842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ROUA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 in commitment for low income housing 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Cumulative effect of adoption of ASC 842 on retained earnings,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Cumulative effect of adoption of ASC 326 on retained earnings,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Nature of Operations and Principles of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Five Star Bank was chartered on October 26, 1999 and began operations on December 20, 1999. Five Star Bancorp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the Bank, provides a broad range of banking products and services to customers who are predominately small and medium-sized businesses, professionals, and individuals primarily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eight branch offices in Roseville, Natomas, Rancho Cordova, Redding, Elk Grove, Chico, Yuba City, and San Francisco.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terminated its status as a Subchapter S corporation as of May 5, 2021, in connection with the Company’s IPO and became a taxable C Corporation. Prior to that date, as an S Corporation, the Company had no U.S. federal income tax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publicly filed a Registration Statement on Form S-1 with the SEC in connection with its IPO, which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$111,243,000. The net proceeds less other related expenses, including audit fees, legal fees, listing fees, and other expenses, totaled $109,082,000.</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Financial Statement Presentation and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(“GAAP”) as contained within the FASB’s ASC, including ASU, and the rules and regulations of the SEC, including the instructions to Regulation S-X.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Bancorp and its wholly owned subsidiary, the Bank. All significant intercompany transactions and balances are eliminated in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and reporting policies conform to GAAP and to general practices within the banking industry.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reportable operating segment: banking. The banking segment derives its revenues through the Bank, which provides a broad range of banking products and services to customers who are predominantly small to medium-sized businesses, professionals, and individuals primarily in Northern California. The Company manages the business activities on a consolidated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metrics are used by the CODM to make key operating decisions, such as determination of the rate at which the Company seeks to grow, loan and deposit pricing, and the allocation of budget for non-interest expenses. Net income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used to monitor budget versus actual results. Discrete financial information is not available other than on a Company-wide basis.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consolidated financial statements and the disclosures provided, and actual results could differ. The ACL is the most significant accounting estimate reflected in the Company’s consolidated financial statements. Other estimates include fair value measurements, valuation of servicing assets, and deferred tax asset valuation.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cash and cash equivalents as cash, due from financial institutions, interest-bearing deposits in banks with short-term original maturities, and federal funds sold. Generally, federal funds are sold for one-day periods, if at all. At times throughout the year, balances can exceed FDIC insurance limits. The Company has not experienced any historical losses associated with balances maintained with financial institutions in excess of FDIC insurance limits, and management continues to monitor the financial condition of the major financial institutions where these funds are held.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Available-for-Sale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securities consist of bonds, notes, and debentures not classified as trading securities or held-to-maturity securities. Securities are classified as available-for-sale if the Company intends and has the ability to hold those securities for a period of time, but not necessarily to maturity. Any decision to sell a security classified as available-for-sale would be based on various factors, including significant movements in interest rates, changes in the maturity mix of assets and liabilities, liquidity needs, regulatory capital considerations, and other similar factors.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 are carried at fair value. Unrealized holding gains or losses are included in other comprehensive income as a separate component of shareholders’ equity, net of tax. Realized gains or losses, determined based on the cost of specific securities sold, are included in earnings. Premiums are amortized over the life of the security or, if a callable bond, over the earliest call date, and discounts are accreted over the life of the related investment security as an adjustment to interest income using the effective interest method. Interest income is recognized when earned.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Unrealized credit losses are recognized through an allowance for credit losses instead of an adjustment to amortized cost basis, eliminating the other-than-temporary impairment concept. For available-for-sale debt securities in an unrealized loss 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available-for-sale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available-for-sale debt security are recognized in other comprehensive income, net of applicable taxes. Changes in the allowance for credit losses, if any, are recognized as a provision for (or reversal of) credit losses. Accrued interest receivable is not subject to an estimate for credit loss, as the Company has a policy to charge off accrued interest deemed uncollectible in a timely manner.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Held-to-Maturity</w:t>
      </w:r>
    </w:p>
    <w:p>
      <w:pPr>
        <w:pStyle w:val="TextBody"/>
        <w:bidi w:val="0"/>
        <w:spacing w:lineRule="auto" w:line="288" w:before="200" w:after="283"/>
        <w:jc w:val="both"/>
        <w:rPr/>
      </w:pPr>
      <w:r>
        <w:rPr>
          <w:rFonts w:ascii="Times New Roman;sans-serif" w:hAnsi="Times New Roman;sans-serif"/>
          <w:b w:val="false"/>
          <w:color w:val="000000"/>
          <w:sz w:val="20"/>
        </w:rPr>
        <w:t xml:space="preserve">Securities are classified as held-to-maturity if the Company has both the intent and ability to hold those securities to maturity regardless of changes in market conditions, liquidity needs, or changes in general economic conditions. These securities are carried at cost adjusted for amortization of premium to the earliest callable call date and accretion of discount, computed by the effective interest method over the life of the related investment. Estimated credit losses are recorded under ASU No.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and all subsequent amendments that modified ASU 2016-13 (collectively, “ASC 326”) through a credit loss expense and an allowance. Accrued interest receivable is not subject to an estimate for credit loss, as the Company has a policy to charge off accrued interest deemed uncollectible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Loans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reported at the principal amount outstanding, net of deferred loan fees and costs and the allowance for credit losses. Interest on loans is accrued daily based on the principal outstanding.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fees, net of certain direct costs of origination, are deferred and recognized in interest income using the level-yield method without anticipating prepayments. During the years ended December 31, 2024, 2023, and 2022, salaries and employee benefits totaling $3,719,000, $3,461,000, and $6,155,000, respectively, were deferred as loan origination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loan pools based primarily on regulatory reporting codes, as the loans within each pool share similar risk characteristics and there is sufficient historical peer loss data from the FFIEC to provide statistically meaningful support in the models developed. The Company further stratified the following portfolios as the loans in these pools have different repayment structures and credit risk characteristics: Multifamily portfolio into traditional Multifamily loans and Manufactured Home Community (“MHC”) loans, CRE Non-Owner Occupied portfolio into traditional CRE Non-Owner Occupied loans and RV Park loans, and C&amp;I portfolio into traditional C&amp;I loans and SBA loans. The Company also stratified C&amp;I loans and consumer loans that do not require reserves, as the Company has third-party agreements in place to cover credit losses. The Company has identified the following pools subject to estimate of credit loss: (1) 1-4 Family Construction; (2) Other Construction; (3) Farmland; (4) Revolving Secured by 1-4 Family; (5) Residential Secured by First Liens; (6) Residential Secured by Junior Liens; (7) Multifamily; (8) Multifamily MHC; (9) CRE Owner Occupied; (10) CRE Non-Owner Occupied; (11) CRE Non-Owner Occupied RV Park; (12) Agriculture; (13) C&amp;I; (14) C&amp;I SBA; (15) Consumer; and (16) Municipal.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the C&amp;I SBA pool, the Company has determined, given its limited loss experience, that peer data and other external data to support loss history provides the best basis for its assessment of expected credit losses. The Company believes that the use of peer loss data from March 31, 2004 through December 31, 2019 and January 31, 2022 through March 31, 2024 presents loss histories that appropriately reflect a full economic cycle, reflects asset-specific risk characteristics at each pool level identified, and includes a historical look-back period that is objective and reflective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expected credit losses. Loss data from 2020 and 2021 was excluded from the data set to exclude pandemic-related data from the model.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method for determining the estimate of lifetime credit losses includes, among other things, the following main components: (i) the use of probability of default and loss given default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inherent limitations of a quantitative-only model, qualitative adjustments are included to factor in data points not captured from a quantitative analysis alone.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Qualitative criteria that can be considered includes, among other things, the following:</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Concentrations – the existence and effect of any concentrations of credit, and changes in the level of such concentrations;</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Volume – changes in the nature and volume of the portfolio and in the terms of the loans;</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Economic – changes in international, national, regional, and local economic and business conditions and developments that affect the collectability of the portfolio, including the condition of various market segments;</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Policy – changes in lending policies and procedures, including changes in underwriting standards and collection, charge-off, and recovery practices not considered elsewhere in estimating credit losses;</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Quality – changes in the volume and severity of past due loans, the volume of non-accrual loans, and the volume and severity of adversely classified or graded loans; and</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External – the effect of other external factors, such as competition and legal and regulatory requirements on the level of estimated credit losses in the Company’s loan portfolio.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 The Audit Committee of the board of directors reviews the adequacy of the allowance at least quarterly.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 is excluded from amortized cost of all financial instrument types and included in “Interest receivable and other assets” in the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individual loan’s characteristics have deteriorated to below a range of the overall pool, the loan would be individually assessed. Individually assessed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Troubled Debt Restructurings (“TDRs”) and Other Loan Modifications</w:t>
      </w:r>
    </w:p>
    <w:p>
      <w:pPr>
        <w:pStyle w:val="TextBody"/>
        <w:bidi w:val="0"/>
        <w:spacing w:lineRule="auto" w:line="288" w:before="200" w:after="283"/>
        <w:jc w:val="both"/>
        <w:rPr/>
      </w:pPr>
      <w:r>
        <w:rPr>
          <w:rFonts w:ascii="Times New Roman;sans-serif" w:hAnsi="Times New Roman;sans-serif"/>
          <w:b w:val="false"/>
          <w:color w:val="000000"/>
          <w:sz w:val="20"/>
        </w:rPr>
        <w:t xml:space="preserve">In accordance with the adoption of ASC 326, which includes ASU No. 2022-02, </w:t>
      </w:r>
      <w:r>
        <w:rPr>
          <w:rFonts w:ascii="Times New Roman;sans-serif" w:hAnsi="Times New Roman;sans-serif"/>
          <w:b w:val="false"/>
          <w:i/>
          <w:color w:val="000000"/>
          <w:sz w:val="20"/>
        </w:rPr>
        <w:t>Financial Instruments-Credit Losses (Topic 326): Troubled Debt Restructurings and Vintage Disclosures</w:t>
      </w:r>
      <w:r>
        <w:rPr>
          <w:rFonts w:ascii="Times New Roman;sans-serif" w:hAnsi="Times New Roman;sans-serif"/>
          <w:b w:val="false"/>
          <w:color w:val="000000"/>
          <w:sz w:val="20"/>
        </w:rPr>
        <w:t>, accounting guidance for TDRs for creditors has been eliminated. New guidance with respect to recognition, measurement, and disclosures of loans for borrowers experiencing financial difficulties supersedes guidance on TDRs. Under ASU No. 2022-02, the Company is required to evaluate whether a loan modification represents a new loan or a continuation of an existing loan. The amendment enhanced existing disclosure requirements and introduced new requirements related to certain modifications of receivables made to borrowers experiencing financial difficulty under criteria of principal forgiveness, interest rate reduction, other-than-insignificant payment delay, or term extension.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Home Loan Bank stock represents the Company’s investment in the stock of the FHLB and is carried at par value. While technically these are considered equity securities, there is no market for FHLB stock. Therefore, the shares are considered as other investment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periodically evaluates FHLB stock for impairment.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(i) the significance of any decline in net assets of the FHLB, as compared to the capital stock amount for the FHLB and the length of time this situation has persisted; (ii) commitments by the FHLB to make payments required by law or regulation and the level of such payments in relation to the operating performance of the FHLB; (iii) the impact of legislative and regulatory changes on institutions and, accordingly, the customer base of the FHLB; and (iv) the liquidity position of the FHLB. Both cash and stock dividends are reported as non-interest income.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Premises and Equipment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Premises and equipment are stated at cost less accumulated depreciation and amortization. Depreciation and amortization are provided for in amounts sufficient to relate the cost of depreciable assets to operations over their estimated service lives using a straight-line basis. Table 1.1 presents the normal estimated lives used in determining depreciation and amortization.</w:t>
      </w:r>
    </w:p>
    <w:tbl>
      <w:tblPr>
        <w:tblW w:w="5127" w:type="dxa"/>
        <w:jc w:val="left"/>
        <w:tblInd w:w="0" w:type="dxa"/>
        <w:tblLayout w:type="fixed"/>
        <w:tblCellMar>
          <w:top w:w="28" w:type="dxa"/>
          <w:left w:w="28" w:type="dxa"/>
          <w:bottom w:w="28" w:type="dxa"/>
          <w:right w:w="28" w:type="dxa"/>
        </w:tblCellMar>
      </w:tblPr>
      <w:tblGrid>
        <w:gridCol w:w="890"/>
        <w:gridCol w:w="779"/>
        <w:gridCol w:w="779"/>
        <w:gridCol w:w="779"/>
        <w:gridCol w:w="779"/>
        <w:gridCol w:w="1121"/>
      </w:tblGrid>
      <w:tr>
        <w:trPr/>
        <w:tc>
          <w:tcPr>
            <w:tcW w:w="89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5127" w:type="dxa"/>
            <w:gridSpan w:val="6"/>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1.1: Normal Estimated Lives - Premises and Equipment</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2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3 - 12 years</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5 - 15 years</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2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amortized over the lesser of the useful life of the asset or the remaining term of the lease. The straight-line method of depreciation is followed for all assets for financial reporting purposes, but accelerated methods are used for tax purposes.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assets are sold or otherwise disposed of, the cost and related accumulated depreciation or amortization are removed from the accounts, and any resulting gain or loss is recognized in income for the period. The cost of maintenance and repairs is charged to expense as incurred.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properties acquired through, or in lieu of, loan foreclosure, are classified as OREO, are to be sold, and are initially recorded at fair value of the property at the date of foreclosure less estimated selling costs. Any write-downs in value are recorded against the allowance for credit losses. Subsequent to foreclosure, valuations are periodically performed, and any revisions in the estimate of fair value are reported as adjustments to the carrying value of the real estate, provided the adjusted carrying amount does not exceed the original amount at foreclosure. Subsequent valuation adjustments are recognized as OREO write-downs. Revenues and expenses incurred from OREO property management are recorded in non-interest income and non-interest expense, respectively. During 2024, 2023, and 2022, the Bank did not foreclose on any loans.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BOLI</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BOLI is recorded at the amount that can be realized under the insurance contract at the consolidated balance sheet date, which is the cash surrender value adjusted for other charges or other amounts due that are probable at settlement. Increases in contract value are recorded as non-interest income, and insurance proceeds received are recorded as a reduction of the contract value.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Premises, equipment, and other long-term assets are reviewed for impairment when events indicate that their carrying amount may not be recoverable from future undiscounted cash flows. If impaired, the assets are adjusted to reflect their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ROUA in the consolidated balance sheets for those leases that convey rights to control use of identified assets for a period of time in exchange for consideration. The Company records a lease liability in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 Known or determinable adjustments to the required minimum future lease payments are included in the calculation of the Company’s ROUA and lease liability. Adjustments to the required minimum future lease payments that are variable and will not be determinable until a future period, if any, are included as variable lease costs. Additionally, when expected variable payments for common area maintenance, taxes, and insurance are unknown and not determinable at lease commencement, they are not included in the determination of the Company’s ROUA and lease liability.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investments with readily determinable fair values are carried at fair value, with changes in fair value reported in net income. Equity investments without readily determinable fair values are carried at cost, less impairment, if any, and adjusted for changes resulting from observable price changes in orderly transactions for the identical or similar investment.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Contingencies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contingencies, including claims and legal actions arising in the ordinary course of business, are recorded as liabilities when the likelihood of loss is probable and an amount or range of loss can be reasonably estimated.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Transfers of Financial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Transfers of an entire financial asset, a group of financial assets, or a participating interest in an entire financial asset are accounted for as sales when control has been relinquished. Control is deemed to be surrendered when the assets have been isolated from the Company, the transferee obtains the right (free of more than trivial conditions that constrain it from taking advantage of that right) to pledge or exchange the transferred assets, and the Company does not maintain effective control over the transferred assets through an agreement to repurchase them before their maturity.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loan portfolio are loans guaranteed by the SBA, the Farm Service Agency, the Federal Agriculture Mortgage Corporation, and the United States Department of Agriculture, of which the guaranteed portion is expected to be sold in the secondary market in exchange for a one-time premium. At the time the guaranteed portion of the loan is sold, the unguaranteed portion and related right to service the entire loan is retained with the Company, to earn future servicing income. The loans held for sale are accounted for at the lower of cost or fair value, using the aggregate method. Government-guaranteed loans held for sale totaled $3,247,000 and $11,464,000 at December 31, 2024 and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Servicing rights acquired through the origination of loans, which are subsequently sold with servicing rights retained, are recognized as separate assets or liabilities. Servicing assets and liabilities are initially recorded at fair value and are subsequently amortized in proportion to, and over the period of, the related net servicing income or expense. The amortized assets are assessed for impairment or increased obligations at the loan level, based on the fair value on a periodic basis.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Loan Commitments and Related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include off-balance sheet credit instruments, such as commitments to make loans, and financial standby letters of credit issued to meet customer financing needs. The face amount for these items represents the exposure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loss, before considering customer collateral or ability to repay. Such financial instruments are recorded when they are funded.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commitments not unconditionally cancellable are subject to an estimate of credit loss under the CECL model. The Company’s process for determining the estimate of credit loss on loan commitments is the same as it is on loans. Reserves for unfunded commitments are included as a component of “Interest payable and other liabilities” in the consolidated balance sheets.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 is recognized for stock options and RSAs issued to executives, directors, and employees, based on the fair value of these awards at the date of grant. A Black-Scholes model is utilized to estimate the grant date fair value of stock options, while the fair value of the Company’s common stock at the date of grant is used for RSAs. Compensation cost is recognized over the required service period, generally defined as the vesting period. For awards with graded vesting, compensation cost is recognized on a straight-line basis over the requisite service period for the entire award.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Executive Retirement Plan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has entered into a non-qualified retirement plan for the Chief Executive Officer based on a continuation of employment. The present value of annual post-retirement payments is allocated to expense over the years of required service.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its income taxes on a consolidated basis with its subsidiary. The allocation of income tax expense represents each entity’s proportionate share of the consolidated provision for 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is evaluated at least annually and, as needed, reduces deferred tax assets to the amount expected to be realized.</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uncertain tax positions in accordance with FASB ASC Topic No. 740, </w:t>
      </w:r>
      <w:r>
        <w:rPr>
          <w:rFonts w:ascii="Times New Roman;sans-serif" w:hAnsi="Times New Roman;sans-serif"/>
          <w:b w:val="false"/>
          <w:i/>
          <w:color w:val="000000"/>
          <w:sz w:val="20"/>
        </w:rPr>
        <w:t>Accounting for Uncertainty in Income Taxes</w:t>
      </w:r>
      <w:r>
        <w:rPr>
          <w:rFonts w:ascii="Times New Roman;sans-serif" w:hAnsi="Times New Roman;sans-serif"/>
          <w:b w:val="false"/>
          <w:color w:val="000000"/>
          <w:sz w:val="20"/>
        </w:rPr>
        <w:t>. A tax position is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derivative instruments are recorded at fair value. If derivative instruments are designated as hedges of fair values, both the change in the fair value of the hedge and the hedged item are included in current earnings. Fair value adjustments related to cash flow hedges, if any, are recorded in other comprehensive income or loss and reclassified to earnings when the hedged transaction is reflected in earnings.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or Loss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or loss consists of net income and other comprehensive income or loss. Other comprehensive income or loss includes unrealized gains and losses on securities available-for-sale, net of tax, which are also recognized as separate components of shareholders’ equity.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EPS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net income divided by the weighted average number of common shares outstanding during the period less average unvested RSAs. Diluted EPS includes the dilutive effect of additional potential common shares related to unvested RSAs using the treasury stock method. During the years ended December 31, 2024 and 2023, there were no outstanding stock options. The Company has two forms of outstanding common stock: common stock and unvested RSAs. Holders of unvested RSAs receive non-forfeitable dividends at the same rate as common shareholders and they both share equally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earnings, and therefore the RSAs are considered participating securities. However, under the two-class method, the difference in EPS is not significant for these participating securities.</w:t>
      </w:r>
    </w:p>
    <w:tbl>
      <w:tblPr>
        <w:tblW w:w="9486" w:type="dxa"/>
        <w:jc w:val="left"/>
        <w:tblInd w:w="0" w:type="dxa"/>
        <w:tblLayout w:type="fixed"/>
        <w:tblCellMar>
          <w:top w:w="28" w:type="dxa"/>
          <w:left w:w="28" w:type="dxa"/>
          <w:bottom w:w="28" w:type="dxa"/>
          <w:right w:w="28" w:type="dxa"/>
        </w:tblCellMar>
      </w:tblPr>
      <w:tblGrid>
        <w:gridCol w:w="1770"/>
        <w:gridCol w:w="1555"/>
        <w:gridCol w:w="1565"/>
        <w:gridCol w:w="109"/>
        <w:gridCol w:w="109"/>
        <w:gridCol w:w="109"/>
        <w:gridCol w:w="244"/>
        <w:gridCol w:w="837"/>
        <w:gridCol w:w="109"/>
        <w:gridCol w:w="109"/>
        <w:gridCol w:w="109"/>
        <w:gridCol w:w="109"/>
        <w:gridCol w:w="244"/>
        <w:gridCol w:w="837"/>
        <w:gridCol w:w="109"/>
        <w:gridCol w:w="109"/>
        <w:gridCol w:w="109"/>
        <w:gridCol w:w="109"/>
        <w:gridCol w:w="244"/>
        <w:gridCol w:w="837"/>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86"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1.2: EPS</w:t>
            </w:r>
          </w:p>
        </w:tc>
      </w:tr>
      <w:tr>
        <w:trPr/>
        <w:tc>
          <w:tcPr>
            <w:tcW w:w="4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8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Dilutive effects of assumed 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20,205,440 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17,187,969 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17,165,610 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shares, which are excluded from the dilutive EPS calculation, were deemed to be immaterial.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Subordinated Notes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subordinated notes are recorded at par with related debt issuance costs reported as a direct reduction from the carrying amount. Issuance costs are amortized over the remaining maturity of the notes and reflected in interest expense.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various estimated fair value information as of December 31, 2024 and 2023. Such information, which pertains to the Company’s financial instruments, does not purport to represent the aggregate net fair value of the Company. Further, the fair value estimates are based on various assumptions, methodologies, and subjective considerations, which vary widely among different financial institutions, and are subject to change.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fair value measurements to record fair value adjustments to certain assets and liabilities and to determine fair value disclosures. The Company bases the fair values on the price that would be received to sell an asset or paid to transfer a liability in an orderly transaction between market participants at the measurement date. Securities available-for-sale and derivatives, if any, are recorded at fair value on a recurring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the Company may be required to record certain assets at fair value on a non-recurring basis, such as loans held for sale and certain collateral dependent impaired loans held for investment. These non-recurring fair value adjustments typically involve write-downs of individual assets due to application of lower of cost or fair value accounting.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require the Company to maximize the use of observable inputs and minimize the use of unobservable inputs when measuring fair value. The standard describes three levels of inputs that may be used to measure fair value:</w:t>
      </w:r>
    </w:p>
    <w:p>
      <w:pPr>
        <w:pStyle w:val="TextBody"/>
        <w:bidi w:val="0"/>
        <w:spacing w:lineRule="auto" w:line="288" w:before="200" w:after="283"/>
        <w:jc w:val="both"/>
        <w:rPr/>
      </w:pPr>
      <w:r>
        <w:rPr>
          <w:rFonts w:ascii="Times New Roman;sans-serif" w:hAnsi="Times New Roman;sans-serif"/>
          <w:b w:val="false"/>
          <w:color w:val="000000"/>
          <w:sz w:val="20"/>
          <w:u w:val="single"/>
        </w:rPr>
        <w:t>Level 1</w:t>
      </w:r>
      <w:r>
        <w:rPr>
          <w:rFonts w:ascii="Times New Roman;sans-serif" w:hAnsi="Times New Roman;sans-serif"/>
          <w:b w:val="false"/>
          <w:color w:val="000000"/>
          <w:sz w:val="20"/>
        </w:rPr>
        <w:t>: Quoted prices (unadjusted) for identical assets or liabilities in active markets that the Company has the ability to access as of the measurement date.</w:t>
      </w:r>
    </w:p>
    <w:p>
      <w:pPr>
        <w:pStyle w:val="TextBody"/>
        <w:bidi w:val="0"/>
        <w:spacing w:lineRule="auto" w:line="288" w:before="200" w:after="283"/>
        <w:jc w:val="both"/>
        <w:rPr/>
      </w:pPr>
      <w:r>
        <w:rPr>
          <w:rFonts w:ascii="Times New Roman;sans-serif" w:hAnsi="Times New Roman;sans-serif"/>
          <w:b w:val="false"/>
          <w:color w:val="000000"/>
          <w:sz w:val="20"/>
          <w:u w:val="single"/>
        </w:rPr>
        <w:t>Level 2</w:t>
      </w:r>
      <w:r>
        <w:rPr>
          <w:rFonts w:ascii="Times New Roman;sans-serif" w:hAnsi="Times New Roman;sans-serif"/>
          <w:b w:val="false"/>
          <w:color w:val="000000"/>
          <w:sz w:val="20"/>
        </w:rPr>
        <w:t>: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200" w:after="283"/>
        <w:jc w:val="both"/>
        <w:rPr/>
      </w:pPr>
      <w:r>
        <w:rPr>
          <w:rFonts w:ascii="Times New Roman;sans-serif" w:hAnsi="Times New Roman;sans-serif"/>
          <w:b w:val="false"/>
          <w:color w:val="000000"/>
          <w:sz w:val="20"/>
          <w:u w:val="single"/>
        </w:rPr>
        <w:t>Level 3</w:t>
      </w:r>
      <w:r>
        <w:rPr>
          <w:rFonts w:ascii="Times New Roman;sans-serif" w:hAnsi="Times New Roman;sans-serif"/>
          <w:b w:val="false"/>
          <w:color w:val="000000"/>
          <w:sz w:val="20"/>
        </w:rPr>
        <w:t>: Significant unobservable inputs that reflect the Company’s own assumptions about the assumptions that market participants would use in pricing an asset or liability.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other assumptions had been used, the Company’s recorded earnings or disclosures could have been materially different from those reflected in these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events and transactions subsequent to December 31, 2024 for recognition or disclosure. Additional detail can be found in Note 19,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Recently Issued Accounting Standards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reflects recent accounting standards that have been adopted or are pending adoption by the Company. As discussed in Note 1, Basis of Presentation,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Adopted</w:t>
      </w:r>
    </w:p>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was effective for financial assets measured at amortized cost. For certain new disclosures required under ASC 326, such as credit quality indicators by year of origination, the Company has not restated comparative financial information before January 1, 2023 to conform under ASC 326. This adoption method is considered a change in accounting principle requiring additional disclosure of the nature and reason for the change, which is solely due to adoption of ASC 326. On January 1, 2023, the Company also adopted ASU No. 2022-02, </w:t>
      </w:r>
      <w:r>
        <w:rPr>
          <w:rFonts w:ascii="Times New Roman;sans-serif" w:hAnsi="Times New Roman;sans-serif"/>
          <w:b w:val="false"/>
          <w:i/>
          <w:color w:val="000000"/>
          <w:sz w:val="20"/>
        </w:rPr>
        <w:t xml:space="preserve">Financial Instruments-Credit Losses (Topic 326): Troubled Debt Restructurings and Vintage Disclosures, </w:t>
      </w:r>
      <w:r>
        <w:rPr>
          <w:rFonts w:ascii="Times New Roman;sans-serif" w:hAnsi="Times New Roman;sans-serif"/>
          <w:b w:val="false"/>
          <w:color w:val="000000"/>
          <w:sz w:val="20"/>
        </w:rPr>
        <w:t>which had no material impact.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2.1 reflects the cumulative-effect adjustments the Company recorded on January 1, 2023 for the adoption of ASC 326.</w:t>
      </w:r>
    </w:p>
    <w:tbl>
      <w:tblPr>
        <w:tblW w:w="10205" w:type="dxa"/>
        <w:jc w:val="left"/>
        <w:tblInd w:w="0" w:type="dxa"/>
        <w:tblLayout w:type="fixed"/>
        <w:tblCellMar>
          <w:top w:w="28" w:type="dxa"/>
          <w:left w:w="28" w:type="dxa"/>
          <w:bottom w:w="28" w:type="dxa"/>
          <w:right w:w="28" w:type="dxa"/>
        </w:tblCellMar>
      </w:tblPr>
      <w:tblGrid>
        <w:gridCol w:w="1567"/>
        <w:gridCol w:w="1268"/>
        <w:gridCol w:w="1271"/>
        <w:gridCol w:w="109"/>
        <w:gridCol w:w="109"/>
        <w:gridCol w:w="109"/>
        <w:gridCol w:w="305"/>
        <w:gridCol w:w="1128"/>
        <w:gridCol w:w="157"/>
        <w:gridCol w:w="109"/>
        <w:gridCol w:w="109"/>
        <w:gridCol w:w="109"/>
        <w:gridCol w:w="388"/>
        <w:gridCol w:w="1247"/>
        <w:gridCol w:w="200"/>
        <w:gridCol w:w="109"/>
        <w:gridCol w:w="109"/>
        <w:gridCol w:w="109"/>
        <w:gridCol w:w="311"/>
        <w:gridCol w:w="1150"/>
        <w:gridCol w:w="232"/>
      </w:tblGrid>
      <w:tr>
        <w:trPr/>
        <w:tc>
          <w:tcPr>
            <w:tcW w:w="156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2.1: Impact of Adoption of ASC 326</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r>
      <w:tr>
        <w:trPr/>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Pre-ASC 326 Adoption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Impact of ASC 326 Adoption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Post-ASC 326 Adoption</w:t>
            </w:r>
          </w:p>
        </w:tc>
      </w:tr>
      <w:tr>
        <w:trPr/>
        <w:tc>
          <w:tcPr>
            <w:tcW w:w="41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 HTM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(Interest receivable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Unfunded Commitments (Interest payable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 xml:space="preserve">In March 2023, the FASB issued ASU 2023-02, </w:t>
      </w:r>
      <w:r>
        <w:rPr>
          <w:rFonts w:ascii="Times New Roman;sans-serif" w:hAnsi="Times New Roman;sans-serif"/>
          <w:b w:val="false"/>
          <w:i/>
          <w:color w:val="000000"/>
          <w:sz w:val="20"/>
        </w:rPr>
        <w:t>Investments - Equity Method and Joint Ventures (Topic 323): Accounting for Investments in Tax Credit Structures Using the Proportional Amortization Method</w:t>
      </w:r>
      <w:r>
        <w:rPr>
          <w:color w:val="000000"/>
        </w:rPr>
        <w:t xml:space="preserve"> </w:t>
      </w:r>
      <w:r>
        <w:rPr>
          <w:rFonts w:ascii="Times New Roman;sans-serif" w:hAnsi="Times New Roman;sans-serif"/>
          <w:b w:val="false"/>
          <w:color w:val="000000"/>
          <w:sz w:val="20"/>
        </w:rPr>
        <w:t>(“ASU 2023-02”). Under current GAAP, an entity can only elect to apply the proportional amortization method to investments in low income housing tax credit (“LIHTC”) structures. The amendments in ASU 2023-02 allow entities to elect to account for equity investments made primarily for the purpose of receiving income tax credits using the proportional amortization method, regardless of the tax credit program through which the investment earns income tax credits, if certain conditions are met. ASU 2023-02 provides amendments to paragraph ASC 323-740-25-1, which sets forth the conditions needed to apply the proportional amortization method. The amendments make certain limited changes to those conditions to clarify their application to a broader group of tax credit investment programs. However, the conditions in substance remain consistent with current GAAP. The amendments in ASU 2023-02 also eliminate certain LIHTC-specific guidance to align the accounting more closely with the accounting for other equity investments in tax credit structures and require that the delayed equity contribution guidance in paragraph ASC 323-740-25-3 apply only to tax equity investments accounted for using the proportional amortization method. The Company adopted ASU 2023-02 on January 1, 2024, which did not have a significant impact on the Company’s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 Improvements to Reportable Segment Disclosures</w:t>
      </w:r>
      <w:r>
        <w:rPr>
          <w:color w:val="000000"/>
        </w:rPr>
        <w:t xml:space="preserve"> </w:t>
      </w:r>
      <w:r>
        <w:rPr>
          <w:rFonts w:ascii="Times New Roman;sans-serif" w:hAnsi="Times New Roman;sans-serif"/>
          <w:b w:val="false"/>
          <w:color w:val="000000"/>
          <w:sz w:val="20"/>
        </w:rPr>
        <w:t>(“ASU 2023-07”), amending disclosure requirements related to segment reporting primarily through enhanced disclosure about significant segment expenses and by requiring disclosure of segment information on an annual and interim basis. ASU 2023-07 is effective January 1, 2024 and for interim periods beginning after December 15, 2024. The key amendments: (i) require that a public entity disclose, on an annual and interim basis, significant segment expenses that are regularly provided to the chief operating decision maker (the “CODM”) and included within each reported measure of segment profit or loss; (ii) require that a public entity disclose, on an annual and interim basis, an amount for other segment items by reportable segment and a description of its composition; (iii) require that a public entity provide all annual disclosures about a reportable segment’s profit or loss currently required by GAAP in interim periods as well; (iv) clarify that if the CODM uses more than one measure of a segment’s profit or loss in assessing segment performance and deciding how to allocate resources, an entity may report one or more of those additional measures of segment profit; (v) require that a public entity disclose the title and position of the CODM and an explanation of how the CODM uses the reported measure of segment profit or loss in assessing segment performance and deciding how to allocate resources; and (vi) require that a public entity that has a single reportable segment provide all the disclosures required by the amendments in the ASU and all existing segment disclosures. The Company has one reportable segment. The Company adopted ASU 2023-07 on January 1, 2024, which did not have a significant impact on the Company’s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Issued But Not Yet Adopted</w:t>
      </w:r>
    </w:p>
    <w:p>
      <w:pPr>
        <w:pStyle w:val="TextBody"/>
        <w:bidi w:val="0"/>
        <w:spacing w:lineRule="auto" w:line="288" w:before="200" w:after="283"/>
        <w:jc w:val="both"/>
        <w:rPr/>
      </w:pPr>
      <w:r>
        <w:rPr>
          <w:rFonts w:ascii="Times New Roman;sans-serif" w:hAnsi="Times New Roman;sans-serif"/>
          <w:b w:val="false"/>
          <w:color w:val="000000"/>
          <w:sz w:val="20"/>
        </w:rPr>
        <w:t xml:space="preserve">In October 2023, the FASB issued ASU No. 2023-06, </w:t>
      </w:r>
      <w:r>
        <w:rPr>
          <w:rFonts w:ascii="Times New Roman;sans-serif" w:hAnsi="Times New Roman;sans-serif"/>
          <w:b w:val="false"/>
          <w:i/>
          <w:color w:val="000000"/>
          <w:sz w:val="20"/>
        </w:rPr>
        <w:t xml:space="preserve">Disclosure Improvements - Codification Amendments in Response to the SEC’s Disclosure Update and Simplification Initiative </w:t>
      </w:r>
      <w:r>
        <w:rPr>
          <w:rFonts w:ascii="Times New Roman;sans-serif" w:hAnsi="Times New Roman;sans-serif"/>
          <w:b w:val="false"/>
          <w:color w:val="000000"/>
          <w:sz w:val="20"/>
        </w:rPr>
        <w:t>(“ASU 2023-06”), amending disclosure or presentation requirements related to various subtopics in the FASB’s ASC. ASU 2023-06 was issued in response to the SEC’s initiative to update and simplify disclosure requirements. The SEC identified 27 disclosure requirements that were incremental to those in the ASC and referred them to the FASB for potential incorporation into U.S.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 Improvements to Income Tax Disclosures</w:t>
      </w:r>
      <w:r>
        <w:rPr>
          <w:color w:val="000000"/>
        </w:rPr>
        <w:t xml:space="preserve"> </w:t>
      </w:r>
      <w:r>
        <w:rPr>
          <w:rFonts w:ascii="Times New Roman;sans-serif" w:hAnsi="Times New Roman;sans-serif"/>
          <w:b w:val="false"/>
          <w:color w:val="000000"/>
          <w:sz w:val="20"/>
        </w:rPr>
        <w:t>(“ASU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as well as income tax expense/(benefit) from continuing operations disaggregated by federal, state, and foreign. ASU 2023-09 is effective January 1, 2026 for emerging growth companies electing not to opt out of the extended transition period and is not expected to have a significant impact on the Company’s consolidated financial statements.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In March 2024, the FASB issued ASU 2024-02, </w:t>
      </w:r>
      <w:r>
        <w:rPr>
          <w:rFonts w:ascii="Times New Roman;sans-serif" w:hAnsi="Times New Roman;sans-serif"/>
          <w:b w:val="false"/>
          <w:i/>
          <w:color w:val="000000"/>
          <w:sz w:val="20"/>
        </w:rPr>
        <w:t>Codification Improvements - Amendments to Remove References to the Concepts Statements</w:t>
      </w:r>
      <w:r>
        <w:rPr>
          <w:color w:val="000000"/>
        </w:rPr>
        <w:t xml:space="preserve"> </w:t>
      </w:r>
      <w:r>
        <w:rPr>
          <w:rFonts w:ascii="Times New Roman;sans-serif" w:hAnsi="Times New Roman;sans-serif"/>
          <w:b w:val="false"/>
          <w:color w:val="000000"/>
          <w:sz w:val="20"/>
        </w:rPr>
        <w:t xml:space="preserve">(“ASU 2024-02”). ASU 2024-02 contains amendments to the ASC that remove references to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On November 4, 2024, the FASB issued ASU 2024-03, </w:t>
      </w:r>
      <w:r>
        <w:rPr>
          <w:rFonts w:ascii="Times New Roman;sans-serif" w:hAnsi="Times New Roman;sans-serif"/>
          <w:b w:val="false"/>
          <w:i/>
          <w:color w:val="000000"/>
          <w:sz w:val="20"/>
        </w:rPr>
        <w:t>Income Statement - Reporting Comprehensive Income - Expense Disaggregation Disclosures</w:t>
      </w:r>
      <w:r>
        <w:rPr>
          <w:color w:val="000000"/>
        </w:rPr>
        <w:t xml:space="preserve"> </w:t>
      </w:r>
      <w:r>
        <w:rPr>
          <w:rFonts w:ascii="Times New Roman;sans-serif" w:hAnsi="Times New Roman;sans-serif"/>
          <w:b w:val="false"/>
          <w:color w:val="000000"/>
          <w:sz w:val="20"/>
        </w:rPr>
        <w:t>(“Subtopic 220-40”)</w:t>
      </w:r>
      <w:r>
        <w:rPr>
          <w:rFonts w:ascii="Times New Roman;sans-serif" w:hAnsi="Times New Roman;sans-serif"/>
          <w:b w:val="false"/>
          <w:i/>
          <w:color w:val="000000"/>
          <w:sz w:val="20"/>
        </w:rPr>
        <w:t>: Disaggregation of Income Statement Expenses</w:t>
      </w:r>
      <w:r>
        <w:rPr>
          <w:color w:val="000000"/>
        </w:rPr>
        <w:t xml:space="preserve"> </w:t>
      </w:r>
      <w:r>
        <w:rPr>
          <w:rFonts w:ascii="Times New Roman;sans-serif" w:hAnsi="Times New Roman;sans-serif"/>
          <w:b w:val="false"/>
          <w:color w:val="000000"/>
          <w:sz w:val="20"/>
        </w:rPr>
        <w:t>(“ASU 2024-03”). This standard responds to investor input by requiring public companies to disclose, in interim and annual reporting periods, additional 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Investment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the following tables.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fair value related to securities held-to-maturity as of December 31, 2024 and 2023 is presented in Table 3.1. Securities held-to-maturity had a $20,000 allowance for credit losses as of December 31, 2024 and 2023.</w:t>
      </w:r>
    </w:p>
    <w:tbl>
      <w:tblPr>
        <w:tblW w:w="9210" w:type="dxa"/>
        <w:jc w:val="left"/>
        <w:tblInd w:w="0" w:type="dxa"/>
        <w:tblLayout w:type="fixed"/>
        <w:tblCellMar>
          <w:top w:w="28" w:type="dxa"/>
          <w:left w:w="28" w:type="dxa"/>
          <w:bottom w:w="28" w:type="dxa"/>
          <w:right w:w="28" w:type="dxa"/>
        </w:tblCellMar>
      </w:tblPr>
      <w:tblGrid>
        <w:gridCol w:w="1428"/>
        <w:gridCol w:w="1257"/>
        <w:gridCol w:w="1260"/>
        <w:gridCol w:w="109"/>
        <w:gridCol w:w="109"/>
        <w:gridCol w:w="109"/>
        <w:gridCol w:w="310"/>
        <w:gridCol w:w="908"/>
        <w:gridCol w:w="162"/>
        <w:gridCol w:w="109"/>
        <w:gridCol w:w="109"/>
        <w:gridCol w:w="109"/>
        <w:gridCol w:w="211"/>
        <w:gridCol w:w="406"/>
        <w:gridCol w:w="109"/>
        <w:gridCol w:w="109"/>
        <w:gridCol w:w="109"/>
        <w:gridCol w:w="109"/>
        <w:gridCol w:w="211"/>
        <w:gridCol w:w="541"/>
        <w:gridCol w:w="109"/>
        <w:gridCol w:w="109"/>
        <w:gridCol w:w="109"/>
        <w:gridCol w:w="109"/>
        <w:gridCol w:w="213"/>
        <w:gridCol w:w="622"/>
        <w:gridCol w:w="15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210" w:type="dxa"/>
            <w:gridSpan w:val="27"/>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3.1: Securities Held-to-Maturity</w:t>
            </w:r>
          </w:p>
        </w:tc>
      </w:tr>
      <w:tr>
        <w:trPr/>
        <w:tc>
          <w:tcPr>
            <w:tcW w:w="39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9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326 on January 1, 2023, which affects accounting of credit loss expense on held-to-maturity and available-for-sale securities. As of December 31, 2024, the allowance for credit losses on held-to-maturity securities was $20,000. The Company did not record an allowance for credit losses on available-for-sale securities as of December 31, 2024. Refer to Note 1, Basis of Presentation, 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fair value related to securities available-for-sale as of December 31, 2024 and 2023 is presented in Table 3.2.</w:t>
      </w:r>
    </w:p>
    <w:tbl>
      <w:tblPr>
        <w:tblW w:w="9726" w:type="dxa"/>
        <w:jc w:val="left"/>
        <w:tblInd w:w="0" w:type="dxa"/>
        <w:tblLayout w:type="fixed"/>
        <w:tblCellMar>
          <w:top w:w="28" w:type="dxa"/>
          <w:left w:w="28" w:type="dxa"/>
          <w:bottom w:w="28" w:type="dxa"/>
          <w:right w:w="28" w:type="dxa"/>
        </w:tblCellMar>
      </w:tblPr>
      <w:tblGrid>
        <w:gridCol w:w="1428"/>
        <w:gridCol w:w="1257"/>
        <w:gridCol w:w="1260"/>
        <w:gridCol w:w="109"/>
        <w:gridCol w:w="109"/>
        <w:gridCol w:w="109"/>
        <w:gridCol w:w="254"/>
        <w:gridCol w:w="995"/>
        <w:gridCol w:w="131"/>
        <w:gridCol w:w="109"/>
        <w:gridCol w:w="109"/>
        <w:gridCol w:w="109"/>
        <w:gridCol w:w="211"/>
        <w:gridCol w:w="466"/>
        <w:gridCol w:w="109"/>
        <w:gridCol w:w="109"/>
        <w:gridCol w:w="109"/>
        <w:gridCol w:w="109"/>
        <w:gridCol w:w="211"/>
        <w:gridCol w:w="796"/>
        <w:gridCol w:w="109"/>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26" w:type="dxa"/>
            <w:gridSpan w:val="27"/>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3.2: Securities Available-for-Sale</w:t>
            </w:r>
          </w:p>
        </w:tc>
      </w:tr>
      <w:tr>
        <w:trPr/>
        <w:tc>
          <w:tcPr>
            <w:tcW w:w="39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Unrealized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9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115,757 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124,788 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securities by contractual maturity at December 31, 2024 and 2023 are shown in Table 3.3. Expected maturities may differ from contractual maturities if the issuers of the securities have the right to call or prepay obligations with or without call or prepayment penalties.</w:t>
      </w:r>
    </w:p>
    <w:tbl>
      <w:tblPr>
        <w:tblW w:w="12495" w:type="dxa"/>
        <w:jc w:val="left"/>
        <w:tblInd w:w="0" w:type="dxa"/>
        <w:tblLayout w:type="fixed"/>
        <w:tblCellMar>
          <w:top w:w="28" w:type="dxa"/>
          <w:left w:w="28" w:type="dxa"/>
          <w:bottom w:w="28" w:type="dxa"/>
          <w:right w:w="28" w:type="dxa"/>
        </w:tblCellMar>
      </w:tblPr>
      <w:tblGrid>
        <w:gridCol w:w="948"/>
        <w:gridCol w:w="306"/>
        <w:gridCol w:w="307"/>
        <w:gridCol w:w="109"/>
        <w:gridCol w:w="109"/>
        <w:gridCol w:w="109"/>
        <w:gridCol w:w="216"/>
        <w:gridCol w:w="632"/>
        <w:gridCol w:w="113"/>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6"/>
        <w:gridCol w:w="632"/>
        <w:gridCol w:w="113"/>
        <w:gridCol w:w="109"/>
        <w:gridCol w:w="109"/>
        <w:gridCol w:w="109"/>
        <w:gridCol w:w="211"/>
        <w:gridCol w:w="616"/>
        <w:gridCol w:w="109"/>
        <w:gridCol w:w="109"/>
        <w:gridCol w:w="109"/>
        <w:gridCol w:w="109"/>
        <w:gridCol w:w="211"/>
        <w:gridCol w:w="826"/>
        <w:gridCol w:w="109"/>
        <w:gridCol w:w="109"/>
        <w:gridCol w:w="109"/>
        <w:gridCol w:w="109"/>
        <w:gridCol w:w="211"/>
        <w:gridCol w:w="82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95" w:type="dxa"/>
            <w:gridSpan w:val="51"/>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3.3: Contractual Maturities - Investment Securities</w:t>
            </w:r>
          </w:p>
        </w:tc>
      </w:tr>
      <w:tr>
        <w:trPr/>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r>
      <w:tr>
        <w:trPr/>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5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but within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not due at a single 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0"/>
        </w:rPr>
        <w:t>Sales of investment securities and gross gains and losses are shown in Table 3.4</w:t>
      </w:r>
      <w:r>
        <w:rPr>
          <w:rFonts w:ascii="Arial;sans-serif" w:hAnsi="Arial;sans-serif"/>
          <w:b w:val="false"/>
          <w:color w:val="000000"/>
          <w:sz w:val="24"/>
        </w:rPr>
        <w:t>.</w:t>
      </w:r>
    </w:p>
    <w:tbl>
      <w:tblPr>
        <w:tblW w:w="7659" w:type="dxa"/>
        <w:jc w:val="left"/>
        <w:tblInd w:w="0" w:type="dxa"/>
        <w:tblLayout w:type="fixed"/>
        <w:tblCellMar>
          <w:top w:w="28" w:type="dxa"/>
          <w:left w:w="28" w:type="dxa"/>
          <w:bottom w:w="28" w:type="dxa"/>
          <w:right w:w="28" w:type="dxa"/>
        </w:tblCellMar>
      </w:tblPr>
      <w:tblGrid>
        <w:gridCol w:w="862"/>
        <w:gridCol w:w="758"/>
        <w:gridCol w:w="764"/>
        <w:gridCol w:w="165"/>
        <w:gridCol w:w="165"/>
        <w:gridCol w:w="165"/>
        <w:gridCol w:w="321"/>
        <w:gridCol w:w="617"/>
        <w:gridCol w:w="165"/>
        <w:gridCol w:w="165"/>
        <w:gridCol w:w="165"/>
        <w:gridCol w:w="165"/>
        <w:gridCol w:w="321"/>
        <w:gridCol w:w="709"/>
        <w:gridCol w:w="165"/>
        <w:gridCol w:w="165"/>
        <w:gridCol w:w="165"/>
        <w:gridCol w:w="165"/>
        <w:gridCol w:w="321"/>
        <w:gridCol w:w="937"/>
        <w:gridCol w:w="234"/>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7659"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3.4: Income Statement Impacts for Securities Available-for-Sale</w:t>
            </w:r>
          </w:p>
        </w:tc>
      </w:tr>
      <w:tr>
        <w:trPr/>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proceeds</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 gains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Pledged investment securities are shown in Table 3.5.</w:t>
      </w:r>
    </w:p>
    <w:tbl>
      <w:tblPr>
        <w:tblW w:w="9150" w:type="dxa"/>
        <w:jc w:val="left"/>
        <w:tblInd w:w="0" w:type="dxa"/>
        <w:tblLayout w:type="fixed"/>
        <w:tblCellMar>
          <w:top w:w="28" w:type="dxa"/>
          <w:left w:w="28" w:type="dxa"/>
          <w:bottom w:w="28" w:type="dxa"/>
          <w:right w:w="28" w:type="dxa"/>
        </w:tblCellMar>
      </w:tblPr>
      <w:tblGrid>
        <w:gridCol w:w="2188"/>
        <w:gridCol w:w="1926"/>
        <w:gridCol w:w="1930"/>
        <w:gridCol w:w="117"/>
        <w:gridCol w:w="117"/>
        <w:gridCol w:w="117"/>
        <w:gridCol w:w="227"/>
        <w:gridCol w:w="777"/>
        <w:gridCol w:w="117"/>
        <w:gridCol w:w="117"/>
        <w:gridCol w:w="117"/>
        <w:gridCol w:w="117"/>
        <w:gridCol w:w="227"/>
        <w:gridCol w:w="890"/>
        <w:gridCol w:w="166"/>
      </w:tblGrid>
      <w:tr>
        <w:trPr/>
        <w:tc>
          <w:tcPr>
            <w:tcW w:w="218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150"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3.5: Pledged Investment Securities</w:t>
            </w:r>
          </w:p>
        </w:tc>
      </w:tr>
      <w:tr>
        <w:trPr/>
        <w:tc>
          <w:tcPr>
            <w:tcW w:w="6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0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Pledged to:</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State of California, securing deposits of public funds and borrowings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Reserve Discount Window, increasing borrowing capacity</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pledged investment securities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95,053 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104,399 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3.6 details the gross unrealized losses and fair values aggregated by investment category and length of time that individual available-for-sale securities have been in a continuous unrealized loss position at December 31, 2024 and 2023.</w:t>
      </w:r>
    </w:p>
    <w:tbl>
      <w:tblPr>
        <w:tblW w:w="10205" w:type="dxa"/>
        <w:jc w:val="left"/>
        <w:tblInd w:w="0" w:type="dxa"/>
        <w:tblLayout w:type="fixed"/>
        <w:tblCellMar>
          <w:top w:w="28" w:type="dxa"/>
          <w:left w:w="28" w:type="dxa"/>
          <w:bottom w:w="28" w:type="dxa"/>
          <w:right w:w="28" w:type="dxa"/>
        </w:tblCellMar>
      </w:tblPr>
      <w:tblGrid>
        <w:gridCol w:w="985"/>
        <w:gridCol w:w="380"/>
        <w:gridCol w:w="381"/>
        <w:gridCol w:w="109"/>
        <w:gridCol w:w="109"/>
        <w:gridCol w:w="109"/>
        <w:gridCol w:w="211"/>
        <w:gridCol w:w="616"/>
        <w:gridCol w:w="109"/>
        <w:gridCol w:w="109"/>
        <w:gridCol w:w="109"/>
        <w:gridCol w:w="109"/>
        <w:gridCol w:w="312"/>
        <w:gridCol w:w="557"/>
        <w:gridCol w:w="162"/>
        <w:gridCol w:w="109"/>
        <w:gridCol w:w="109"/>
        <w:gridCol w:w="109"/>
        <w:gridCol w:w="211"/>
        <w:gridCol w:w="826"/>
        <w:gridCol w:w="109"/>
        <w:gridCol w:w="109"/>
        <w:gridCol w:w="109"/>
        <w:gridCol w:w="109"/>
        <w:gridCol w:w="217"/>
        <w:gridCol w:w="766"/>
        <w:gridCol w:w="112"/>
        <w:gridCol w:w="109"/>
        <w:gridCol w:w="109"/>
        <w:gridCol w:w="109"/>
        <w:gridCol w:w="211"/>
        <w:gridCol w:w="826"/>
        <w:gridCol w:w="109"/>
        <w:gridCol w:w="109"/>
        <w:gridCol w:w="109"/>
        <w:gridCol w:w="109"/>
        <w:gridCol w:w="216"/>
        <w:gridCol w:w="762"/>
        <w:gridCol w:w="165"/>
      </w:tblGrid>
      <w:tr>
        <w:trPr/>
        <w:tc>
          <w:tcPr>
            <w:tcW w:w="9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3.6: Securities Available-for-Sale in Continuous Unrealized Loss Positions</w:t>
            </w:r>
          </w:p>
        </w:tc>
      </w:tr>
      <w:tr>
        <w:trPr/>
        <w:tc>
          <w:tcPr>
            <w:tcW w:w="17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securities</w:t>
              <w:br/>
              <w:t xml:space="preserve"> in a loss position </w:t>
            </w:r>
          </w:p>
        </w:tc>
      </w:tr>
      <w:tr>
        <w:trPr/>
        <w:tc>
          <w:tcPr>
            <w:tcW w:w="17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w:t>
            </w:r>
          </w:p>
        </w:tc>
      </w:tr>
      <w:tr>
        <w:trPr/>
        <w:tc>
          <w:tcPr>
            <w:tcW w:w="17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temporarily impaired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(17,711)</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(11,619)</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temporarily impaired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(16,852)</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147 and 149 available-for-sale securities in unrealized loss positions at December 31, 2024 and 2023, respectively. As of December 31, 2024, the investment portfolio included 141 investment securities that had been in a continuous loss position for twelve months or more and six investment securities that had been in a loss position for less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one held-to-maturity security in a continuous unrealized loss position at December 31, 2024 and 2023, which had been in a continuous loss position for more than twelve months.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obligations of states and political subdivisions is deemed credit worthy after management’s comprehensive analysis of the issuers’ latest financial information, credit ratings by major credit agencies, and/or credit enhancements.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Non-Marketable Securities Included in Other Assets</w:t>
      </w:r>
    </w:p>
    <w:p>
      <w:pPr>
        <w:pStyle w:val="TextBody"/>
        <w:bidi w:val="0"/>
        <w:spacing w:lineRule="auto" w:line="288" w:before="200" w:after="283"/>
        <w:jc w:val="both"/>
        <w:rPr/>
      </w:pPr>
      <w:r>
        <w:rPr>
          <w:rFonts w:ascii="Times New Roman;sans-serif" w:hAnsi="Times New Roman;sans-serif"/>
          <w:b w:val="false"/>
          <w:color w:val="000000"/>
          <w:sz w:val="20"/>
          <w:u w:val="single"/>
        </w:rPr>
        <w:t>FHLB capital stock</w:t>
      </w:r>
      <w:r>
        <w:rPr>
          <w:rFonts w:ascii="Times New Roman;sans-serif" w:hAnsi="Times New Roman;sans-serif"/>
          <w:b w:val="false"/>
          <w:color w:val="000000"/>
          <w:sz w:val="20"/>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$15,000,000 of FHLB stock at December 31, 2024 and 2023.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December 31, 2024 and 2023. For the years ended December 31, 2024, 2023, and 2022, cash dividends received on FHLB capital stock in the amount of $1,320,000, $970,000, and $546,000, respectively, were recorded as non-interest income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Loans and Allowance for Credit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tbl>
      <w:tblPr>
        <w:tblW w:w="9023" w:type="dxa"/>
        <w:jc w:val="left"/>
        <w:tblInd w:w="0" w:type="dxa"/>
        <w:tblLayout w:type="fixed"/>
        <w:tblCellMar>
          <w:top w:w="28" w:type="dxa"/>
          <w:left w:w="28" w:type="dxa"/>
          <w:bottom w:w="28" w:type="dxa"/>
          <w:right w:w="28" w:type="dxa"/>
        </w:tblCellMar>
      </w:tblPr>
      <w:tblGrid>
        <w:gridCol w:w="1798"/>
        <w:gridCol w:w="1582"/>
        <w:gridCol w:w="1585"/>
        <w:gridCol w:w="109"/>
        <w:gridCol w:w="109"/>
        <w:gridCol w:w="109"/>
        <w:gridCol w:w="273"/>
        <w:gridCol w:w="1265"/>
        <w:gridCol w:w="141"/>
        <w:gridCol w:w="109"/>
        <w:gridCol w:w="109"/>
        <w:gridCol w:w="109"/>
        <w:gridCol w:w="271"/>
        <w:gridCol w:w="1256"/>
        <w:gridCol w:w="198"/>
      </w:tblGrid>
      <w:tr>
        <w:trPr/>
        <w:tc>
          <w:tcPr>
            <w:tcW w:w="179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023"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4.1: Loans Outstanding</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49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3,534,606 </w:t>
            </w:r>
          </w:p>
        </w:tc>
        <w:tc>
          <w:tcPr>
            <w:tcW w:w="1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3,083,976 </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loan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3,532,686 </w:t>
            </w:r>
          </w:p>
        </w:tc>
        <w:tc>
          <w:tcPr>
            <w:tcW w:w="1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3,081,719 </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3,494,895 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3,047,288 </w:t>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Underwriting</w:t>
      </w:r>
    </w:p>
    <w:p>
      <w:pPr>
        <w:pStyle w:val="TextBody"/>
        <w:bidi w:val="0"/>
        <w:spacing w:lineRule="auto" w:line="288" w:before="200" w:after="283"/>
        <w:jc w:val="both"/>
        <w:rPr/>
      </w:pPr>
      <w:r>
        <w:rPr>
          <w:rFonts w:ascii="Times New Roman;sans-serif" w:hAnsi="Times New Roman;sans-serif"/>
          <w:b w:val="false"/>
          <w:color w:val="000000"/>
          <w:sz w:val="20"/>
          <w:u w:val="single"/>
        </w:rPr>
        <w:t>Real estate loans</w:t>
      </w:r>
      <w:r>
        <w:rPr>
          <w:rFonts w:ascii="Times New Roman;sans-serif" w:hAnsi="Times New Roman;sans-serif"/>
          <w:b w:val="false"/>
          <w:color w:val="000000"/>
          <w:sz w:val="20"/>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pStyle w:val="TextBody"/>
        <w:bidi w:val="0"/>
        <w:spacing w:lineRule="auto" w:line="288" w:before="200" w:after="283"/>
        <w:jc w:val="both"/>
        <w:rPr/>
      </w:pPr>
      <w:r>
        <w:rPr>
          <w:rFonts w:ascii="Times New Roman;sans-serif" w:hAnsi="Times New Roman;sans-serif"/>
          <w:b w:val="false"/>
          <w:color w:val="000000"/>
          <w:sz w:val="20"/>
          <w:u w:val="single"/>
        </w:rPr>
        <w:t>Construction loans</w:t>
      </w:r>
      <w:r>
        <w:rPr>
          <w:rFonts w:ascii="Times New Roman;sans-serif" w:hAnsi="Times New Roman;sans-serif"/>
          <w:b w:val="false"/>
          <w:color w:val="000000"/>
          <w:sz w:val="20"/>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 loans</w:t>
      </w:r>
      <w:r>
        <w:rPr>
          <w:rFonts w:ascii="Times New Roman;sans-serif" w:hAnsi="Times New Roman;sans-serif"/>
          <w:b w:val="false"/>
          <w:color w:val="000000"/>
          <w:sz w:val="20"/>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pStyle w:val="TextBody"/>
        <w:bidi w:val="0"/>
        <w:spacing w:lineRule="auto" w:line="288" w:before="200" w:after="283"/>
        <w:jc w:val="both"/>
        <w:rPr/>
      </w:pPr>
      <w:r>
        <w:rPr>
          <w:rFonts w:ascii="Times New Roman;sans-serif" w:hAnsi="Times New Roman;sans-serif"/>
          <w:b w:val="false"/>
          <w:color w:val="000000"/>
          <w:sz w:val="20"/>
          <w:u w:val="single"/>
        </w:rPr>
        <w:t>Farmland loans</w:t>
      </w:r>
      <w:r>
        <w:rPr>
          <w:rFonts w:ascii="Times New Roman;sans-serif" w:hAnsi="Times New Roman;sans-serif"/>
          <w:b w:val="false"/>
          <w:color w:val="000000"/>
          <w:sz w:val="20"/>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pStyle w:val="TextBody"/>
        <w:bidi w:val="0"/>
        <w:spacing w:lineRule="auto" w:line="288" w:before="200" w:after="283"/>
        <w:jc w:val="both"/>
        <w:rPr/>
      </w:pPr>
      <w:r>
        <w:rPr>
          <w:rFonts w:ascii="Times New Roman;sans-serif" w:hAnsi="Times New Roman;sans-serif"/>
          <w:b w:val="false"/>
          <w:color w:val="000000"/>
          <w:sz w:val="20"/>
          <w:u w:val="single"/>
        </w:rPr>
        <w:t>Commercial loans</w:t>
      </w:r>
      <w:r>
        <w:rPr>
          <w:rFonts w:ascii="Times New Roman;sans-serif" w:hAnsi="Times New Roman;sans-serif"/>
          <w:b w:val="false"/>
          <w:color w:val="000000"/>
          <w:sz w:val="20"/>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pStyle w:val="TextBody"/>
        <w:bidi w:val="0"/>
        <w:spacing w:lineRule="auto" w:line="288" w:before="200" w:after="283"/>
        <w:jc w:val="both"/>
        <w:rPr/>
      </w:pPr>
      <w:r>
        <w:rPr>
          <w:rFonts w:ascii="Times New Roman;sans-serif" w:hAnsi="Times New Roman;sans-serif"/>
          <w:b w:val="false"/>
          <w:color w:val="000000"/>
          <w:sz w:val="20"/>
          <w:u w:val="single"/>
        </w:rPr>
        <w:t>Consumer loans</w:t>
      </w:r>
      <w:r>
        <w:rPr>
          <w:rFonts w:ascii="Times New Roman;sans-serif" w:hAnsi="Times New Roman;sans-serif"/>
          <w:b w:val="false"/>
          <w:color w:val="000000"/>
          <w:sz w:val="20"/>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are primarily located in the Greater Sacramento, North Valley, and San Francisco Bay Area regions of California. As of December 31, 2024, approximately 86% of the Company’s loans were real estate related, 6% were commercial, and 8% were consumer.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Quality Indicators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loan risk rating system to measure and monitor the quality of the loan portfolio. All loans are assigned a risk rating from the inception of the loan until the loan is paid off. The primary loan grades are as follows:</w:t>
      </w:r>
    </w:p>
    <w:p>
      <w:pPr>
        <w:pStyle w:val="TextBody"/>
        <w:bidi w:val="0"/>
        <w:spacing w:lineRule="auto" w:line="288" w:before="200" w:after="283"/>
        <w:jc w:val="both"/>
        <w:rPr/>
      </w:pPr>
      <w:r>
        <w:rPr>
          <w:rFonts w:ascii="Times New Roman;sans-serif" w:hAnsi="Times New Roman;sans-serif"/>
          <w:b w:val="false"/>
          <w:color w:val="000000"/>
          <w:sz w:val="20"/>
          <w:u w:val="single"/>
        </w:rPr>
        <w:t>Loans rated pass</w:t>
      </w:r>
      <w:r>
        <w:rPr>
          <w:rFonts w:ascii="Times New Roman;sans-serif" w:hAnsi="Times New Roman;sans-serif"/>
          <w:b w:val="false"/>
          <w:color w:val="000000"/>
          <w:sz w:val="20"/>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pStyle w:val="TextBody"/>
        <w:bidi w:val="0"/>
        <w:spacing w:lineRule="auto" w:line="288" w:before="200" w:after="283"/>
        <w:jc w:val="both"/>
        <w:rPr/>
      </w:pPr>
      <w:r>
        <w:rPr>
          <w:rFonts w:ascii="Times New Roman;sans-serif" w:hAnsi="Times New Roman;sans-serif"/>
          <w:b w:val="false"/>
          <w:color w:val="000000"/>
          <w:sz w:val="20"/>
          <w:u w:val="single"/>
        </w:rPr>
        <w:t>Loans rated watch</w:t>
      </w:r>
      <w:r>
        <w:rPr>
          <w:rFonts w:ascii="Times New Roman;sans-serif" w:hAnsi="Times New Roman;sans-serif"/>
          <w:b w:val="false"/>
          <w:color w:val="000000"/>
          <w:sz w:val="20"/>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pStyle w:val="TextBody"/>
        <w:bidi w:val="0"/>
        <w:spacing w:lineRule="auto" w:line="288" w:before="200" w:after="283"/>
        <w:jc w:val="both"/>
        <w:rPr/>
      </w:pPr>
      <w:r>
        <w:rPr>
          <w:rFonts w:ascii="Times New Roman;sans-serif" w:hAnsi="Times New Roman;sans-serif"/>
          <w:b w:val="false"/>
          <w:color w:val="000000"/>
          <w:sz w:val="20"/>
          <w:u w:val="single"/>
        </w:rPr>
        <w:t>Loans rated substandard</w:t>
      </w:r>
      <w:r>
        <w:rPr>
          <w:rFonts w:ascii="Times New Roman;sans-serif" w:hAnsi="Times New Roman;sans-serif"/>
          <w:b w:val="false"/>
          <w:color w:val="000000"/>
          <w:sz w:val="20"/>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pStyle w:val="TextBody"/>
        <w:bidi w:val="0"/>
        <w:spacing w:lineRule="auto" w:line="288" w:before="200" w:after="283"/>
        <w:jc w:val="both"/>
        <w:rPr/>
      </w:pPr>
      <w:r>
        <w:rPr>
          <w:rFonts w:ascii="Times New Roman;sans-serif" w:hAnsi="Times New Roman;sans-serif"/>
          <w:b w:val="false"/>
          <w:color w:val="000000"/>
          <w:sz w:val="20"/>
          <w:u w:val="single"/>
        </w:rPr>
        <w:t>Loans rated doubtful</w:t>
      </w:r>
      <w:r>
        <w:rPr>
          <w:rFonts w:ascii="Times New Roman;sans-serif" w:hAnsi="Times New Roman;sans-serif"/>
          <w:b w:val="false"/>
          <w:color w:val="000000"/>
          <w:sz w:val="20"/>
        </w:rPr>
        <w:t>: These are loans for which the collection or liquidation of the entire debt is highly questionable or improbable. Typically, the possibility of loss is extremely high. The losses on these loans are deferred until all pending factors have been addressed.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Table 4.2 presents the amortized cost basis of the Company’s loans by origination year, where origination is defined as the later of origination or renewal date, and credit quality indicator as of the periods indicated.</w:t>
      </w:r>
    </w:p>
    <w:tbl>
      <w:tblPr>
        <w:tblW w:w="13163" w:type="dxa"/>
        <w:jc w:val="left"/>
        <w:tblInd w:w="0" w:type="dxa"/>
        <w:tblLayout w:type="fixed"/>
        <w:tblCellMar>
          <w:top w:w="28" w:type="dxa"/>
          <w:left w:w="28" w:type="dxa"/>
          <w:bottom w:w="28" w:type="dxa"/>
          <w:right w:w="28" w:type="dxa"/>
        </w:tblCellMar>
      </w:tblPr>
      <w:tblGrid>
        <w:gridCol w:w="407"/>
        <w:gridCol w:w="305"/>
        <w:gridCol w:w="26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27"/>
        <w:gridCol w:w="471"/>
        <w:gridCol w:w="128"/>
        <w:gridCol w:w="109"/>
        <w:gridCol w:w="109"/>
        <w:gridCol w:w="109"/>
        <w:gridCol w:w="196"/>
        <w:gridCol w:w="87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63" w:type="dxa"/>
            <w:gridSpan w:val="5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4.2: Loans by Risk Category and Vintage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Amortized Cost Basis by Origination Year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Revolving Converted 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9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427,850 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2,854,531 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111,033 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171,336 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722,610 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445,039 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990,927 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692,391 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253,971 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363,106 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3,532,686 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tbl>
      <w:tblPr>
        <w:tblW w:w="13298" w:type="dxa"/>
        <w:jc w:val="left"/>
        <w:tblInd w:w="0" w:type="dxa"/>
        <w:tblLayout w:type="fixed"/>
        <w:tblCellMar>
          <w:top w:w="28" w:type="dxa"/>
          <w:left w:w="28" w:type="dxa"/>
          <w:bottom w:w="28" w:type="dxa"/>
          <w:right w:w="28" w:type="dxa"/>
        </w:tblCellMar>
      </w:tblPr>
      <w:tblGrid>
        <w:gridCol w:w="407"/>
        <w:gridCol w:w="305"/>
        <w:gridCol w:w="264"/>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27"/>
        <w:gridCol w:w="471"/>
        <w:gridCol w:w="128"/>
        <w:gridCol w:w="109"/>
        <w:gridCol w:w="109"/>
        <w:gridCol w:w="109"/>
        <w:gridCol w:w="196"/>
        <w:gridCol w:w="87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98" w:type="dxa"/>
            <w:gridSpan w:val="5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4.2: Loans by Risk Category and Vintage (continued)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Amortized Cost Basis by Origination Year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Revolving Converted 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9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329,876 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1,000,715 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721,239 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253,816 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2,682,711 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25,922 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51,646 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3,040,143 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407,767 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1,110,077 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778,437 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283,131 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154,902 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286,477 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3,081,719 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this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4.3 shows the age analysis of past due loans by class as of the dates shown.</w:t>
      </w:r>
    </w:p>
    <w:tbl>
      <w:tblPr>
        <w:tblW w:w="10205" w:type="dxa"/>
        <w:jc w:val="left"/>
        <w:tblInd w:w="0" w:type="dxa"/>
        <w:tblLayout w:type="fixed"/>
        <w:tblCellMar>
          <w:top w:w="28" w:type="dxa"/>
          <w:left w:w="28" w:type="dxa"/>
          <w:bottom w:w="28" w:type="dxa"/>
          <w:right w:w="28" w:type="dxa"/>
        </w:tblCellMar>
      </w:tblPr>
      <w:tblGrid>
        <w:gridCol w:w="608"/>
        <w:gridCol w:w="535"/>
        <w:gridCol w:w="525"/>
        <w:gridCol w:w="109"/>
        <w:gridCol w:w="109"/>
        <w:gridCol w:w="109"/>
        <w:gridCol w:w="216"/>
        <w:gridCol w:w="631"/>
        <w:gridCol w:w="111"/>
        <w:gridCol w:w="109"/>
        <w:gridCol w:w="109"/>
        <w:gridCol w:w="109"/>
        <w:gridCol w:w="231"/>
        <w:gridCol w:w="446"/>
        <w:gridCol w:w="119"/>
        <w:gridCol w:w="109"/>
        <w:gridCol w:w="109"/>
        <w:gridCol w:w="109"/>
        <w:gridCol w:w="287"/>
        <w:gridCol w:w="553"/>
        <w:gridCol w:w="148"/>
        <w:gridCol w:w="109"/>
        <w:gridCol w:w="109"/>
        <w:gridCol w:w="109"/>
        <w:gridCol w:w="229"/>
        <w:gridCol w:w="670"/>
        <w:gridCol w:w="118"/>
        <w:gridCol w:w="109"/>
        <w:gridCol w:w="109"/>
        <w:gridCol w:w="109"/>
        <w:gridCol w:w="211"/>
        <w:gridCol w:w="976"/>
        <w:gridCol w:w="109"/>
        <w:gridCol w:w="109"/>
        <w:gridCol w:w="109"/>
        <w:gridCol w:w="109"/>
        <w:gridCol w:w="238"/>
        <w:gridCol w:w="1101"/>
        <w:gridCol w:w="181"/>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4.3: Age Analysis of Past Due Loans by Class</w:t>
            </w:r>
          </w:p>
        </w:tc>
      </w:tr>
      <w:tr>
        <w:trPr/>
        <w:tc>
          <w:tcPr>
            <w:tcW w:w="16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30-59 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60-89 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Loans Receivable</w:t>
            </w:r>
          </w:p>
        </w:tc>
      </w:tr>
      <w:tr>
        <w:trPr/>
        <w:tc>
          <w:tcPr>
            <w:tcW w:w="16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3,531,512 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3,532,686 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3,081,643 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3,081,719 </w:t>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loans greater than 90 days past due and still accruing interest income as of December 31, 2024 or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collateral dependent loans were in process of foreclosure at December 31, 2024 and 2023. The Company had one collateral dependent commercial real estate loan for which the borrower was experiencing financial difficulty outstanding as of December 31, 2024 and 2023 in the amounts of $1,750,000 and $1,893,000,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Non-accrual loans, segregated by class, as of December 31, 2024 and 2023 are shown in Table 4.4.</w:t>
      </w:r>
    </w:p>
    <w:tbl>
      <w:tblPr>
        <w:tblW w:w="4610" w:type="dxa"/>
        <w:jc w:val="left"/>
        <w:tblInd w:w="0" w:type="dxa"/>
        <w:tblLayout w:type="fixed"/>
        <w:tblCellMar>
          <w:top w:w="28" w:type="dxa"/>
          <w:left w:w="28" w:type="dxa"/>
          <w:bottom w:w="28" w:type="dxa"/>
          <w:right w:w="28" w:type="dxa"/>
        </w:tblCellMar>
      </w:tblPr>
      <w:tblGrid>
        <w:gridCol w:w="738"/>
        <w:gridCol w:w="650"/>
        <w:gridCol w:w="651"/>
        <w:gridCol w:w="109"/>
        <w:gridCol w:w="109"/>
        <w:gridCol w:w="109"/>
        <w:gridCol w:w="211"/>
        <w:gridCol w:w="616"/>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0"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4.4: Nonaccrual Loans</w:t>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interest income was recognized on non-accrual loans in the years ended December 31, 2024, 2023, and 2022. Non-accrual real estate loans did not have an allowance for credit losses as of December 31, 2024, 2023, and 2022. Interest income can be recognized on non-accrual loans in cases where resolution occurs through a sale or full payment is received on the non-accrual loan.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foregone interest income related to non-accrual loans was $167,000, $95,000, and $39,000 for the years ended December 31, 2024, 2023, and 2022,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4.5 discloses activity in the allowance for credit losses for the periods indicated.</w:t>
      </w:r>
    </w:p>
    <w:tbl>
      <w:tblPr>
        <w:tblW w:w="10205" w:type="dxa"/>
        <w:jc w:val="left"/>
        <w:tblInd w:w="0" w:type="dxa"/>
        <w:tblLayout w:type="fixed"/>
        <w:tblCellMar>
          <w:top w:w="28" w:type="dxa"/>
          <w:left w:w="28" w:type="dxa"/>
          <w:bottom w:w="28" w:type="dxa"/>
          <w:right w:w="28" w:type="dxa"/>
        </w:tblCellMar>
      </w:tblPr>
      <w:tblGrid>
        <w:gridCol w:w="574"/>
        <w:gridCol w:w="505"/>
        <w:gridCol w:w="495"/>
        <w:gridCol w:w="109"/>
        <w:gridCol w:w="109"/>
        <w:gridCol w:w="109"/>
        <w:gridCol w:w="233"/>
        <w:gridCol w:w="799"/>
        <w:gridCol w:w="120"/>
        <w:gridCol w:w="109"/>
        <w:gridCol w:w="109"/>
        <w:gridCol w:w="109"/>
        <w:gridCol w:w="277"/>
        <w:gridCol w:w="810"/>
        <w:gridCol w:w="143"/>
        <w:gridCol w:w="109"/>
        <w:gridCol w:w="109"/>
        <w:gridCol w:w="109"/>
        <w:gridCol w:w="233"/>
        <w:gridCol w:w="697"/>
        <w:gridCol w:w="121"/>
        <w:gridCol w:w="109"/>
        <w:gridCol w:w="109"/>
        <w:gridCol w:w="109"/>
        <w:gridCol w:w="226"/>
        <w:gridCol w:w="662"/>
        <w:gridCol w:w="118"/>
        <w:gridCol w:w="109"/>
        <w:gridCol w:w="109"/>
        <w:gridCol w:w="109"/>
        <w:gridCol w:w="234"/>
        <w:gridCol w:w="718"/>
        <w:gridCol w:w="121"/>
        <w:gridCol w:w="109"/>
        <w:gridCol w:w="109"/>
        <w:gridCol w:w="109"/>
        <w:gridCol w:w="223"/>
        <w:gridCol w:w="764"/>
        <w:gridCol w:w="170"/>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4.5: Allowance for Credit Losses</w:t>
            </w:r>
          </w:p>
        </w:tc>
      </w:tr>
      <w:tr>
        <w:trPr/>
        <w:tc>
          <w:tcPr>
            <w:tcW w:w="15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Effect of Adoption of ASC 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r>
      <w:tr>
        <w:trPr/>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37,791 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3"/>
        <w:gridCol w:w="443"/>
        <w:gridCol w:w="421"/>
        <w:gridCol w:w="109"/>
        <w:gridCol w:w="109"/>
        <w:gridCol w:w="109"/>
        <w:gridCol w:w="234"/>
        <w:gridCol w:w="800"/>
        <w:gridCol w:w="120"/>
        <w:gridCol w:w="109"/>
        <w:gridCol w:w="109"/>
        <w:gridCol w:w="109"/>
        <w:gridCol w:w="278"/>
        <w:gridCol w:w="813"/>
        <w:gridCol w:w="143"/>
        <w:gridCol w:w="109"/>
        <w:gridCol w:w="109"/>
        <w:gridCol w:w="109"/>
        <w:gridCol w:w="233"/>
        <w:gridCol w:w="697"/>
        <w:gridCol w:w="121"/>
        <w:gridCol w:w="109"/>
        <w:gridCol w:w="109"/>
        <w:gridCol w:w="109"/>
        <w:gridCol w:w="226"/>
        <w:gridCol w:w="662"/>
        <w:gridCol w:w="118"/>
        <w:gridCol w:w="109"/>
        <w:gridCol w:w="109"/>
        <w:gridCol w:w="109"/>
        <w:gridCol w:w="239"/>
        <w:gridCol w:w="700"/>
        <w:gridCol w:w="123"/>
        <w:gridCol w:w="109"/>
        <w:gridCol w:w="109"/>
        <w:gridCol w:w="109"/>
        <w:gridCol w:w="223"/>
        <w:gridCol w:w="764"/>
        <w:gridCol w:w="172"/>
      </w:tblGrid>
      <w:tr>
        <w:trPr/>
        <w:tc>
          <w:tcPr>
            <w:tcW w:w="7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4.5: Allowance for Credit Losses (continued)</w:t>
            </w:r>
          </w:p>
        </w:tc>
      </w:tr>
      <w:tr>
        <w:trPr/>
        <w:tc>
          <w:tcPr>
            <w:tcW w:w="157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Effect of Adoption of ASC 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34,431 </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23,243 </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Unfunded Loan Commitment Reserves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Unfunded loan commitment reserves are included in “Interest payable and other liabilities” in the consolidated balance sheets. Provisions for unfunded loan commitments are included in “Provision for credit losses” in the consolidated statements of income.</w:t>
      </w:r>
    </w:p>
    <w:tbl>
      <w:tblPr>
        <w:tblW w:w="7379" w:type="dxa"/>
        <w:jc w:val="left"/>
        <w:tblInd w:w="0" w:type="dxa"/>
        <w:tblLayout w:type="fixed"/>
        <w:tblCellMar>
          <w:top w:w="28" w:type="dxa"/>
          <w:left w:w="28" w:type="dxa"/>
          <w:bottom w:w="28" w:type="dxa"/>
          <w:right w:w="28" w:type="dxa"/>
        </w:tblCellMar>
      </w:tblPr>
      <w:tblGrid>
        <w:gridCol w:w="933"/>
        <w:gridCol w:w="822"/>
        <w:gridCol w:w="824"/>
        <w:gridCol w:w="157"/>
        <w:gridCol w:w="157"/>
        <w:gridCol w:w="157"/>
        <w:gridCol w:w="304"/>
        <w:gridCol w:w="889"/>
        <w:gridCol w:w="157"/>
        <w:gridCol w:w="157"/>
        <w:gridCol w:w="157"/>
        <w:gridCol w:w="157"/>
        <w:gridCol w:w="304"/>
        <w:gridCol w:w="889"/>
        <w:gridCol w:w="157"/>
        <w:gridCol w:w="109"/>
        <w:gridCol w:w="109"/>
        <w:gridCol w:w="109"/>
        <w:gridCol w:w="211"/>
        <w:gridCol w:w="46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1"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4.6: Unfunded Loan Commitment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5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adoption of ASC 326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Pledged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FHLB line of credit is secured under terms of a collateral agreement by a pledge of certain qualifying loans with unpaid principal balances of $1,850,910,000 and $1,658,262,000 at December 31, 2024 and 2023, respectively. In addition, the Company pledges eligible tenants in common loans, which totaled $1,201,864,000 and $1,167,644,000 at December 31, 2024 and 2023, respectively, to secure its borrowing capacity with the Federal Reserve Discount Window. See Note 9, Long Term Debt and Other Borrowings, for further discussion of these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Premises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5.1 shows the composition of premises and equipment, net, as of December 31, 2024 and 2023.</w:t>
      </w:r>
    </w:p>
    <w:tbl>
      <w:tblPr>
        <w:tblW w:w="6690" w:type="dxa"/>
        <w:jc w:val="left"/>
        <w:tblInd w:w="0" w:type="dxa"/>
        <w:tblLayout w:type="fixed"/>
        <w:tblCellMar>
          <w:top w:w="28" w:type="dxa"/>
          <w:left w:w="28" w:type="dxa"/>
          <w:bottom w:w="28" w:type="dxa"/>
          <w:right w:w="28" w:type="dxa"/>
        </w:tblCellMar>
      </w:tblPr>
      <w:tblGrid>
        <w:gridCol w:w="1335"/>
        <w:gridCol w:w="1175"/>
        <w:gridCol w:w="1179"/>
        <w:gridCol w:w="127"/>
        <w:gridCol w:w="127"/>
        <w:gridCol w:w="127"/>
        <w:gridCol w:w="246"/>
        <w:gridCol w:w="720"/>
        <w:gridCol w:w="127"/>
        <w:gridCol w:w="127"/>
        <w:gridCol w:w="127"/>
        <w:gridCol w:w="127"/>
        <w:gridCol w:w="246"/>
        <w:gridCol w:w="720"/>
        <w:gridCol w:w="180"/>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690"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5.1: Premises and Equipment, Net</w:t>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automobiles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occupancy, furniture, fixtures, and equipment was $667,000, $673,000, and $649,000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Bank-owned Life Insurance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life insurance policies on the lives of certain current and former officers designated by the board of directors to fund its employee benefit programs. Death benefits provided under the specific terms of these insurance policies are estimated to be $41,673,000 at December 31, 2024. The benefits to employees’ beneficiaries are limited to each employee’s active service period. The investment in BOLI policies is reported at their cash surrender value, net of surrender charges, of $19,375,000 and $17,180,000 at December 31, 2024 and 2023, respectively. The cash surrender value includes both the original premiums paid for the life insurance policies and the accumulated accretion of policy income since inception of the policies, net of mortality costs and other fees. Income of $644,000, $510,000, and $412,000 was recognized on these life insurance policies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Interest Receivable and Other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interest receivable and other assets as of December 31, 2024 and 2023 is shown in Table 7.1.</w:t>
      </w:r>
    </w:p>
    <w:tbl>
      <w:tblPr>
        <w:tblW w:w="6473" w:type="dxa"/>
        <w:jc w:val="left"/>
        <w:tblInd w:w="0" w:type="dxa"/>
        <w:tblLayout w:type="fixed"/>
        <w:tblCellMar>
          <w:top w:w="28" w:type="dxa"/>
          <w:left w:w="28" w:type="dxa"/>
          <w:bottom w:w="28" w:type="dxa"/>
          <w:right w:w="28" w:type="dxa"/>
        </w:tblCellMar>
      </w:tblPr>
      <w:tblGrid>
        <w:gridCol w:w="1059"/>
        <w:gridCol w:w="932"/>
        <w:gridCol w:w="933"/>
        <w:gridCol w:w="139"/>
        <w:gridCol w:w="139"/>
        <w:gridCol w:w="139"/>
        <w:gridCol w:w="269"/>
        <w:gridCol w:w="921"/>
        <w:gridCol w:w="139"/>
        <w:gridCol w:w="139"/>
        <w:gridCol w:w="139"/>
        <w:gridCol w:w="139"/>
        <w:gridCol w:w="269"/>
        <w:gridCol w:w="921"/>
        <w:gridCol w:w="196"/>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473"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7.1: Interest Receivable and Other Assets</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Low income housing tax credits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 and other assets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55,554 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56,692 </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Servicing assets represent the assets related to servicing loans for others, including collecting payments, maintaining escrow accounts, disbursing payments to investors, and conducting foreclosure proceedings. The Company serviced loans with unpaid principal balances of $159,078,000 and $191,551,000 as of December 31, 2024 and 2023, respectively, on behalf of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Interest-Bearing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8.1 shows the composition of interest-bearing deposits as of December 31, 2024 and 2023.</w:t>
      </w:r>
    </w:p>
    <w:tbl>
      <w:tblPr>
        <w:tblW w:w="6395" w:type="dxa"/>
        <w:jc w:val="left"/>
        <w:tblInd w:w="0" w:type="dxa"/>
        <w:tblLayout w:type="fixed"/>
        <w:tblCellMar>
          <w:top w:w="28" w:type="dxa"/>
          <w:left w:w="28" w:type="dxa"/>
          <w:bottom w:w="28" w:type="dxa"/>
          <w:right w:w="28" w:type="dxa"/>
        </w:tblCellMar>
      </w:tblPr>
      <w:tblGrid>
        <w:gridCol w:w="1123"/>
        <w:gridCol w:w="987"/>
        <w:gridCol w:w="994"/>
        <w:gridCol w:w="109"/>
        <w:gridCol w:w="109"/>
        <w:gridCol w:w="109"/>
        <w:gridCol w:w="211"/>
        <w:gridCol w:w="976"/>
        <w:gridCol w:w="109"/>
        <w:gridCol w:w="109"/>
        <w:gridCol w:w="109"/>
        <w:gridCol w:w="109"/>
        <w:gridCol w:w="211"/>
        <w:gridCol w:w="97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5"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8.1: Interest-Bearing Deposits</w:t>
            </w:r>
          </w:p>
        </w:tc>
      </w:tr>
      <w:tr>
        <w:trPr/>
        <w:tc>
          <w:tcPr>
            <w:tcW w:w="31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1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accounts, $250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2,635,365 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2,195,795 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 deposits totaled $670,154,000 and $466,572,000 as of December 31, 2024 and 2023, respectively. There were $299,961,000 of brokered time deposits as of December 31, 2024 and $100,128,000 of brokered time deposits as of December 31, 2023. Scheduled maturities of time deposits as of December 31, 2024 for the next five years are shown in Table 8.2.</w:t>
      </w:r>
    </w:p>
    <w:tbl>
      <w:tblPr>
        <w:tblW w:w="5105" w:type="dxa"/>
        <w:jc w:val="left"/>
        <w:tblInd w:w="0" w:type="dxa"/>
        <w:tblLayout w:type="fixed"/>
        <w:tblCellMar>
          <w:top w:w="28" w:type="dxa"/>
          <w:left w:w="28" w:type="dxa"/>
          <w:bottom w:w="28" w:type="dxa"/>
          <w:right w:w="28" w:type="dxa"/>
        </w:tblCellMar>
      </w:tblPr>
      <w:tblGrid>
        <w:gridCol w:w="608"/>
        <w:gridCol w:w="535"/>
        <w:gridCol w:w="536"/>
        <w:gridCol w:w="246"/>
        <w:gridCol w:w="246"/>
        <w:gridCol w:w="246"/>
        <w:gridCol w:w="476"/>
        <w:gridCol w:w="1865"/>
        <w:gridCol w:w="347"/>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105" w:type="dxa"/>
            <w:gridSpan w:val="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8.2: Scheduled Maturities of Time Deposits</w:t>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6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666,875 </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time deposits</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670,154 </w:t>
            </w:r>
          </w:p>
        </w:tc>
        <w:tc>
          <w:tcPr>
            <w:tcW w:w="3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and interest checking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December 31, 2024 and 2023. The composition of network deposits as of December 31, 2024 and 2023 is shown in Table 8.3.</w:t>
      </w:r>
    </w:p>
    <w:tbl>
      <w:tblPr>
        <w:tblW w:w="4971"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211"/>
        <w:gridCol w:w="826"/>
        <w:gridCol w:w="109"/>
        <w:gridCol w:w="109"/>
        <w:gridCol w:w="109"/>
        <w:gridCol w:w="109"/>
        <w:gridCol w:w="211"/>
        <w:gridCol w:w="82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1"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8.3: Network Deposits</w:t>
            </w:r>
          </w:p>
        </w:tc>
      </w:tr>
      <w:tr>
        <w:trPr/>
        <w:tc>
          <w:tcPr>
            <w:tcW w:w="1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9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network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636,524 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8.4 presents interest expense recognized on interest-bearing deposits for the years ended December 31, 2024, 2023, and 2022.</w:t>
      </w:r>
    </w:p>
    <w:tbl>
      <w:tblPr>
        <w:tblW w:w="9498" w:type="dxa"/>
        <w:jc w:val="left"/>
        <w:tblInd w:w="0" w:type="dxa"/>
        <w:tblLayout w:type="fixed"/>
        <w:tblCellMar>
          <w:top w:w="28" w:type="dxa"/>
          <w:left w:w="28" w:type="dxa"/>
          <w:bottom w:w="28" w:type="dxa"/>
          <w:right w:w="28" w:type="dxa"/>
        </w:tblCellMar>
      </w:tblPr>
      <w:tblGrid>
        <w:gridCol w:w="1519"/>
        <w:gridCol w:w="1335"/>
        <w:gridCol w:w="1345"/>
        <w:gridCol w:w="139"/>
        <w:gridCol w:w="139"/>
        <w:gridCol w:w="139"/>
        <w:gridCol w:w="269"/>
        <w:gridCol w:w="922"/>
        <w:gridCol w:w="139"/>
        <w:gridCol w:w="139"/>
        <w:gridCol w:w="139"/>
        <w:gridCol w:w="139"/>
        <w:gridCol w:w="269"/>
        <w:gridCol w:w="922"/>
        <w:gridCol w:w="139"/>
        <w:gridCol w:w="139"/>
        <w:gridCol w:w="139"/>
        <w:gridCol w:w="139"/>
        <w:gridCol w:w="269"/>
        <w:gridCol w:w="922"/>
        <w:gridCol w:w="197"/>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498"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8.4: Interest Expense Recognized on Interest-Bearing Deposits</w:t>
            </w:r>
          </w:p>
        </w:tc>
      </w:tr>
      <w:tr>
        <w:trPr/>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1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accounts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accounts, $250 or more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time accounts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on interest-bearing deposits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82,398 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57,861 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10,923 </w:t>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Long Term Debt and Other Borrowings</w:t>
      </w:r>
    </w:p>
    <w:p>
      <w:pPr>
        <w:pStyle w:val="TextBody"/>
        <w:bidi w:val="0"/>
        <w:spacing w:lineRule="auto" w:line="288" w:before="200" w:after="283"/>
        <w:jc w:val="both"/>
        <w:rPr/>
      </w:pPr>
      <w:r>
        <w:rPr>
          <w:rFonts w:ascii="Times New Roman;sans-serif" w:hAnsi="Times New Roman;sans-serif"/>
          <w:b w:val="false"/>
          <w:color w:val="000000"/>
          <w:sz w:val="20"/>
          <w:u w:val="single"/>
        </w:rPr>
        <w:t>Subordinated notes</w:t>
      </w:r>
      <w:r>
        <w:rPr>
          <w:rFonts w:ascii="Times New Roman;sans-serif" w:hAnsi="Times New Roman;sans-serif"/>
          <w:b w:val="false"/>
          <w:color w:val="000000"/>
          <w:sz w:val="20"/>
        </w:rPr>
        <w:t>: On August 17, 2022, the Company completed a private placement of $75,000,000 of fixed-to-floating rate subordinated notes to certain qualified investors, of which $19,250,000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(7.93% as of December 31, 2024)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$1,454,000, of which $350,000 has been amortized through December 31, 2024. The Company reflects debt issuance costs as a direct deduction from the face of the note. The debt issuance costs are amortized into interest expense through the maturity period. At December 31, 2024 and 2023, the carrying value of the Company’s subordinated notes was $73,895,000 and $73,749,000, respectively.</w:t>
      </w:r>
    </w:p>
    <w:p>
      <w:pPr>
        <w:pStyle w:val="TextBody"/>
        <w:bidi w:val="0"/>
        <w:spacing w:lineRule="auto" w:line="288" w:before="200" w:after="283"/>
        <w:jc w:val="both"/>
        <w:rPr/>
      </w:pPr>
      <w:r>
        <w:rPr>
          <w:rFonts w:ascii="Times New Roman;sans-serif" w:hAnsi="Times New Roman;sans-serif"/>
          <w:b w:val="false"/>
          <w:color w:val="000000"/>
          <w:sz w:val="20"/>
          <w:u w:val="single"/>
        </w:rPr>
        <w:t>Other borrowings</w:t>
      </w:r>
      <w:r>
        <w:rPr>
          <w:rFonts w:ascii="Times New Roman;sans-serif" w:hAnsi="Times New Roman;sans-serif"/>
          <w:b w:val="false"/>
          <w:color w:val="000000"/>
          <w:sz w:val="20"/>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9.1.</w:t>
      </w:r>
    </w:p>
    <w:tbl>
      <w:tblPr>
        <w:tblW w:w="8363" w:type="dxa"/>
        <w:jc w:val="left"/>
        <w:tblInd w:w="0" w:type="dxa"/>
        <w:tblLayout w:type="fixed"/>
        <w:tblCellMar>
          <w:top w:w="28" w:type="dxa"/>
          <w:left w:w="28" w:type="dxa"/>
          <w:bottom w:w="28" w:type="dxa"/>
          <w:right w:w="28" w:type="dxa"/>
        </w:tblCellMar>
      </w:tblPr>
      <w:tblGrid>
        <w:gridCol w:w="1678"/>
        <w:gridCol w:w="1476"/>
        <w:gridCol w:w="1481"/>
        <w:gridCol w:w="129"/>
        <w:gridCol w:w="129"/>
        <w:gridCol w:w="129"/>
        <w:gridCol w:w="250"/>
        <w:gridCol w:w="1160"/>
        <w:gridCol w:w="129"/>
        <w:gridCol w:w="129"/>
        <w:gridCol w:w="129"/>
        <w:gridCol w:w="129"/>
        <w:gridCol w:w="250"/>
        <w:gridCol w:w="982"/>
        <w:gridCol w:w="183"/>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836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9.1: Financing Availability with the FHLB</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6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ability from the FHLB</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1,212,209 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996,712 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outstanding borrowings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LCs pledged to secure State of California deposits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LCs pledged to secure local agency deposits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LCs issued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701,500 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681,500 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capacity with the FHLB</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510,709 </w:t>
            </w:r>
          </w:p>
        </w:tc>
        <w:tc>
          <w:tcPr>
            <w:tcW w:w="1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145,212 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 Company had the ability to borrow from the Federal Reserve Discount Window. The borrowings were available at an interest rate of 4.50% as of December 31, 2024. At December 31, 2024 and 2023, the borrowing capacity under this arrangement was $862,136,000 and $770,572,000, respectively. There were no amounts outstanding at December 31, 2024 and 2023. The borrowing line is secured by certain liens on the Company’s loans and certain available-for-sale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 Company had five unsecured federal funds lines of credit totaling $175,000,000 with five of its correspondent banks. The borrowings were available at interest rates ranging from 4.55% to 5.70% as of December 31, 2024. There were no amounts outstanding at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401(k) Benefit Plan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401(k) benefit plan covers substantially all employees and allows voluntary employee contributions up to the lesser of 80% of compensation or the annually adjusted IRS dollar limit. These voluntary contributions are matched equal to 100% of the first 3% of the employee’s compensation contributed and 50% of contributions exceeding 3% of eligible compensation, not to exceed 5% of the total eligible compensation. The employees’ voluntary contributions and the Company’s matching contributions are 100% vested immediately. The expense related to matching employees’ contributions for 2024, 2023, and 2022 was $835,000, $787,000, and $634,000,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for the years ended December 31, 2024, 2023, and 2022 differs from the statutory federal rate of 21.00% due to the items shown in Table 11.1.</w:t>
      </w:r>
    </w:p>
    <w:tbl>
      <w:tblPr>
        <w:tblW w:w="9394" w:type="dxa"/>
        <w:jc w:val="left"/>
        <w:tblInd w:w="0" w:type="dxa"/>
        <w:tblLayout w:type="fixed"/>
        <w:tblCellMar>
          <w:top w:w="28" w:type="dxa"/>
          <w:left w:w="28" w:type="dxa"/>
          <w:bottom w:w="28" w:type="dxa"/>
          <w:right w:w="28" w:type="dxa"/>
        </w:tblCellMar>
      </w:tblPr>
      <w:tblGrid>
        <w:gridCol w:w="1042"/>
        <w:gridCol w:w="917"/>
        <w:gridCol w:w="920"/>
        <w:gridCol w:w="165"/>
        <w:gridCol w:w="165"/>
        <w:gridCol w:w="165"/>
        <w:gridCol w:w="319"/>
        <w:gridCol w:w="1091"/>
        <w:gridCol w:w="165"/>
        <w:gridCol w:w="165"/>
        <w:gridCol w:w="165"/>
        <w:gridCol w:w="165"/>
        <w:gridCol w:w="319"/>
        <w:gridCol w:w="1091"/>
        <w:gridCol w:w="165"/>
        <w:gridCol w:w="165"/>
        <w:gridCol w:w="165"/>
        <w:gridCol w:w="165"/>
        <w:gridCol w:w="319"/>
        <w:gridCol w:w="1091"/>
        <w:gridCol w:w="470"/>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9394"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11.1: Difference Between Provision for Income Tax and Statutory Federal Rate</w:t>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8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U.S. federal income tax</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5,381 </w:t>
            </w:r>
          </w:p>
        </w:tc>
        <w:tc>
          <w:tcPr>
            <w:tcW w:w="47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18,057 </w:t>
            </w:r>
          </w:p>
        </w:tc>
        <w:tc>
          <w:tcPr>
            <w:tcW w:w="4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11.2 shows the components of the consolidated provision for income taxes for the years indicated.</w:t>
      </w:r>
    </w:p>
    <w:tbl>
      <w:tblPr>
        <w:tblW w:w="7620" w:type="dxa"/>
        <w:jc w:val="left"/>
        <w:tblInd w:w="0" w:type="dxa"/>
        <w:tblLayout w:type="fixed"/>
        <w:tblCellMar>
          <w:top w:w="28" w:type="dxa"/>
          <w:left w:w="28" w:type="dxa"/>
          <w:bottom w:w="28" w:type="dxa"/>
          <w:right w:w="28" w:type="dxa"/>
        </w:tblCellMar>
      </w:tblPr>
      <w:tblGrid>
        <w:gridCol w:w="825"/>
        <w:gridCol w:w="726"/>
        <w:gridCol w:w="728"/>
        <w:gridCol w:w="140"/>
        <w:gridCol w:w="140"/>
        <w:gridCol w:w="140"/>
        <w:gridCol w:w="272"/>
        <w:gridCol w:w="929"/>
        <w:gridCol w:w="140"/>
        <w:gridCol w:w="140"/>
        <w:gridCol w:w="140"/>
        <w:gridCol w:w="140"/>
        <w:gridCol w:w="272"/>
        <w:gridCol w:w="929"/>
        <w:gridCol w:w="140"/>
        <w:gridCol w:w="140"/>
        <w:gridCol w:w="140"/>
        <w:gridCol w:w="140"/>
        <w:gridCol w:w="272"/>
        <w:gridCol w:w="929"/>
        <w:gridCol w:w="198"/>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620"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11.2: Components of Consolidated Provision for Income Taxes</w:t>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2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expense: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20,004 </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18,057 </w:t>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were due to the items listed in Table 11.3 as of December 31, 2024, 2023, and 2022.</w:t>
      </w:r>
    </w:p>
    <w:tbl>
      <w:tblPr>
        <w:tblW w:w="9038" w:type="dxa"/>
        <w:jc w:val="left"/>
        <w:tblInd w:w="0" w:type="dxa"/>
        <w:tblLayout w:type="fixed"/>
        <w:tblCellMar>
          <w:top w:w="28" w:type="dxa"/>
          <w:left w:w="28" w:type="dxa"/>
          <w:bottom w:w="28" w:type="dxa"/>
          <w:right w:w="28" w:type="dxa"/>
        </w:tblCellMar>
      </w:tblPr>
      <w:tblGrid>
        <w:gridCol w:w="1516"/>
        <w:gridCol w:w="1334"/>
        <w:gridCol w:w="1335"/>
        <w:gridCol w:w="127"/>
        <w:gridCol w:w="127"/>
        <w:gridCol w:w="127"/>
        <w:gridCol w:w="247"/>
        <w:gridCol w:w="845"/>
        <w:gridCol w:w="127"/>
        <w:gridCol w:w="127"/>
        <w:gridCol w:w="127"/>
        <w:gridCol w:w="127"/>
        <w:gridCol w:w="247"/>
        <w:gridCol w:w="845"/>
        <w:gridCol w:w="127"/>
        <w:gridCol w:w="127"/>
        <w:gridCol w:w="127"/>
        <w:gridCol w:w="127"/>
        <w:gridCol w:w="247"/>
        <w:gridCol w:w="845"/>
        <w:gridCol w:w="180"/>
      </w:tblGrid>
      <w:tr>
        <w:trPr/>
        <w:tc>
          <w:tcPr>
            <w:tcW w:w="151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9038"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11.3: Components of Deferred Tax Assets and Liabilities</w:t>
            </w:r>
          </w:p>
        </w:tc>
      </w:tr>
      <w:tr>
        <w:trPr/>
        <w:tc>
          <w:tcPr>
            <w:tcW w:w="4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employee retirement plan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available-for-sale assets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securities available-for-sale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liability</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20,871 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18,489 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14,333 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deferred tax asset valuation allowance was established during 2024, 2023, or 2022, as management believes it is more likely than not the Company will realize the benefits of these deductible differences as of December 31, 2024, 2023, and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11.4 details items the Company recognized as components of tax expense, taxable losses and amortization expense relating to investments in Qualified Affordable Housing Projects for the periods indicated.</w:t>
      </w:r>
    </w:p>
    <w:tbl>
      <w:tblPr>
        <w:tblW w:w="10205" w:type="dxa"/>
        <w:jc w:val="left"/>
        <w:tblInd w:w="0" w:type="dxa"/>
        <w:tblLayout w:type="fixed"/>
        <w:tblCellMar>
          <w:top w:w="28" w:type="dxa"/>
          <w:left w:w="28" w:type="dxa"/>
          <w:bottom w:w="28" w:type="dxa"/>
          <w:right w:w="28" w:type="dxa"/>
        </w:tblCellMar>
      </w:tblPr>
      <w:tblGrid>
        <w:gridCol w:w="1713"/>
        <w:gridCol w:w="1461"/>
        <w:gridCol w:w="1464"/>
        <w:gridCol w:w="167"/>
        <w:gridCol w:w="167"/>
        <w:gridCol w:w="167"/>
        <w:gridCol w:w="325"/>
        <w:gridCol w:w="822"/>
        <w:gridCol w:w="167"/>
        <w:gridCol w:w="167"/>
        <w:gridCol w:w="167"/>
        <w:gridCol w:w="167"/>
        <w:gridCol w:w="325"/>
        <w:gridCol w:w="1055"/>
        <w:gridCol w:w="167"/>
        <w:gridCol w:w="167"/>
        <w:gridCol w:w="167"/>
        <w:gridCol w:w="167"/>
        <w:gridCol w:w="325"/>
        <w:gridCol w:w="627"/>
        <w:gridCol w:w="251"/>
      </w:tblGrid>
      <w:tr>
        <w:trPr/>
        <w:tc>
          <w:tcPr>
            <w:tcW w:w="171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11.4: Tax Impacts of Investments in Qualified Affordable Housing Projects</w:t>
            </w:r>
          </w:p>
        </w:tc>
      </w:tr>
      <w:tr>
        <w:trPr/>
        <w:tc>
          <w:tcPr>
            <w:tcW w:w="46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6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Taxable loss - decrease in tax expense</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 increase in tax expense</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Affordable Housing Tax Credits - decrease in tax expense</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capital contributed, net of amortization, for the Low Income Housing Tax Credit Funds was $11,052,000 as of December 31, 2024. As of December 31, 2024, the Company has committed to make additional capital contributions to the Low Income Housing Tax Credit Funds in the amount of $3,029,000 and these contributions are expected to be made in 2025.</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unrecognized tax benefits were outstanding as of December 31, 2024, 2023, or 2022. The Company files tax returns in the U.S. federal and state jurisdictions where the Company has material nexus. The Company is no longer subject to examinations for federal and state tax purposes for the years before 2021 and 2020,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interest or penalties in 2024, 2023, and 2022. It is the Company’s policy to record such accruals in its income tax accounts.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paid approximately $4,953,000 on March 17, 2022 to shareholders of record as of May 3, 2021, for the final payout of the AAA under the Company’s Tax Sharing Agreement in connection with the Company’s conversion to a C Corporation as of May 5, 2021. The AAA represents previously taxed, but undistributed,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Related Party Transactions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the Company may enter into transactions with related parties, including directors, executive officers, principal shareholders, and their businesses or affiliates.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Table 12.1 is a summary of loans to related parties in 2024, 2023, and 2022.</w:t>
      </w:r>
    </w:p>
    <w:tbl>
      <w:tblPr>
        <w:tblW w:w="5904" w:type="dxa"/>
        <w:jc w:val="left"/>
        <w:tblInd w:w="0" w:type="dxa"/>
        <w:tblLayout w:type="fixed"/>
        <w:tblCellMar>
          <w:top w:w="28" w:type="dxa"/>
          <w:left w:w="28" w:type="dxa"/>
          <w:bottom w:w="28" w:type="dxa"/>
          <w:right w:w="28" w:type="dxa"/>
        </w:tblCellMar>
      </w:tblPr>
      <w:tblGrid>
        <w:gridCol w:w="712"/>
        <w:gridCol w:w="625"/>
        <w:gridCol w:w="628"/>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4"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12.1: Related Party Loans</w:t>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9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loans or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Transfers out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As a result of a change in employment with the Company, a loan balance belonging to a previously related party was transferred out of the classification of related party loans. The change was not the result of any disagreement with the Company or due to any matter relating to its operations, policies, or practices.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2023, and 2022, deposits from related parties (directors, executive officers, and principal shareholders) totaled $53,607,000, $37,201,000, and $51,960,000,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an administrative office from a partnership comprised of certain shareholders and members of the board of directors, which is further described in Note 15, Commitments and Contingencies. Property management fees totaling $1,000 in 2024, 2023, and 2022 were paid to the entity that owns this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Equity Incentive Plan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Company’s board of directors and shareholders approved the Five Star Bancorp 2021 Equity Incentive Plan (the “Equity Incentive Plan”). The Equity Incentive Plan provides for the grant of stock options, stock appreciation rights, performance awards, restricted stock, restricted stock units, and other stock-based awards that the Compensation Committee determines are consistent with the purpose of the Equity Incentive Plan and the interests of the Company. Awards may be granted to the Company’s executives and other key employees, directors, and other service providers and are designed to align the interests of the Equity Incentive Plan’s participants with the interests of the Company’s shareholders. The stock options granted under the Equity Incentive Plan may be either non-statutory stock options or incentive stock options. There were no stock options outstanding at December 31, 2024 or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the Company’s common stock reserved and available for grant and issuance pursuant to the Equity Incentive Plan will not exceed 1,700,000 shares, less RSAs granted, plus any RSAs that become available upon forfeiture. Each of these shares may be issued as an incentive stock option. At December 31, 2024, 1,410,164 shares remained available for issuance pursuant to grant awards under the Plan. The Equity Incentive Plan does not contain an “evergreen” provision pursuant to which shares authorized for issuance may be automatically replenished.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stock-based compensation consists of RSAs granted under its historical stock-based incentive arrangement (the “Historical Incentive Plan”) and RSAs issued under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IPO in May 2021, the Company granted RSAs under the Equity Incentive Plan to certain employees, officers, executives, and non-employee directors. Shares granted to non-employee directors vested immediately upon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Non-cash stock compensation expense recognized for the years ended December 31, 2024, 2023, and 2022 was $1,156,000, $962,000, and $1,099,000, respectively. The total fair value of restricted shares vested during the years ended December 31, 2024, 2023, and 2022 was $1,101,000, $953,000, and $1,286,000, respectively. Tax benefits for vested restricted shares are recorded as tax benefits in the consolidated statements of income with a corresponding decrease to current taxes payable and were immaterial for the years ended December 31, 2024, 2023, and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granted as compensation to members of the board of directors a total of 16,380 shares scheduled to cliff vest as of December 31, 2024 contingent on continued service. In 2023, the Company granted as compensation to members of the board of directors a total of 13,882 shares scheduled to cliff vest as of December 31, 2023 contingent on continued service. In 2022, the Company granted as compensation to members of the board of directors a total of 15,156 shares scheduled to vest monthly in equal installments over one year contingent on continued service.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approximately $2,027,000 of unrecognized compensation expense related to the 120,577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3.28 years as of December 31, 2024. The impact of tax benefits for dividends paid on unvested restricted stock on the Company’s consolidated statements of income for the years ended December 31, 2024, 2023, and 2022 was immaterial.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13.1 summarizes information about unvested restricted shares.</w:t>
      </w:r>
    </w:p>
    <w:tbl>
      <w:tblPr>
        <w:tblW w:w="10205" w:type="dxa"/>
        <w:jc w:val="left"/>
        <w:tblInd w:w="0" w:type="dxa"/>
        <w:tblLayout w:type="fixed"/>
        <w:tblCellMar>
          <w:top w:w="28" w:type="dxa"/>
          <w:left w:w="28" w:type="dxa"/>
          <w:bottom w:w="28" w:type="dxa"/>
          <w:right w:w="28" w:type="dxa"/>
        </w:tblCellMar>
      </w:tblPr>
      <w:tblGrid>
        <w:gridCol w:w="481"/>
        <w:gridCol w:w="422"/>
        <w:gridCol w:w="425"/>
        <w:gridCol w:w="372"/>
        <w:gridCol w:w="374"/>
        <w:gridCol w:w="211"/>
        <w:gridCol w:w="109"/>
        <w:gridCol w:w="109"/>
        <w:gridCol w:w="109"/>
        <w:gridCol w:w="318"/>
        <w:gridCol w:w="930"/>
        <w:gridCol w:w="164"/>
        <w:gridCol w:w="109"/>
        <w:gridCol w:w="109"/>
        <w:gridCol w:w="109"/>
        <w:gridCol w:w="372"/>
        <w:gridCol w:w="374"/>
        <w:gridCol w:w="211"/>
        <w:gridCol w:w="109"/>
        <w:gridCol w:w="109"/>
        <w:gridCol w:w="109"/>
        <w:gridCol w:w="318"/>
        <w:gridCol w:w="930"/>
        <w:gridCol w:w="164"/>
        <w:gridCol w:w="109"/>
        <w:gridCol w:w="109"/>
        <w:gridCol w:w="109"/>
        <w:gridCol w:w="413"/>
        <w:gridCol w:w="413"/>
        <w:gridCol w:w="211"/>
        <w:gridCol w:w="109"/>
        <w:gridCol w:w="109"/>
        <w:gridCol w:w="109"/>
        <w:gridCol w:w="313"/>
        <w:gridCol w:w="916"/>
        <w:gridCol w:w="238"/>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13.1: Unvested Restricted Share Activity</w:t>
            </w:r>
          </w:p>
        </w:tc>
      </w:tr>
      <w:tr>
        <w:trPr/>
        <w:tc>
          <w:tcPr>
            <w:tcW w:w="132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328" w:type="dxa"/>
            <w:gridSpan w:val="3"/>
            <w:vMerge w:val="continue"/>
            <w:tcBorders/>
            <w:tcMar>
              <w:top w:w="0" w:type="dxa"/>
              <w:left w:w="0" w:type="dxa"/>
              <w:bottom w:w="0" w:type="dxa"/>
              <w:right w:w="0" w:type="dxa"/>
            </w:tcMar>
            <w:vAlign w:val="center"/>
          </w:tcPr>
          <w:p>
            <w:pPr>
              <w:pStyle w:val="Normal"/>
              <w:bidi w:val="0"/>
              <w:jc w:val="left"/>
              <w:rPr/>
            </w:pPr>
            <w:r>
              <w:rPr/>
            </w:r>
          </w:p>
        </w:tc>
        <w:tc>
          <w:tcPr>
            <w:tcW w:w="9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balance</w:t>
            </w:r>
          </w:p>
        </w:tc>
        <w:tc>
          <w:tcPr>
            <w:tcW w:w="7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69,338 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96,826 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127,751 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vested</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forfeited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balance</w:t>
            </w:r>
          </w:p>
        </w:tc>
        <w:tc>
          <w:tcPr>
            <w:tcW w:w="95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Shareholders’ Equity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declared cash dividends on its common shares totaling $16,243,000. During the year ended December 31, 2023, the Company declared cash dividends on its common shares totaling $12,943,000. During the year ended December 31, 2022, the Company declared cash dividends on its common shares totaling $15,301,000. Of those total dividends, during 2022, $4,953,000 was paid out for certain shareholders affected by the Company’s termination of its S corporation status. This distribution was for the remaining balance on the Company’s federal AAA for previously taxed, but undistributed,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Commitments and Contingencies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Instruments with Off-Balance Sheet Risk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Off-balance sheet risk to credit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consolidated balance sheets are shown in Table 15.1.</w:t>
      </w:r>
    </w:p>
    <w:tbl>
      <w:tblPr>
        <w:tblW w:w="9396" w:type="dxa"/>
        <w:jc w:val="left"/>
        <w:tblInd w:w="0" w:type="dxa"/>
        <w:tblLayout w:type="fixed"/>
        <w:tblCellMar>
          <w:top w:w="28" w:type="dxa"/>
          <w:left w:w="28" w:type="dxa"/>
          <w:bottom w:w="28" w:type="dxa"/>
          <w:right w:w="28" w:type="dxa"/>
        </w:tblCellMar>
      </w:tblPr>
      <w:tblGrid>
        <w:gridCol w:w="1445"/>
        <w:gridCol w:w="1270"/>
        <w:gridCol w:w="1274"/>
        <w:gridCol w:w="197"/>
        <w:gridCol w:w="197"/>
        <w:gridCol w:w="197"/>
        <w:gridCol w:w="381"/>
        <w:gridCol w:w="1494"/>
        <w:gridCol w:w="197"/>
        <w:gridCol w:w="197"/>
        <w:gridCol w:w="197"/>
        <w:gridCol w:w="197"/>
        <w:gridCol w:w="381"/>
        <w:gridCol w:w="1494"/>
        <w:gridCol w:w="278"/>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9396"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15.1: Unfunded Loan Commitments and Standby Letters of Credit</w:t>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9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lines of credit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230,063 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181,855 </w:t>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commercial real estate loans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construction loans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lines of credit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residential real estate loans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agricultural real estate loans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 and standby letters of credit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433,595 </w:t>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458,887 </w:t>
            </w:r>
          </w:p>
        </w:tc>
        <w:tc>
          <w:tcPr>
            <w:tcW w:w="2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$747,000 and $1,247,000 as of December 31, 2024 and 2023, respectively, which is recorded in “Interest payable and other liabilities” in the consolidated balance sheets.</w:t>
      </w:r>
    </w:p>
    <w:p>
      <w:pPr>
        <w:pStyle w:val="TextBody"/>
        <w:bidi w:val="0"/>
        <w:spacing w:lineRule="auto" w:line="288" w:before="200" w:after="283"/>
        <w:jc w:val="both"/>
        <w:rPr/>
      </w:pPr>
      <w:r>
        <w:rPr>
          <w:rFonts w:ascii="Times New Roman;sans-serif" w:hAnsi="Times New Roman;sans-serif"/>
          <w:b w:val="false"/>
          <w:color w:val="000000"/>
          <w:sz w:val="20"/>
          <w:u w:val="single"/>
        </w:rPr>
        <w:t>Concentrations of credit risk</w:t>
      </w:r>
      <w:r>
        <w:rPr>
          <w:rFonts w:ascii="Times New Roman;sans-serif" w:hAnsi="Times New Roman;sans-serif"/>
          <w:b w:val="false"/>
          <w:color w:val="000000"/>
          <w:sz w:val="20"/>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judgment, a concentration of loans exists in real estate related loans, which represented approximately 86.41% of the Company’s loan portfolio at December 31, 2024 and 92.30% of the Company’s loan portfolio at December 31, 2023.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pStyle w:val="TextBody"/>
        <w:bidi w:val="0"/>
        <w:spacing w:lineRule="auto" w:line="288" w:before="200" w:after="283"/>
        <w:jc w:val="both"/>
        <w:rPr/>
      </w:pPr>
      <w:r>
        <w:rPr>
          <w:rFonts w:ascii="Times New Roman;sans-serif" w:hAnsi="Times New Roman;sans-serif"/>
          <w:b w:val="false"/>
          <w:color w:val="000000"/>
          <w:sz w:val="20"/>
          <w:u w:val="single"/>
        </w:rPr>
        <w:t>Deposit concentrations</w:t>
      </w:r>
      <w:r>
        <w:rPr>
          <w:rFonts w:ascii="Times New Roman;sans-serif" w:hAnsi="Times New Roman;sans-serif"/>
          <w:b w:val="false"/>
          <w:color w:val="000000"/>
          <w:sz w:val="20"/>
        </w:rPr>
        <w:t>: At December 31, 2024, the Company had 104 deposit relationships that exceeded $5,000,000 each, totaling $2,166,080,000, or approximately 60.88% of total deposits. The Company’s largest single deposit relationship at December 31, 2024 totaled $300,000,000, or approximately 8.43% of total deposits. Management maintains the Company’s liquidity position and lines of credit with correspondent banks to mitigate the risk of large withdrawals by this group of large depositors.</w:t>
      </w:r>
    </w:p>
    <w:p>
      <w:pPr>
        <w:pStyle w:val="TextBody"/>
        <w:bidi w:val="0"/>
        <w:spacing w:lineRule="auto" w:line="288" w:before="200" w:after="283"/>
        <w:jc w:val="both"/>
        <w:rPr/>
      </w:pPr>
      <w:r>
        <w:rPr>
          <w:rFonts w:ascii="Times New Roman;sans-serif" w:hAnsi="Times New Roman;sans-serif"/>
          <w:b w:val="false"/>
          <w:color w:val="000000"/>
          <w:sz w:val="20"/>
          <w:u w:val="single"/>
        </w:rPr>
        <w:t>Correspondent banking agreements</w:t>
      </w:r>
      <w:r>
        <w:rPr>
          <w:rFonts w:ascii="Times New Roman;sans-serif" w:hAnsi="Times New Roman;sans-serif"/>
          <w:b w:val="false"/>
          <w:color w:val="000000"/>
          <w:sz w:val="20"/>
        </w:rPr>
        <w:t>: The Company maintains funds on deposit with other FDIC-insured financial institutions under correspondent banking agreements. Uninsured deposits through these agreements totaled $29,154,000 and $22,348,000 at December 31, 2024 and 2023, respectively.</w:t>
      </w:r>
    </w:p>
    <w:p>
      <w:pPr>
        <w:pStyle w:val="TextBody"/>
        <w:bidi w:val="0"/>
        <w:spacing w:lineRule="auto" w:line="288" w:before="200" w:after="283"/>
        <w:jc w:val="both"/>
        <w:rPr/>
      </w:pPr>
      <w:r>
        <w:rPr>
          <w:rFonts w:ascii="Times New Roman;sans-serif" w:hAnsi="Times New Roman;sans-serif"/>
          <w:b w:val="false"/>
          <w:color w:val="000000"/>
          <w:sz w:val="20"/>
          <w:u w:val="single"/>
        </w:rPr>
        <w:t>Equity investments</w:t>
      </w:r>
      <w:r>
        <w:rPr>
          <w:rFonts w:ascii="Times New Roman;sans-serif" w:hAnsi="Times New Roman;sans-serif"/>
          <w:b w:val="false"/>
          <w:color w:val="000000"/>
          <w:sz w:val="20"/>
        </w:rPr>
        <w:t xml:space="preserve">: The Company has committed to and is invested in a limited number of venture funds. As of December 31, 2024 and 2023, the estimated remaining commitment for these funds totaled $10,833,000 and $10,903,000,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for its banking operations under non-cancelable operating leases of various terms. The leases expire at dates through 2035 and provide for renewal options from three to five years. In the normal course of business, it is expected that these leases will be renewed or replaced by leases on other properties. All leases include predefined rental increases over the term of the lease.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sublease agreement for space adjacent to the Redding location. The sublease has renewal terms extended to December 31, 2025.</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Sacramento administrative office from a partnership comprised of certain shareholders and members of the Company’s board of directors. The Sacramento administrative office lease extends through May 2026. Rent expense paid to the partnership was $32,000, $28,000, and $30,000 for the years ended December 31, 2024, 2023, and 2022, respectively, under this lease.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Until the opening of a full service branch in San Francisco in September 2024, the Company leased a temporary administrative office in San Francisco from an entity affiliated with a member of our board of directors. Rent expense paid to this entity was $40,000 and $19,000 for the years ended December 31, 2024 and 2023, respectively. There was no rent expense paid to this entity for the year ended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Company’s ROUA and lease liability were $6,245,000 and $6,857,000,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15.2 presents the components of lease expense for the years shown.</w:t>
      </w:r>
    </w:p>
    <w:tbl>
      <w:tblPr>
        <w:tblW w:w="5919"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9"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15.2: Components of Lease Expense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0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15.3 presents the weighted average operating lease term, discount rate, and operating cash flows at the dates indicated.</w:t>
      </w:r>
    </w:p>
    <w:tbl>
      <w:tblPr>
        <w:tblW w:w="10205" w:type="dxa"/>
        <w:jc w:val="left"/>
        <w:tblInd w:w="0" w:type="dxa"/>
        <w:tblLayout w:type="fixed"/>
        <w:tblCellMar>
          <w:top w:w="28" w:type="dxa"/>
          <w:left w:w="28" w:type="dxa"/>
          <w:bottom w:w="28" w:type="dxa"/>
          <w:right w:w="28" w:type="dxa"/>
        </w:tblCellMar>
      </w:tblPr>
      <w:tblGrid>
        <w:gridCol w:w="2213"/>
        <w:gridCol w:w="1945"/>
        <w:gridCol w:w="1958"/>
        <w:gridCol w:w="114"/>
        <w:gridCol w:w="114"/>
        <w:gridCol w:w="114"/>
        <w:gridCol w:w="373"/>
        <w:gridCol w:w="824"/>
        <w:gridCol w:w="479"/>
        <w:gridCol w:w="114"/>
        <w:gridCol w:w="114"/>
        <w:gridCol w:w="114"/>
        <w:gridCol w:w="365"/>
        <w:gridCol w:w="807"/>
        <w:gridCol w:w="557"/>
      </w:tblGrid>
      <w:tr>
        <w:trPr/>
        <w:tc>
          <w:tcPr>
            <w:tcW w:w="221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15.3: Other Lease Information</w:t>
            </w:r>
          </w:p>
        </w:tc>
      </w:tr>
      <w:tr>
        <w:trPr/>
        <w:tc>
          <w:tcPr>
            <w:tcW w:w="61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average remaining lease term and discount rate)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1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years</w:t>
            </w:r>
          </w:p>
        </w:tc>
      </w:tr>
      <w:tr>
        <w:trPr/>
        <w:tc>
          <w:tcPr>
            <w:tcW w:w="6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4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ROUA obtained in exchange for operating lease liabilities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15.4 shows the future minimum lease payments under the Company’s operating lease arrangements as of December 31, 2024.</w:t>
      </w:r>
    </w:p>
    <w:tbl>
      <w:tblPr>
        <w:tblW w:w="7178" w:type="dxa"/>
        <w:jc w:val="left"/>
        <w:tblInd w:w="0" w:type="dxa"/>
        <w:tblLayout w:type="fixed"/>
        <w:tblCellMar>
          <w:top w:w="28" w:type="dxa"/>
          <w:left w:w="28" w:type="dxa"/>
          <w:bottom w:w="28" w:type="dxa"/>
          <w:right w:w="28" w:type="dxa"/>
        </w:tblCellMar>
      </w:tblPr>
      <w:tblGrid>
        <w:gridCol w:w="1493"/>
        <w:gridCol w:w="1314"/>
        <w:gridCol w:w="1318"/>
        <w:gridCol w:w="254"/>
        <w:gridCol w:w="254"/>
        <w:gridCol w:w="254"/>
        <w:gridCol w:w="493"/>
        <w:gridCol w:w="1439"/>
        <w:gridCol w:w="359"/>
      </w:tblGrid>
      <w:tr>
        <w:trPr/>
        <w:tc>
          <w:tcPr>
            <w:tcW w:w="149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7178" w:type="dxa"/>
            <w:gridSpan w:val="9"/>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15.4: Future Minimum Lease Payments</w:t>
            </w:r>
          </w:p>
        </w:tc>
      </w:tr>
      <w:tr>
        <w:trPr/>
        <w:tc>
          <w:tcPr>
            <w:tcW w:w="41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4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expected operating lease payments</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8,210 </w:t>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present value of expected cash flows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at December 31, 2024</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3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Capital Requirements and Restrictions on Retained Earnings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Bank are subject to various regulatory capital requirements administered by federal and state banking agencies. Failure to meet minimum capital requirements as set forth in Tables 16.1 and 16.2 can initiate certain mandatory and possibly additional discretionary actions by regulators that, if undertaken, could have a direct material effect on the Company’s consolidated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capital amounts and the Bank’s prompt corrective action classifications are also subject to qualitative judgments by the regulators about components, risk weightings, and other factors. Prompt corrective action provisions are generally not applicable to bank holding companies. Quantitative measures established by regulation to ensure capital adequacy require the Company and the Bank to maintain minimum amounts and ratios (set forth in Tables 16.1 and 16.2) of total capital, Tier 1 capital, and common equity Tier 1 capital (as defined in the regulations) to risk-weighted assets and of Tier 1 capital to average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Bank are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Management believes that, as of December 31, 2024, the Company and the Bank met all capital adequacy requirements to which they are subject.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Bank was categorized as “well-capitalized” under the regulatory framework for prompt corrective action. To be categorized as “well-capitalized,” an institution must maintain minimum total risk-based, Tier 1 risk-based, and Tier 1 leverage ratios as set forth in Table 16.2. There are no conditions or events since that categorization that management believes have changed the Bank’s category.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source of cash for the Company is dividends from the Bank. Dividends from the Bank to the Company are restricted under California law to the lesser of: (i) the Bank’s retained earnings; or (ii) the Bank’s net income for the latest three fiscal years, less dividends previously declared during that period. As of December 31, 2024 and 2023, the maximum amount available for dividend distribution under this restriction was approximately $94,595,000 and $62,951,000, respectively. If a proposed dividend exceeds the limit, the Bank may still pay a dividend to the Holding Company if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obtains approval from the DFPI and the dividend does not exceed the greater of: (i) the retained earnings of the Bank; (ii) the net income of the Bank for its last fiscal year; or (iii) the net income of the Bank for its current fiscal year.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and the Bank’s actual capital amounts and ratios as of December 31, 2024 and 2023 are presented in Tables 16.1 and 16.2. As of December 31, 2024 and 2023, Bancorp’s Tier 2 capital included subordinated notes, which were not included at the bank level. Eligible amounts of subordinated notes included in Tier 2 capital will be phased out by 20% per year beginning five years before the maturity date of the notes.</w:t>
      </w:r>
    </w:p>
    <w:tbl>
      <w:tblPr>
        <w:tblW w:w="10205" w:type="dxa"/>
        <w:jc w:val="left"/>
        <w:tblInd w:w="0" w:type="dxa"/>
        <w:tblLayout w:type="fixed"/>
        <w:tblCellMar>
          <w:top w:w="28" w:type="dxa"/>
          <w:left w:w="28" w:type="dxa"/>
          <w:bottom w:w="28" w:type="dxa"/>
          <w:right w:w="28" w:type="dxa"/>
        </w:tblCellMar>
      </w:tblPr>
      <w:tblGrid>
        <w:gridCol w:w="792"/>
        <w:gridCol w:w="500"/>
        <w:gridCol w:w="501"/>
        <w:gridCol w:w="109"/>
        <w:gridCol w:w="109"/>
        <w:gridCol w:w="109"/>
        <w:gridCol w:w="211"/>
        <w:gridCol w:w="826"/>
        <w:gridCol w:w="109"/>
        <w:gridCol w:w="109"/>
        <w:gridCol w:w="109"/>
        <w:gridCol w:w="109"/>
        <w:gridCol w:w="308"/>
        <w:gridCol w:w="308"/>
        <w:gridCol w:w="310"/>
        <w:gridCol w:w="109"/>
        <w:gridCol w:w="109"/>
        <w:gridCol w:w="109"/>
        <w:gridCol w:w="239"/>
        <w:gridCol w:w="936"/>
        <w:gridCol w:w="123"/>
        <w:gridCol w:w="123"/>
        <w:gridCol w:w="123"/>
        <w:gridCol w:w="123"/>
        <w:gridCol w:w="315"/>
        <w:gridCol w:w="196"/>
        <w:gridCol w:w="306"/>
        <w:gridCol w:w="109"/>
        <w:gridCol w:w="109"/>
        <w:gridCol w:w="109"/>
        <w:gridCol w:w="472"/>
        <w:gridCol w:w="245"/>
        <w:gridCol w:w="245"/>
        <w:gridCol w:w="245"/>
        <w:gridCol w:w="245"/>
        <w:gridCol w:w="245"/>
        <w:gridCol w:w="245"/>
        <w:gridCol w:w="245"/>
        <w:gridCol w:w="361"/>
      </w:tblGrid>
      <w:tr>
        <w:trPr/>
        <w:tc>
          <w:tcPr>
            <w:tcW w:w="7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16.1: Capital Ratios for Bancorp</w:t>
            </w:r>
          </w:p>
        </w:tc>
      </w:tr>
      <w:tr>
        <w:trPr/>
        <w:tc>
          <w:tcPr>
            <w:tcW w:w="1793"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Actual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Required for Capital Adequacy Purposes</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Ratio to be Well-Capitalized under Prompt Corrective Action Provisions</w:t>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7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ind w:left="0" w:right="0" w:hanging="173"/>
              <w:jc w:val="center"/>
              <w:rPr>
                <w:rFonts w:ascii="Times New Roman;sans-serif" w:hAnsi="Times New Roman;sans-serif"/>
                <w:b w:val="false"/>
                <w:color w:val="000000"/>
                <w:sz w:val="20"/>
              </w:rPr>
            </w:pPr>
            <w:r>
              <w:rPr>
                <w:rFonts w:ascii="Times New Roman;sans-serif" w:hAnsi="Times New Roman;sans-serif"/>
                <w:b w:val="false"/>
                <w:color w:val="000000"/>
                <w:sz w:val="20"/>
              </w:rPr>
              <w:t>Ratio</w:t>
            </w:r>
          </w:p>
        </w:tc>
      </w:tr>
      <w:tr>
        <w:trPr/>
        <w:tc>
          <w:tcPr>
            <w:tcW w:w="179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tbl>
      <w:tblPr>
        <w:tblW w:w="10205" w:type="dxa"/>
        <w:jc w:val="left"/>
        <w:tblInd w:w="0" w:type="dxa"/>
        <w:tblLayout w:type="fixed"/>
        <w:tblCellMar>
          <w:top w:w="28" w:type="dxa"/>
          <w:left w:w="28" w:type="dxa"/>
          <w:bottom w:w="28" w:type="dxa"/>
          <w:right w:w="28" w:type="dxa"/>
        </w:tblCellMar>
      </w:tblPr>
      <w:tblGrid>
        <w:gridCol w:w="732"/>
        <w:gridCol w:w="433"/>
        <w:gridCol w:w="435"/>
        <w:gridCol w:w="109"/>
        <w:gridCol w:w="109"/>
        <w:gridCol w:w="109"/>
        <w:gridCol w:w="211"/>
        <w:gridCol w:w="826"/>
        <w:gridCol w:w="109"/>
        <w:gridCol w:w="109"/>
        <w:gridCol w:w="109"/>
        <w:gridCol w:w="109"/>
        <w:gridCol w:w="308"/>
        <w:gridCol w:w="308"/>
        <w:gridCol w:w="310"/>
        <w:gridCol w:w="109"/>
        <w:gridCol w:w="109"/>
        <w:gridCol w:w="109"/>
        <w:gridCol w:w="229"/>
        <w:gridCol w:w="898"/>
        <w:gridCol w:w="118"/>
        <w:gridCol w:w="118"/>
        <w:gridCol w:w="118"/>
        <w:gridCol w:w="118"/>
        <w:gridCol w:w="315"/>
        <w:gridCol w:w="196"/>
        <w:gridCol w:w="294"/>
        <w:gridCol w:w="109"/>
        <w:gridCol w:w="109"/>
        <w:gridCol w:w="109"/>
        <w:gridCol w:w="258"/>
        <w:gridCol w:w="1013"/>
        <w:gridCol w:w="133"/>
        <w:gridCol w:w="133"/>
        <w:gridCol w:w="133"/>
        <w:gridCol w:w="133"/>
        <w:gridCol w:w="327"/>
        <w:gridCol w:w="293"/>
        <w:gridCol w:w="398"/>
      </w:tblGrid>
      <w:tr>
        <w:trPr/>
        <w:tc>
          <w:tcPr>
            <w:tcW w:w="7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16.2: Capital Ratios for the Bank</w:t>
            </w:r>
          </w:p>
        </w:tc>
      </w:tr>
      <w:tr>
        <w:trPr/>
        <w:tc>
          <w:tcPr>
            <w:tcW w:w="1600"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Actual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Required for Capital Adequacy Purposes</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Ratio to be Well-Capitalized under Prompt Corrective Action Provisions</w:t>
            </w:r>
          </w:p>
        </w:tc>
      </w:tr>
      <w:tr>
        <w:trPr/>
        <w:tc>
          <w:tcPr>
            <w:tcW w:w="16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ind w:left="0" w:right="0" w:hanging="173"/>
              <w:jc w:val="center"/>
              <w:rPr>
                <w:rFonts w:ascii="Times New Roman;sans-serif" w:hAnsi="Times New Roman;sans-serif"/>
                <w:b w:val="false"/>
                <w:color w:val="000000"/>
                <w:sz w:val="20"/>
              </w:rPr>
            </w:pPr>
            <w:r>
              <w:rPr>
                <w:rFonts w:ascii="Times New Roman;sans-serif" w:hAnsi="Times New Roman;sans-serif"/>
                <w:b w:val="false"/>
                <w:color w:val="000000"/>
                <w:sz w:val="20"/>
              </w:rPr>
              <w:t>Ratio</w:t>
            </w:r>
          </w:p>
        </w:tc>
      </w:tr>
      <w:tr>
        <w:trPr/>
        <w:tc>
          <w:tcPr>
            <w:tcW w:w="16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251" w:type="dxa"/>
        <w:jc w:val="left"/>
        <w:tblInd w:w="0" w:type="dxa"/>
        <w:tblLayout w:type="fixed"/>
        <w:tblCellMar>
          <w:top w:w="28" w:type="dxa"/>
          <w:left w:w="28" w:type="dxa"/>
          <w:bottom w:w="28" w:type="dxa"/>
          <w:right w:w="28" w:type="dxa"/>
        </w:tblCellMar>
      </w:tblPr>
      <w:tblGrid>
        <w:gridCol w:w="124"/>
        <w:gridCol w:w="109"/>
        <w:gridCol w:w="109"/>
        <w:gridCol w:w="1727"/>
        <w:gridCol w:w="1727"/>
        <w:gridCol w:w="2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5909"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listed capital adequacy ratios exclude capital conservation buffers.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Fair Value of Assets and Liabilities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17.1 summarizes the Company’s assets and liabilities that were required to be recorded at fair value on a recurring basis.</w:t>
      </w:r>
    </w:p>
    <w:tbl>
      <w:tblPr>
        <w:tblW w:w="10205" w:type="dxa"/>
        <w:jc w:val="left"/>
        <w:tblInd w:w="0" w:type="dxa"/>
        <w:tblLayout w:type="fixed"/>
        <w:tblCellMar>
          <w:top w:w="28" w:type="dxa"/>
          <w:left w:w="28" w:type="dxa"/>
          <w:bottom w:w="28" w:type="dxa"/>
          <w:right w:w="28" w:type="dxa"/>
        </w:tblCellMar>
      </w:tblPr>
      <w:tblGrid>
        <w:gridCol w:w="830"/>
        <w:gridCol w:w="730"/>
        <w:gridCol w:w="734"/>
        <w:gridCol w:w="109"/>
        <w:gridCol w:w="109"/>
        <w:gridCol w:w="109"/>
        <w:gridCol w:w="213"/>
        <w:gridCol w:w="835"/>
        <w:gridCol w:w="110"/>
        <w:gridCol w:w="109"/>
        <w:gridCol w:w="109"/>
        <w:gridCol w:w="109"/>
        <w:gridCol w:w="303"/>
        <w:gridCol w:w="582"/>
        <w:gridCol w:w="157"/>
        <w:gridCol w:w="109"/>
        <w:gridCol w:w="109"/>
        <w:gridCol w:w="109"/>
        <w:gridCol w:w="232"/>
        <w:gridCol w:w="909"/>
        <w:gridCol w:w="120"/>
        <w:gridCol w:w="109"/>
        <w:gridCol w:w="109"/>
        <w:gridCol w:w="109"/>
        <w:gridCol w:w="384"/>
        <w:gridCol w:w="740"/>
        <w:gridCol w:w="200"/>
        <w:gridCol w:w="109"/>
        <w:gridCol w:w="109"/>
        <w:gridCol w:w="109"/>
        <w:gridCol w:w="435"/>
        <w:gridCol w:w="435"/>
        <w:gridCol w:w="621"/>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17.1: Fair Value on a Recurring Basis</w:t>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w:t>
              <w:br/>
              <w:t>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Other Observable Inputs</w:t>
              <w:br/>
              <w:t>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w:t>
              <w:br/>
              <w:t>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Measurement Categories: Changes in Fair Value Recorded In</w:t>
            </w:r>
          </w:p>
        </w:tc>
      </w:tr>
      <w:tr>
        <w:trPr/>
        <w:tc>
          <w:tcPr>
            <w:tcW w:w="22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 mortgage-backed securities, obligations of states and political subdivisions, collateralized mortgage obligations, and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OCI</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 mortgage-backed securities, obligations of states and political subdivisions, collateralized mortgage obligations, and 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OCI</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December 31, 2024 and 2023, there were no Level 1 available-for-sale securities and no transfers between Level 1 and Level 2 classifications for assets or liabilities measured at fair value on a recurring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investment portfolio service bureau has developed a model for pricing available-for-sale debt securities. Information such as historical and current performance of the underlying collateral, deferral/default rates, collateral coverage ratios, break-even yield calculations, cash flow projections, liquidity, and credit premiums required by a market participant, as well as financial trend analysis with respect to the individual issuing financial institutions and insurance companies, are utilized in determining individual security valuations. Due to current market conditions, as well as the limited trading activity of the securities, the market value of the securities is highly sensitive to assumption changes and market volatility.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in determining the fair value of the derivatives. A similar credit risk adjustment, correlated to the credit standing of the counterparty, is made when collateral posted by the counterparty does not fully cover their liability to the Company. There was no carrying value or fair value for interest rate swaps as of December 31, 2024.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collateral dependent impaired loans and other real estate is generally based on recent real estate appraisals. These appraisals may utilize a single valuation approach or a combination of approaches including comparable sales and the income approach. Adjustments are routinely made in the appraisal process by the appraisers to adjust for differences between the comparable sales and income data available. Management also incorporates assumptions regarding market trends or other relevant factors and selling and commission costs ranging from 5.00% to 7.00%. Such adjustments and assumptions are typically significant and result in a Level 3 classification of the inputs for determining fair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OREO. As of December 31, 2024 and 2023, the carrying amount of assets measured at fair value on a non-recurring basis was immaterial to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Disclosures about 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Table 17.2 is a summary of fair value estimates for financial instruments as of December 31, 2024 and 2023. These estimates are made at a specific point in time based on relevant market data and information about the financial instruments. These estimates do not reflect any premium or discount that could result from offering the Company’s entire holdings of a particular financial instrument for sale at one time, nor do they attempt to estimate the value of anticipated future business related to the instruments. In addition, the tax ramifications related to the realization of unrealized gains and losses can have a significant effect on fair value estimates and have not been considered in any of these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no market exists for a significant portion of the Company’s financial instruments, fair value estimates are based on judgments regarding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fair values presented. The carrying amounts in Table 17.2 are recorded in the consolidated balance sheets under the indicated captions. Further, management has not disclosed the fair value of financial instruments specifically excluded from disclosure requirements, such as BOLI.</w:t>
      </w:r>
    </w:p>
    <w:tbl>
      <w:tblPr>
        <w:tblW w:w="10205" w:type="dxa"/>
        <w:jc w:val="left"/>
        <w:tblInd w:w="0" w:type="dxa"/>
        <w:tblLayout w:type="fixed"/>
        <w:tblCellMar>
          <w:top w:w="28" w:type="dxa"/>
          <w:left w:w="28" w:type="dxa"/>
          <w:bottom w:w="28" w:type="dxa"/>
          <w:right w:w="28" w:type="dxa"/>
        </w:tblCellMar>
      </w:tblPr>
      <w:tblGrid>
        <w:gridCol w:w="864"/>
        <w:gridCol w:w="458"/>
        <w:gridCol w:w="365"/>
        <w:gridCol w:w="109"/>
        <w:gridCol w:w="109"/>
        <w:gridCol w:w="109"/>
        <w:gridCol w:w="214"/>
        <w:gridCol w:w="841"/>
        <w:gridCol w:w="110"/>
        <w:gridCol w:w="109"/>
        <w:gridCol w:w="109"/>
        <w:gridCol w:w="109"/>
        <w:gridCol w:w="211"/>
        <w:gridCol w:w="826"/>
        <w:gridCol w:w="109"/>
        <w:gridCol w:w="109"/>
        <w:gridCol w:w="109"/>
        <w:gridCol w:w="109"/>
        <w:gridCol w:w="313"/>
        <w:gridCol w:w="313"/>
        <w:gridCol w:w="314"/>
        <w:gridCol w:w="109"/>
        <w:gridCol w:w="109"/>
        <w:gridCol w:w="109"/>
        <w:gridCol w:w="214"/>
        <w:gridCol w:w="841"/>
        <w:gridCol w:w="110"/>
        <w:gridCol w:w="109"/>
        <w:gridCol w:w="109"/>
        <w:gridCol w:w="109"/>
        <w:gridCol w:w="211"/>
        <w:gridCol w:w="826"/>
        <w:gridCol w:w="109"/>
        <w:gridCol w:w="109"/>
        <w:gridCol w:w="109"/>
        <w:gridCol w:w="109"/>
        <w:gridCol w:w="288"/>
        <w:gridCol w:w="288"/>
        <w:gridCol w:w="418"/>
      </w:tblGrid>
      <w:tr>
        <w:trPr/>
        <w:tc>
          <w:tcPr>
            <w:tcW w:w="8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17.2: Fair Value Estimates for Financial Instruments</w:t>
            </w:r>
          </w:p>
        </w:tc>
      </w:tr>
      <w:tr>
        <w:trPr/>
        <w:tc>
          <w:tcPr>
            <w:tcW w:w="168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16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Hierarchy</w:t>
            </w:r>
          </w:p>
        </w:tc>
      </w:tr>
      <w:tr>
        <w:trPr/>
        <w:tc>
          <w:tcPr>
            <w:tcW w:w="16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stock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the following methods and assumptions to estimate the fair value of its financial instruments at December 31, 2024 and 2023:</w:t>
      </w:r>
    </w:p>
    <w:p>
      <w:pPr>
        <w:pStyle w:val="TextBody"/>
        <w:bidi w:val="0"/>
        <w:spacing w:lineRule="auto" w:line="288" w:before="200" w:after="283"/>
        <w:jc w:val="both"/>
        <w:rPr/>
      </w:pPr>
      <w:r>
        <w:rPr>
          <w:rFonts w:ascii="Times New Roman;sans-serif" w:hAnsi="Times New Roman;sans-serif"/>
          <w:b w:val="false"/>
          <w:color w:val="000000"/>
          <w:sz w:val="20"/>
          <w:u w:val="single"/>
        </w:rPr>
        <w:t>Cash and cash equivalents and time deposits in banks</w:t>
      </w:r>
      <w:r>
        <w:rPr>
          <w:rFonts w:ascii="Times New Roman;sans-serif" w:hAnsi="Times New Roman;sans-serif"/>
          <w:b w:val="false"/>
          <w:color w:val="000000"/>
          <w:sz w:val="20"/>
        </w:rPr>
        <w:t>: The carrying amount is estimated to be fair value due to the liquid nature of the assets and their short-term maturities.</w:t>
      </w:r>
    </w:p>
    <w:p>
      <w:pPr>
        <w:pStyle w:val="TextBody"/>
        <w:bidi w:val="0"/>
        <w:spacing w:lineRule="auto" w:line="288" w:before="200" w:after="283"/>
        <w:jc w:val="both"/>
        <w:rPr/>
      </w:pPr>
      <w:r>
        <w:rPr>
          <w:rFonts w:ascii="Times New Roman;sans-serif" w:hAnsi="Times New Roman;sans-serif"/>
          <w:b w:val="false"/>
          <w:color w:val="000000"/>
          <w:sz w:val="20"/>
          <w:u w:val="single"/>
        </w:rPr>
        <w:t>Investment securities</w:t>
      </w:r>
      <w:r>
        <w:rPr>
          <w:rFonts w:ascii="Times New Roman;sans-serif" w:hAnsi="Times New Roman;sans-serif"/>
          <w:b w:val="false"/>
          <w:color w:val="000000"/>
          <w:sz w:val="20"/>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pStyle w:val="TextBody"/>
        <w:bidi w:val="0"/>
        <w:spacing w:lineRule="auto" w:line="288" w:before="200" w:after="283"/>
        <w:jc w:val="both"/>
        <w:rPr/>
      </w:pPr>
      <w:r>
        <w:rPr>
          <w:rFonts w:ascii="Times New Roman;sans-serif" w:hAnsi="Times New Roman;sans-serif"/>
          <w:b w:val="false"/>
          <w:color w:val="000000"/>
          <w:sz w:val="20"/>
          <w:u w:val="single"/>
        </w:rPr>
        <w:t>Loans held for sale</w:t>
      </w:r>
      <w:r>
        <w:rPr>
          <w:rFonts w:ascii="Times New Roman;sans-serif" w:hAnsi="Times New Roman;sans-serif"/>
          <w:b w:val="false"/>
          <w:color w:val="000000"/>
          <w:sz w:val="20"/>
        </w:rPr>
        <w:t>: The fair value is based on what secondary markets are currently offering for portfolios with similar characteristics.</w:t>
      </w:r>
    </w:p>
    <w:p>
      <w:pPr>
        <w:pStyle w:val="TextBody"/>
        <w:bidi w:val="0"/>
        <w:spacing w:lineRule="auto" w:line="288" w:before="200" w:after="283"/>
        <w:jc w:val="both"/>
        <w:rPr/>
      </w:pPr>
      <w:r>
        <w:rPr>
          <w:rFonts w:ascii="Times New Roman;sans-serif" w:hAnsi="Times New Roman;sans-serif"/>
          <w:b w:val="false"/>
          <w:color w:val="000000"/>
          <w:sz w:val="20"/>
          <w:u w:val="single"/>
        </w:rPr>
        <w:t>Loans held for investment, net of allowance for credit losses</w:t>
      </w:r>
      <w:r>
        <w:rPr>
          <w:rFonts w:ascii="Times New Roman;sans-serif" w:hAnsi="Times New Roman;sans-serif"/>
          <w:b w:val="false"/>
          <w:color w:val="000000"/>
          <w:sz w:val="20"/>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pStyle w:val="TextBody"/>
        <w:bidi w:val="0"/>
        <w:spacing w:lineRule="auto" w:line="288" w:before="200" w:after="283"/>
        <w:jc w:val="both"/>
        <w:rPr/>
      </w:pPr>
      <w:r>
        <w:rPr>
          <w:rFonts w:ascii="Times New Roman;sans-serif" w:hAnsi="Times New Roman;sans-serif"/>
          <w:b w:val="false"/>
          <w:color w:val="000000"/>
          <w:sz w:val="20"/>
          <w:u w:val="single"/>
        </w:rPr>
        <w:t>FHLB stock and other investments</w:t>
      </w:r>
      <w:r>
        <w:rPr>
          <w:rFonts w:ascii="Times New Roman;sans-serif" w:hAnsi="Times New Roman;sans-serif"/>
          <w:b w:val="false"/>
          <w:color w:val="000000"/>
          <w:sz w:val="20"/>
        </w:rPr>
        <w:t>: Carrying amounts of these investments are reasonable estimates of fair value because the securities are restricted to member banks and do not have a readily determinable market value.</w:t>
      </w:r>
    </w:p>
    <w:p>
      <w:pPr>
        <w:pStyle w:val="TextBody"/>
        <w:bidi w:val="0"/>
        <w:spacing w:lineRule="auto" w:line="288" w:before="200" w:after="283"/>
        <w:jc w:val="both"/>
        <w:rPr/>
      </w:pPr>
      <w:r>
        <w:rPr>
          <w:rFonts w:ascii="Times New Roman;sans-serif" w:hAnsi="Times New Roman;sans-serif"/>
          <w:b w:val="false"/>
          <w:color w:val="000000"/>
          <w:sz w:val="20"/>
          <w:u w:val="single"/>
        </w:rPr>
        <w:t>Commitments to extend credit</w:t>
      </w:r>
      <w:r>
        <w:rPr>
          <w:rFonts w:ascii="Times New Roman;sans-serif" w:hAnsi="Times New Roman;sans-serif"/>
          <w:b w:val="false"/>
          <w:color w:val="000000"/>
          <w:sz w:val="20"/>
        </w:rPr>
        <w:t>: These are primarily for adjustable rate loans, and there are no differences between the committed amounts and their fair values. Commitments to fund fixed rate loans are at rates which approximate fair value at each reporting date.</w:t>
      </w:r>
    </w:p>
    <w:p>
      <w:pPr>
        <w:pStyle w:val="TextBody"/>
        <w:bidi w:val="0"/>
        <w:spacing w:lineRule="auto" w:line="288" w:before="200" w:after="283"/>
        <w:jc w:val="both"/>
        <w:rPr/>
      </w:pPr>
      <w:r>
        <w:rPr>
          <w:rFonts w:ascii="Times New Roman;sans-serif" w:hAnsi="Times New Roman;sans-serif"/>
          <w:b w:val="false"/>
          <w:color w:val="000000"/>
          <w:sz w:val="20"/>
          <w:u w:val="single"/>
        </w:rPr>
        <w:t>Time deposits</w:t>
      </w:r>
      <w:r>
        <w:rPr>
          <w:rFonts w:ascii="Times New Roman;sans-serif" w:hAnsi="Times New Roman;sans-serif"/>
          <w:b w:val="false"/>
          <w:color w:val="000000"/>
          <w:sz w:val="20"/>
        </w:rPr>
        <w:t>: The fair value is estimated using a discounted cash flow analysis that uses interest rates offered at each reporting date by the Company for certificates with similar remaining maturities, resulting in a Level 2 classification.</w:t>
      </w:r>
    </w:p>
    <w:p>
      <w:pPr>
        <w:pStyle w:val="TextBody"/>
        <w:bidi w:val="0"/>
        <w:spacing w:lineRule="auto" w:line="288" w:before="200" w:after="283"/>
        <w:jc w:val="both"/>
        <w:rPr/>
      </w:pPr>
      <w:r>
        <w:rPr>
          <w:rFonts w:ascii="Times New Roman;sans-serif" w:hAnsi="Times New Roman;sans-serif"/>
          <w:b w:val="false"/>
          <w:color w:val="000000"/>
          <w:sz w:val="20"/>
          <w:u w:val="single"/>
        </w:rPr>
        <w:t>Subordinated notes</w:t>
      </w:r>
      <w:r>
        <w:rPr>
          <w:rFonts w:ascii="Times New Roman;sans-serif" w:hAnsi="Times New Roman;sans-serif"/>
          <w:b w:val="false"/>
          <w:color w:val="000000"/>
          <w:sz w:val="20"/>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pStyle w:val="TextBody"/>
        <w:bidi w:val="0"/>
        <w:spacing w:lineRule="auto" w:line="288" w:before="200" w:after="283"/>
        <w:jc w:val="both"/>
        <w:rPr/>
      </w:pPr>
      <w:r>
        <w:rPr>
          <w:rFonts w:ascii="Times New Roman;sans-serif" w:hAnsi="Times New Roman;sans-serif"/>
          <w:b w:val="false"/>
          <w:color w:val="000000"/>
          <w:sz w:val="20"/>
          <w:u w:val="single"/>
        </w:rPr>
        <w:t>Other borrowings</w:t>
      </w:r>
      <w:r>
        <w:rPr>
          <w:rFonts w:ascii="Times New Roman;sans-serif" w:hAnsi="Times New Roman;sans-serif"/>
          <w:b w:val="false"/>
          <w:color w:val="000000"/>
          <w:sz w:val="20"/>
        </w:rPr>
        <w:t>: The carrying amount is estimated to be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18: Parent Company Only Condensed Financial Information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and 2023</w:t>
      </w:r>
    </w:p>
    <w:tbl>
      <w:tblPr>
        <w:tblW w:w="7254" w:type="dxa"/>
        <w:jc w:val="left"/>
        <w:tblInd w:w="0" w:type="dxa"/>
        <w:tblLayout w:type="fixed"/>
        <w:tblCellMar>
          <w:top w:w="28" w:type="dxa"/>
          <w:left w:w="28" w:type="dxa"/>
          <w:bottom w:w="28" w:type="dxa"/>
          <w:right w:w="28" w:type="dxa"/>
        </w:tblCellMar>
      </w:tblPr>
      <w:tblGrid>
        <w:gridCol w:w="1559"/>
        <w:gridCol w:w="1371"/>
        <w:gridCol w:w="1374"/>
        <w:gridCol w:w="231"/>
        <w:gridCol w:w="922"/>
        <w:gridCol w:w="119"/>
        <w:gridCol w:w="119"/>
        <w:gridCol w:w="119"/>
        <w:gridCol w:w="119"/>
        <w:gridCol w:w="231"/>
        <w:gridCol w:w="922"/>
        <w:gridCol w:w="168"/>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254"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18.1: Condensed Balance Sheets</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banking subsidiary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472,313</w:t>
            </w: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361,358</w:t>
            </w:r>
            <w:r>
              <w:rPr>
                <w:color w:val="000000"/>
              </w:rPr>
              <w:t>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and other liabilities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472,313</w:t>
            </w:r>
            <w:r>
              <w:rPr>
                <w:color w:val="000000"/>
              </w:rPr>
              <w:t>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361,358</w:t>
            </w:r>
            <w:r>
              <w:rPr>
                <w:color w:val="000000"/>
              </w:rPr>
              <w:t> </w:t>
            </w:r>
          </w:p>
        </w:tc>
        <w:tc>
          <w:tcPr>
            <w:tcW w:w="1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9822" w:type="dxa"/>
        <w:jc w:val="left"/>
        <w:tblInd w:w="0" w:type="dxa"/>
        <w:tblLayout w:type="fixed"/>
        <w:tblCellMar>
          <w:top w:w="28" w:type="dxa"/>
          <w:left w:w="28" w:type="dxa"/>
          <w:bottom w:w="28" w:type="dxa"/>
          <w:right w:w="28" w:type="dxa"/>
        </w:tblCellMar>
      </w:tblPr>
      <w:tblGrid>
        <w:gridCol w:w="2155"/>
        <w:gridCol w:w="1898"/>
        <w:gridCol w:w="1902"/>
        <w:gridCol w:w="211"/>
        <w:gridCol w:w="736"/>
        <w:gridCol w:w="109"/>
        <w:gridCol w:w="109"/>
        <w:gridCol w:w="109"/>
        <w:gridCol w:w="109"/>
        <w:gridCol w:w="211"/>
        <w:gridCol w:w="736"/>
        <w:gridCol w:w="109"/>
        <w:gridCol w:w="109"/>
        <w:gridCol w:w="109"/>
        <w:gridCol w:w="109"/>
        <w:gridCol w:w="211"/>
        <w:gridCol w:w="736"/>
        <w:gridCol w:w="154"/>
      </w:tblGrid>
      <w:tr>
        <w:trPr/>
        <w:tc>
          <w:tcPr>
            <w:tcW w:w="215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22"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18.2: Condensed Statements of Income</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banking subsidiary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and undistributed banking subsidiary income</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banking subsidiary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45,671</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47,734</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44,801</w:t>
            </w:r>
            <w:r>
              <w:rPr>
                <w:color w:val="000000"/>
              </w:rPr>
              <w:t>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2023, and 2022</w:t>
      </w:r>
    </w:p>
    <w:tbl>
      <w:tblPr>
        <w:tblW w:w="10205" w:type="dxa"/>
        <w:jc w:val="left"/>
        <w:tblInd w:w="0" w:type="dxa"/>
        <w:tblLayout w:type="fixed"/>
        <w:tblCellMar>
          <w:top w:w="28" w:type="dxa"/>
          <w:left w:w="28" w:type="dxa"/>
          <w:bottom w:w="28" w:type="dxa"/>
          <w:right w:w="28" w:type="dxa"/>
        </w:tblCellMar>
      </w:tblPr>
      <w:tblGrid>
        <w:gridCol w:w="2329"/>
        <w:gridCol w:w="2023"/>
        <w:gridCol w:w="2027"/>
        <w:gridCol w:w="211"/>
        <w:gridCol w:w="721"/>
        <w:gridCol w:w="109"/>
        <w:gridCol w:w="109"/>
        <w:gridCol w:w="109"/>
        <w:gridCol w:w="109"/>
        <w:gridCol w:w="211"/>
        <w:gridCol w:w="721"/>
        <w:gridCol w:w="109"/>
        <w:gridCol w:w="109"/>
        <w:gridCol w:w="109"/>
        <w:gridCol w:w="109"/>
        <w:gridCol w:w="211"/>
        <w:gridCol w:w="721"/>
        <w:gridCol w:w="158"/>
      </w:tblGrid>
      <w:tr>
        <w:trPr/>
        <w:tc>
          <w:tcPr>
            <w:tcW w:w="232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18.3: Condensed Statements of Cash Flows</w:t>
            </w:r>
          </w:p>
        </w:tc>
      </w:tr>
      <w:tr>
        <w:trPr/>
        <w:tc>
          <w:tcPr>
            <w:tcW w:w="6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banking subsidiary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subordinated note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redeemed subordinated note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15,896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13,396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12,557</w:t>
            </w:r>
            <w:r>
              <w:rPr>
                <w:color w:val="000000"/>
              </w:rPr>
              <w:t>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(80,870)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(39,000)</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stock,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subordinated note issuance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 redemption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64,627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(12,943)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29,495</w:t>
            </w:r>
            <w:r>
              <w:rPr>
                <w:color w:val="000000"/>
              </w:rPr>
              <w:t>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8,794</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9,141</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8,688</w:t>
            </w:r>
            <w:r>
              <w:rPr>
                <w:color w:val="000000"/>
              </w:rPr>
              <w:t>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19: Subsequent Events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2025, the board of directors declared a $0.20 per common share dividend for shareholders of record as of February 3, 2025, which was paid on February 10, 2025 in the amount of $4,266,000.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(the “Exchange Act”), as of December 31, 2024.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period covered by this Annual Report on Form 10-K.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does not include a management’s report regarding internal control over financial reporting due to a transition period established by rules of the SEC for newly public companies.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such term is defined in Rule 13a-15(f) under the Exchange Act) that occurred during the three months ended December 31, 2024 that has materially affected, or is reasonably likely to materially affect, such controls.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Attestation Report of the Independent Registered Public Accounting Firm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 for an emerging growth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relating to the Company’s board of directors, the section entitled </w:t>
      </w:r>
      <w:r>
        <w:rPr>
          <w:color w:val="000000"/>
        </w:rPr>
        <w:t>“</w:t>
      </w:r>
      <w:r>
        <w:rPr>
          <w:rFonts w:ascii="Times New Roman;sans-serif" w:hAnsi="Times New Roman;sans-serif"/>
          <w:b w:val="false"/>
          <w:i/>
          <w:color w:val="000000"/>
          <w:sz w:val="20"/>
        </w:rPr>
        <w:t xml:space="preserve">Items to be Voted on by Shareholders —Item 1 — Election of Directors” </w:t>
      </w:r>
      <w:r>
        <w:rPr>
          <w:rFonts w:ascii="Times New Roman;sans-serif" w:hAnsi="Times New Roman;sans-serif"/>
          <w:b w:val="false"/>
          <w:color w:val="000000"/>
          <w:sz w:val="20"/>
        </w:rPr>
        <w:t>in the Company’s Proxy Statement for the 2025 Annual Meeting of Shareholders is incorporated herein by reference.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relating to officers of the Company, the section entitled </w:t>
      </w:r>
      <w:r>
        <w:rPr>
          <w:color w:val="000000"/>
        </w:rPr>
        <w:t>“</w:t>
      </w:r>
      <w:r>
        <w:rPr>
          <w:rFonts w:ascii="Times New Roman;sans-serif" w:hAnsi="Times New Roman;sans-serif"/>
          <w:b w:val="false"/>
          <w:i/>
          <w:color w:val="000000"/>
          <w:sz w:val="20"/>
        </w:rPr>
        <w:t xml:space="preserve">Information About Our Executive Officers” </w:t>
      </w:r>
      <w:r>
        <w:rPr>
          <w:rFonts w:ascii="Times New Roman;sans-serif" w:hAnsi="Times New Roman;sans-serif"/>
          <w:b w:val="false"/>
          <w:color w:val="000000"/>
          <w:sz w:val="20"/>
        </w:rPr>
        <w:t>in the Company’s Proxy Statement for the 2025 Annual Meeting of Shareholders is incorporated herein by reference.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regarding compliance with Delinquent Section 16(a) Reports, the section entitled </w:t>
      </w:r>
      <w:r>
        <w:rPr>
          <w:color w:val="000000"/>
        </w:rPr>
        <w:t>“</w:t>
      </w:r>
      <w:r>
        <w:rPr>
          <w:rFonts w:ascii="Times New Roman;sans-serif" w:hAnsi="Times New Roman;sans-serif"/>
          <w:b w:val="false"/>
          <w:i/>
          <w:color w:val="000000"/>
          <w:sz w:val="20"/>
        </w:rPr>
        <w:t xml:space="preserve">Stock Information —Delinquent Section 16(a) Reports” </w:t>
      </w:r>
      <w:r>
        <w:rPr>
          <w:rFonts w:ascii="Times New Roman;sans-serif" w:hAnsi="Times New Roman;sans-serif"/>
          <w:b w:val="false"/>
          <w:color w:val="000000"/>
          <w:sz w:val="20"/>
        </w:rPr>
        <w:t>in the Company’s Proxy Statement for the 2025 Annual Meeting of Shareholders is incorporated herein by reference.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Disclosure of Code of Conduct</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concerning the Company’s Code of Conduct, the information contained under the section entitled </w:t>
      </w:r>
      <w:r>
        <w:rPr>
          <w:color w:val="000000"/>
        </w:rPr>
        <w:t>“</w:t>
      </w:r>
      <w:r>
        <w:rPr>
          <w:rFonts w:ascii="Times New Roman;sans-serif" w:hAnsi="Times New Roman;sans-serif"/>
          <w:b w:val="false"/>
          <w:i/>
          <w:color w:val="000000"/>
          <w:sz w:val="20"/>
        </w:rPr>
        <w:t xml:space="preserve">Corporate Governance — Code of Conduct” </w:t>
      </w:r>
      <w:r>
        <w:rPr>
          <w:rFonts w:ascii="Times New Roman;sans-serif" w:hAnsi="Times New Roman;sans-serif"/>
          <w:b w:val="false"/>
          <w:color w:val="000000"/>
          <w:sz w:val="20"/>
        </w:rPr>
        <w:t>in the Company’s Proxy Statement for the 2025 Annual Meeting of Shareholders is incorporated by reference. A copy of the Code of Conduct is available to shareholders on the Company’s investor relations website at https://investors.fivestarbank.com/corporate-governance/governance-overview.</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Nominating, Compensation, and Audit Committees</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regarding the Company’s Nominating, Compensation, and Audit Committees, their composition, and the Audit Committee financial experts, the section entitled </w:t>
      </w:r>
      <w:r>
        <w:rPr>
          <w:color w:val="000000"/>
        </w:rPr>
        <w:t>“</w:t>
      </w:r>
      <w:r>
        <w:rPr>
          <w:rFonts w:ascii="Times New Roman;sans-serif" w:hAnsi="Times New Roman;sans-serif"/>
          <w:b w:val="false"/>
          <w:i/>
          <w:color w:val="000000"/>
          <w:sz w:val="20"/>
        </w:rPr>
        <w:t xml:space="preserve">Corporate Governance — Board Committees” </w:t>
      </w:r>
      <w:r>
        <w:rPr>
          <w:rFonts w:ascii="Times New Roman;sans-serif" w:hAnsi="Times New Roman;sans-serif"/>
          <w:b w:val="false"/>
          <w:color w:val="000000"/>
          <w:sz w:val="20"/>
        </w:rPr>
        <w:t>in the Company’s Proxy Statement for the 2025 Annual Meeting of Shareholders is incorporated herein by reference.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Insider Trading Policies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insider trading policies and procedures that govern the purchase, sale, and/or other disposition of the Company’s securities by our directors, officers and employees, and the Company itself, that we believe are reasonably designed to promote compliance by the Company and our directors, officers, and employees with insider trading laws, rules and regulations and the listing standards of Nasdaq.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regarding executive compensation, the sections entitled </w:t>
      </w:r>
      <w:r>
        <w:rPr>
          <w:color w:val="000000"/>
        </w:rPr>
        <w:t>“</w:t>
      </w:r>
      <w:r>
        <w:rPr>
          <w:rFonts w:ascii="Times New Roman;sans-serif" w:hAnsi="Times New Roman;sans-serif"/>
          <w:b w:val="false"/>
          <w:i/>
          <w:color w:val="000000"/>
          <w:sz w:val="20"/>
        </w:rPr>
        <w:t xml:space="preserve">Executive Compensation” </w:t>
      </w:r>
      <w:r>
        <w:rPr>
          <w:rFonts w:ascii="Times New Roman;sans-serif" w:hAnsi="Times New Roman;sans-serif"/>
          <w:b w:val="false"/>
          <w:color w:val="000000"/>
          <w:sz w:val="20"/>
        </w:rPr>
        <w:t>in the Company’s Proxy Statement for the 2025 Annual Meeting of Shareholders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w:t>
      </w:r>
    </w:p>
    <w:p>
      <w:pPr>
        <w:pStyle w:val="TextBody"/>
        <w:bidi w:val="0"/>
        <w:spacing w:lineRule="auto" w:line="288" w:before="200" w:after="283"/>
        <w:jc w:val="both"/>
        <w:rPr/>
      </w:pPr>
      <w:r>
        <w:rPr>
          <w:rFonts w:ascii="Times New Roman;sans-serif" w:hAnsi="Times New Roman;sans-serif"/>
          <w:b w:val="false"/>
          <w:color w:val="000000"/>
          <w:sz w:val="20"/>
        </w:rPr>
        <w:t xml:space="preserve">Information required by this item is incorporated herein by reference to the section entitled </w:t>
      </w:r>
      <w:r>
        <w:rPr>
          <w:color w:val="000000"/>
        </w:rPr>
        <w:t>“</w:t>
      </w:r>
      <w:r>
        <w:rPr>
          <w:rFonts w:ascii="Times New Roman;sans-serif" w:hAnsi="Times New Roman;sans-serif"/>
          <w:b w:val="false"/>
          <w:i/>
          <w:color w:val="000000"/>
          <w:sz w:val="20"/>
        </w:rPr>
        <w:t xml:space="preserve">Stock Information — Security Ownership of Certain Beneficial Owners and Management” </w:t>
      </w:r>
      <w:r>
        <w:rPr>
          <w:rFonts w:ascii="Times New Roman;sans-serif" w:hAnsi="Times New Roman;sans-serif"/>
          <w:b w:val="false"/>
          <w:color w:val="000000"/>
          <w:sz w:val="20"/>
        </w:rPr>
        <w:t>in the Company’s Proxy Statement for the 2025 Annual Meeting of Shareholders.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Security Ownership of Management</w:t>
      </w:r>
    </w:p>
    <w:p>
      <w:pPr>
        <w:pStyle w:val="TextBody"/>
        <w:bidi w:val="0"/>
        <w:spacing w:lineRule="auto" w:line="288" w:before="200" w:after="283"/>
        <w:jc w:val="both"/>
        <w:rPr/>
      </w:pPr>
      <w:r>
        <w:rPr>
          <w:rFonts w:ascii="Times New Roman;sans-serif" w:hAnsi="Times New Roman;sans-serif"/>
          <w:b w:val="false"/>
          <w:color w:val="000000"/>
          <w:sz w:val="20"/>
        </w:rPr>
        <w:t xml:space="preserve">Information required by this item is incorporated herein by reference to the section entitled </w:t>
      </w:r>
      <w:r>
        <w:rPr>
          <w:color w:val="000000"/>
        </w:rPr>
        <w:t>“</w:t>
      </w:r>
      <w:r>
        <w:rPr>
          <w:rFonts w:ascii="Times New Roman;sans-serif" w:hAnsi="Times New Roman;sans-serif"/>
          <w:b w:val="false"/>
          <w:i/>
          <w:color w:val="000000"/>
          <w:sz w:val="20"/>
        </w:rPr>
        <w:t xml:space="preserve">Stock Information — Security Ownership of Certain Beneficial Owners and Management” </w:t>
      </w:r>
      <w:r>
        <w:rPr>
          <w:rFonts w:ascii="Times New Roman;sans-serif" w:hAnsi="Times New Roman;sans-serif"/>
          <w:b w:val="false"/>
          <w:color w:val="000000"/>
          <w:sz w:val="20"/>
        </w:rPr>
        <w:t>in the Company’s Proxy Statement for the 2025 Annual Meeting of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the Company common stock that may be issued upon the exercise of stock options, warrants, and rights under all the Company’s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649"/>
        <w:gridCol w:w="569"/>
        <w:gridCol w:w="572"/>
        <w:gridCol w:w="734"/>
        <w:gridCol w:w="734"/>
        <w:gridCol w:w="736"/>
        <w:gridCol w:w="140"/>
        <w:gridCol w:w="140"/>
        <w:gridCol w:w="140"/>
        <w:gridCol w:w="712"/>
        <w:gridCol w:w="1304"/>
        <w:gridCol w:w="210"/>
        <w:gridCol w:w="140"/>
        <w:gridCol w:w="140"/>
        <w:gridCol w:w="140"/>
        <w:gridCol w:w="1039"/>
        <w:gridCol w:w="870"/>
        <w:gridCol w:w="1236"/>
      </w:tblGrid>
      <w:tr>
        <w:trPr/>
        <w:tc>
          <w:tcPr>
            <w:tcW w:w="6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26: Securities Authorized for Issuance Under Equity Compensation Plans</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br/>
              <w:t> Number of securities to be issued upon exercise of outstanding options, warrants, and rights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br/>
              <w:t> Weighted-average exercise price of outstanding options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br/>
              <w:t>Number of securities remaining available for issuance under equity compensation plans (excluding securities reflected in column (a))</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compensation plan approved by shareholders</w:t>
            </w:r>
            <w:r>
              <w:rPr>
                <w:rFonts w:ascii="Times New Roman;sans-serif" w:hAnsi="Times New Roman;sans-serif"/>
                <w:b w:val="false"/>
                <w:color w:val="000000"/>
                <w:sz w:val="13"/>
              </w:rPr>
              <w:t>1</w:t>
            </w:r>
          </w:p>
        </w:tc>
        <w:tc>
          <w:tcPr>
            <w:tcW w:w="1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1,410,164 </w:t>
            </w:r>
          </w:p>
        </w:tc>
        <w:tc>
          <w:tcPr>
            <w:tcW w:w="1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not approved by shareholders</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6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1,410,164 </w:t>
            </w:r>
          </w:p>
        </w:tc>
        <w:tc>
          <w:tcPr>
            <w:tcW w:w="1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Plan approved by shareholders is the Five Star Bancorp 2021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Certain Relationships and Related Transactions</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regarding certain relationships and related transactions, the section entitled </w:t>
      </w:r>
      <w:r>
        <w:rPr>
          <w:color w:val="000000"/>
        </w:rPr>
        <w:t>“</w:t>
      </w:r>
      <w:r>
        <w:rPr>
          <w:rFonts w:ascii="Times New Roman;sans-serif" w:hAnsi="Times New Roman;sans-serif"/>
          <w:b w:val="false"/>
          <w:i/>
          <w:color w:val="000000"/>
          <w:sz w:val="20"/>
        </w:rPr>
        <w:t xml:space="preserve">Other Information —Transactions with Related Parties” </w:t>
      </w:r>
      <w:r>
        <w:rPr>
          <w:rFonts w:ascii="Times New Roman;sans-serif" w:hAnsi="Times New Roman;sans-serif"/>
          <w:b w:val="false"/>
          <w:color w:val="000000"/>
          <w:sz w:val="20"/>
        </w:rPr>
        <w:t>in the Company’s Proxy Statement for the 2025 Annual Meeting of Shareholders is incorporated herein by reference.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regarding director independence, the section entitled </w:t>
      </w:r>
      <w:r>
        <w:rPr>
          <w:color w:val="000000"/>
        </w:rPr>
        <w:t>“</w:t>
      </w:r>
      <w:r>
        <w:rPr>
          <w:rFonts w:ascii="Times New Roman;sans-serif" w:hAnsi="Times New Roman;sans-serif"/>
          <w:b w:val="false"/>
          <w:i/>
          <w:color w:val="000000"/>
          <w:sz w:val="20"/>
        </w:rPr>
        <w:t xml:space="preserve">Corporate Governance — Director Independence” </w:t>
      </w:r>
      <w:r>
        <w:rPr>
          <w:rFonts w:ascii="Times New Roman;sans-serif" w:hAnsi="Times New Roman;sans-serif"/>
          <w:b w:val="false"/>
          <w:color w:val="000000"/>
          <w:sz w:val="20"/>
        </w:rPr>
        <w:t>in the Company’s Proxy Statement for the 2025 Annual Meeting of Shareholders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00" w:after="283"/>
        <w:jc w:val="both"/>
        <w:rPr/>
      </w:pPr>
      <w:r>
        <w:rPr>
          <w:rFonts w:ascii="Times New Roman;sans-serif" w:hAnsi="Times New Roman;sans-serif"/>
          <w:b w:val="false"/>
          <w:color w:val="000000"/>
          <w:sz w:val="20"/>
        </w:rPr>
        <w:t xml:space="preserve">For information regarding the principal accountant fees and expenses, the section entitled </w:t>
      </w:r>
      <w:r>
        <w:rPr>
          <w:color w:val="000000"/>
        </w:rPr>
        <w:t>“</w:t>
      </w:r>
      <w:r>
        <w:rPr>
          <w:rFonts w:ascii="Times New Roman;sans-serif" w:hAnsi="Times New Roman;sans-serif"/>
          <w:b w:val="false"/>
          <w:i/>
          <w:color w:val="000000"/>
          <w:sz w:val="20"/>
        </w:rPr>
        <w:t xml:space="preserve">Item 2 — Ratification of Selection of Independent Registered Public Accounting Firm” </w:t>
      </w:r>
      <w:r>
        <w:rPr>
          <w:rFonts w:ascii="Times New Roman;sans-serif" w:hAnsi="Times New Roman;sans-serif"/>
          <w:b w:val="false"/>
          <w:color w:val="000000"/>
          <w:sz w:val="20"/>
        </w:rPr>
        <w:t>in the Company’s Proxy Statement for the 2025 Annual Meeting of Shareholders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financial statements required in response to this item are incorporated herein by reference from Part II, Item 8 of this Annual Report on Form 10-K.</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(2)All financial statement schedules are omitted because they are not required or applicable, or the required information is shown in the consolidated financial statements or the notes thereto.</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683"/>
        <w:gridCol w:w="1600"/>
        <w:gridCol w:w="1605"/>
        <w:gridCol w:w="197"/>
        <w:gridCol w:w="197"/>
        <w:gridCol w:w="193"/>
        <w:gridCol w:w="348"/>
        <w:gridCol w:w="314"/>
        <w:gridCol w:w="216"/>
        <w:gridCol w:w="298"/>
        <w:gridCol w:w="298"/>
        <w:gridCol w:w="299"/>
        <w:gridCol w:w="469"/>
        <w:gridCol w:w="397"/>
        <w:gridCol w:w="342"/>
        <w:gridCol w:w="272"/>
        <w:gridCol w:w="272"/>
        <w:gridCol w:w="39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48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56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4888" w:type="dxa"/>
            <w:gridSpan w:val="3"/>
            <w:vMerge w:val="continue"/>
            <w:tcBorders/>
            <w:tcMar>
              <w:top w:w="0" w:type="dxa"/>
              <w:left w:w="0" w:type="dxa"/>
              <w:bottom w:w="0" w:type="dxa"/>
              <w:right w:w="0" w:type="dxa"/>
            </w:tcMar>
            <w:vAlign w:val="center"/>
          </w:tcPr>
          <w:p>
            <w:pPr>
              <w:pStyle w:val="Normal"/>
              <w:bidi w:val="0"/>
              <w:jc w:val="left"/>
              <w:rPr/>
            </w:pPr>
            <w:r>
              <w:rPr/>
            </w:r>
          </w:p>
        </w:tc>
        <w:tc>
          <w:tcPr>
            <w:tcW w:w="5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8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1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8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E32E1"/>
                  <w:sz w:val="20"/>
                  <w:u w:val="single"/>
                </w:rPr>
                <w:t>Amended and Restated Articles of Incorporation of Five Star Bancorp</w:t>
              </w:r>
            </w:hyperlink>
          </w:p>
        </w:tc>
        <w:tc>
          <w:tcPr>
            <w:tcW w:w="5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2021</w:t>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E32E1"/>
                  <w:sz w:val="20"/>
                  <w:u w:val="single"/>
                </w:rPr>
                <w:t>Second Amended and Restated Bylaws of Five Star Bancorp</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26, 2023</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8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E32E1"/>
                  <w:sz w:val="20"/>
                  <w:u w:val="single"/>
                </w:rPr>
                <w:t>Form of Common Stock Certificate of Five Star Bancorp</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333-255143</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26, 2021</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E32E1"/>
                  <w:sz w:val="20"/>
                  <w:u w:val="single"/>
                </w:rPr>
                <w:t>Form of 6.0% Fixed-to-Floating Rate Subordinated Note Due 2032</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A of </w:t>
              <w:br/>
              <w:t>10.1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17,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E32E1"/>
                  <w:sz w:val="20"/>
                  <w:u w:val="single"/>
                </w:rPr>
                <w:t>Description of Securities</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8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E32E1"/>
                  <w:sz w:val="20"/>
                  <w:u w:val="single"/>
                </w:rPr>
                <w:t>Form of S Corporation Termination and Tax Sharing Agreement</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333-255143</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9, 2021</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8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E32E1"/>
                  <w:sz w:val="20"/>
                  <w:u w:val="single"/>
                </w:rPr>
                <w:t>Five Star Bancorp 2021 Equity Incentive Plan</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333-255143</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26, 2021</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88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20"/>
                  <w:u w:val="single"/>
                </w:rPr>
                <w:t>Form of Restricted Stock Vesting Agreement pursuant to Historical Incentive Plan</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333-255143</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9, 2021</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E32E1"/>
                  <w:sz w:val="20"/>
                  <w:u w:val="single"/>
                </w:rPr>
                <w:t>Form of Restricted Stock Vesting Agreement for Executives pursuant to the Five Star Bancorp 2021 Equity Incentive Plan</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E32E1"/>
                  <w:sz w:val="20"/>
                  <w:u w:val="single"/>
                </w:rPr>
                <w:t>Form of Restricted Stock Vesting Agreement for Directors pursuant to the Five Star Bancorp 2021 Equity Incentive Plan</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E32E1"/>
                  <w:sz w:val="20"/>
                  <w:u w:val="single"/>
                </w:rPr>
                <w:t>Form of Subordinated Note Purchase Agreement for 6.0% Fixed-to-Floating Rate Subordinated Notes Due 2032</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17,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Executive Employment Agreement, effective January 3, 2022, between Five Star Bank and James Beckwith</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E32E1"/>
                  <w:sz w:val="20"/>
                  <w:u w:val="single"/>
                </w:rPr>
                <w:t>Five Star Bank Salary Continuation Agreement, dated September 1, 2007, as amended, between Five Star Bank and James Beckwith</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A of </w:t>
              <w:br/>
              <w:t>10.1</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4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ancorpinsidertradingpol.htm">
              <w:r>
                <w:rPr>
                  <w:rStyle w:val="InternetLink"/>
                  <w:rFonts w:ascii="Times New Roman;sans-serif" w:hAnsi="Times New Roman;sans-serif"/>
                  <w:b w:val="false"/>
                  <w:color w:val="0000FF"/>
                  <w:sz w:val="20"/>
                  <w:u w:val="single"/>
                </w:rPr>
                <w:t>Five Star Bancorp Insider Trading Policy</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2194"/>
        <w:gridCol w:w="2039"/>
        <w:gridCol w:w="2043"/>
        <w:gridCol w:w="144"/>
        <w:gridCol w:w="144"/>
        <w:gridCol w:w="146"/>
        <w:gridCol w:w="266"/>
        <w:gridCol w:w="266"/>
        <w:gridCol w:w="267"/>
        <w:gridCol w:w="155"/>
        <w:gridCol w:w="155"/>
        <w:gridCol w:w="156"/>
        <w:gridCol w:w="390"/>
        <w:gridCol w:w="390"/>
        <w:gridCol w:w="391"/>
        <w:gridCol w:w="167"/>
        <w:gridCol w:w="167"/>
        <w:gridCol w:w="24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0kex-211.htm">
              <w:r>
                <w:rPr>
                  <w:rStyle w:val="InternetLink"/>
                  <w:rFonts w:ascii="Times New Roman;sans-serif" w:hAnsi="Times New Roman;sans-serif"/>
                  <w:b w:val="false"/>
                  <w:color w:val="0000FF"/>
                  <w:sz w:val="20"/>
                  <w:u w:val="single"/>
                </w:rPr>
                <w:t>Subsidiaries of the Registrant</w:t>
              </w:r>
            </w:hyperlink>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0kex-231.htm">
              <w:r>
                <w:rPr>
                  <w:rStyle w:val="InternetLink"/>
                  <w:rFonts w:ascii="Times New Roman;sans-serif" w:hAnsi="Times New Roman;sans-serif"/>
                  <w:b w:val="false"/>
                  <w:color w:val="0000FF"/>
                  <w:sz w:val="20"/>
                  <w:u w:val="single"/>
                </w:rPr>
                <w:t>Consent of Moss Adams LLP</w:t>
              </w:r>
            </w:hyperlink>
            <w:r>
              <w:rPr>
                <w:color w:val="0E32E1"/>
              </w:rPr>
              <w:t xml:space="preserve"> </w:t>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0kex-311.htm">
              <w:r>
                <w:rPr>
                  <w:rStyle w:val="InternetLink"/>
                  <w:rFonts w:ascii="Times New Roman;sans-serif" w:hAnsi="Times New Roman;sans-serif"/>
                  <w:b w:val="false"/>
                  <w:color w:val="0000FF"/>
                  <w:sz w:val="20"/>
                  <w:u w:val="single"/>
                </w:rPr>
                <w:t>Certification of Chief Executive Officer pursuant to Rule 13a-14(a)/15d-14(a), as adopted pursuant to Section 302 of the Sarbanes-Oxley Act of 2002</w:t>
              </w:r>
            </w:hyperlink>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0kex-312.htm">
              <w:r>
                <w:rPr>
                  <w:rStyle w:val="InternetLink"/>
                  <w:rFonts w:ascii="Times New Roman;sans-serif" w:hAnsi="Times New Roman;sans-serif"/>
                  <w:b w:val="false"/>
                  <w:color w:val="0000FF"/>
                  <w:sz w:val="20"/>
                  <w:u w:val="single"/>
                </w:rPr>
                <w:t>Certification of Chief Financial Officer pursuant to Rule 13a-14(a)/15d-14(a), as adopted pursuant to Section 302 of the Sarbanes-Oxley Act of 2002</w:t>
              </w:r>
            </w:hyperlink>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0k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0kex-322.htm">
              <w:r>
                <w:rPr>
                  <w:rStyle w:val="InternetLink"/>
                  <w:rFonts w:ascii="Times New Roman;sans-serif" w:hAnsi="Times New Roman;sans-serif"/>
                  <w:b w:val="false"/>
                  <w:color w:val="0000FF"/>
                  <w:sz w:val="20"/>
                  <w:u w:val="single"/>
                </w:rPr>
                <w:t>Certification of Chief Financial Officer pursuant to 18 U.S.C. Section 1350, as adopted by Section 906 of the Sarbanes-Oxley Act of 2002</w:t>
              </w:r>
            </w:hyperlink>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Five Star Bancorp Clawback Policy</w:t>
              </w:r>
            </w:hyperlink>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23, 2024</w:t>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Interactive Data</w:t>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bl>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400" w:type="dxa"/>
        <w:jc w:val="left"/>
        <w:tblInd w:w="0" w:type="dxa"/>
        <w:tblLayout w:type="fixed"/>
        <w:tblCellMar>
          <w:top w:w="28" w:type="dxa"/>
          <w:left w:w="28" w:type="dxa"/>
          <w:bottom w:w="28" w:type="dxa"/>
          <w:right w:w="28" w:type="dxa"/>
        </w:tblCellMar>
      </w:tblPr>
      <w:tblGrid>
        <w:gridCol w:w="792"/>
        <w:gridCol w:w="696"/>
        <w:gridCol w:w="702"/>
        <w:gridCol w:w="940"/>
        <w:gridCol w:w="940"/>
        <w:gridCol w:w="1330"/>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BANCORP</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E. Beckwith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E. Beckwith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86" w:type="dxa"/>
        <w:jc w:val="left"/>
        <w:tblInd w:w="0" w:type="dxa"/>
        <w:tblLayout w:type="fixed"/>
        <w:tblCellMar>
          <w:top w:w="28" w:type="dxa"/>
          <w:left w:w="28" w:type="dxa"/>
          <w:bottom w:w="28" w:type="dxa"/>
          <w:right w:w="28" w:type="dxa"/>
        </w:tblCellMar>
      </w:tblPr>
      <w:tblGrid>
        <w:gridCol w:w="771"/>
        <w:gridCol w:w="674"/>
        <w:gridCol w:w="685"/>
        <w:gridCol w:w="109"/>
        <w:gridCol w:w="109"/>
        <w:gridCol w:w="109"/>
        <w:gridCol w:w="1459"/>
        <w:gridCol w:w="1459"/>
        <w:gridCol w:w="1477"/>
        <w:gridCol w:w="478"/>
        <w:gridCol w:w="478"/>
        <w:gridCol w:w="678"/>
      </w:tblGrid>
      <w:tr>
        <w:trPr/>
        <w:tc>
          <w:tcPr>
            <w:tcW w:w="7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Date </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E. Beckwith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E. Beckwith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Heather C. Luck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C. Luck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Robert T. Perry-Smith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and 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T. Perry-Smith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Randall E. Reynoso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Chair of the Board and 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Randall E. Reynoso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Larry E. Allbaugh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E. Allbaugh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Shannon Deary-Bell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Shannon Deary-Bell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Warren P. Kashiwagi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Warren P. Kashiwagi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Donna L. Lucas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Donna L. Lucas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David F. Nickum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F. Nickum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Kevin F. Ramos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 Ramos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Judson T. Riggs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Judson T. Riggs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before="0" w:after="0"/>
        <w:jc w:val="center"/>
        <w:rPr/>
      </w:pPr>
      <w:bookmarkStart w:id="0" w:name="bancorpinsidertradingpol.htm"/>
      <w:bookmarkStart w:id="1" w:name="ksbancorpinsidertradingpol"/>
      <w:bookmarkEnd w:id="0"/>
      <w:bookmarkEnd w:id="1"/>
      <w:r>
        <w:rPr/>
        <w:drawing>
          <wp:inline distT="0" distB="0" distL="0" distR="0">
            <wp:extent cx="10048875" cy="13001625"/>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jc w:val="center"/>
        <w:rPr>
          <w:color w:val="FFFFFF"/>
          <w:sz w:val="2"/>
        </w:rPr>
      </w:pPr>
      <w:r>
        <w:rPr>
          <w:color w:val="FFFFFF"/>
          <w:sz w:val="2"/>
        </w:rPr>
        <w:t xml:space="preserve">1 INSIDER TRADING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2 of 10 Purpose This Insider Trading Policy (the “Policy”) provides guidelines with respect to transactions in the securities of Five Star Bancorp (the “Company,” “we,” or “us”) and the handling of confidential information about the Company and the companies with which the Company does business. It is our policy to comply with federal securities laws, which prohibit any director, officer, or employee of a publicly‐held company (such as the Company) from trading, either personally or on behalf of others, on the basis of “material, non‐public information” as defined in this Policy. These laws also generally prohibit the communication of material, non‐public information to others, except to individuals with a need to know the information for a proper business purpose. The Company prohibits trading while in possession of material non‐public information about the Company or any other publicly‐held company about which a director, officer or employee learns through his or her position with the Company. This Policy applies to any and all transactions in the securities of the Company (collectively referred to in this Policy as “Company Securities”). Person Subject to the Policy This Policy applies to all executive officers, all members of the Boards of Directors and all employees of the Company and its subsidiaries. In addition, this Policy applies to “temporary insiders” who enter into a confidential relationship in the conduct of the Company’s affairs and thereby gains access to material non‐ public information. Examples of temporary insiders include the Company’s outside legal counsel, accountants, securities analysts, consultants, and employees of those organizations. As an employee, consultant, contractor, executive officer or director of the Company, this Policy applies to you. This Policy also applies to your immediate family members,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 Further, 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Transactions Subject to the Policy This Policy applies to transactions in the Company Securities, including the Company’s common stock, restricted stock, restricted stock units,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3 of 10 Individual Responsibility 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or she complies with this Policy, and that any Family Member, household member or Controlled Entity, as discussed above, also comply with this Policy. In all cases, the responsibility for determining whether an individual is in possession of material nonpublic information rests with that individual, and any action on the part of the Company, the Compliance Officer (as defined below)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 Administration of the Policy The Chief Financial Officer (“CFO”) shall serve as the Compliance Officer (the “Compliance Officer”) for the purposes of this Policy, and in their absence, Chief Executive Officer (“CEO”) or another employee designated by the Compliance Officer shall be responsible for administration of this Policy. All determinations and interpretations by the Compliance Officer shall be final and not subject to further review. Statement of Policy It is the policy of the Company that no director, executive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  Buy or sell, or otherwise engage in transactions in, Company Securities, except as otherwise specified in this Policy under the headings “Transactions Under Company Plans,” “Transactions Not Involving a Purchase or Sale” and “Rule 10b5‐1 Plans;”  Recommend the purchase or sale of any Company Securities;  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  Assist anyone engaged in the above activities. In addition, it is the policy of the Company that no director, executive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4 of 10 There are no exceptions to this Policy, except as specifically noted herein. Transactions that may be necessary or justifiable for independent reasons (such as the need to raise money for an emergency expenditure), or small transactions, are not exceptions to this Policy. The securities laws do not recognize any mitigating circumstances, and, in any event, even the appearance of an improper transaction must be avoided to preserve the Company’s reputation for adhering to the highest standards of conduct. Any person subject to this Policy who is uncertain whether these or other prohibitions or restrictions apply should consult with the Compliance Officer before engaging in any transaction in the Company’s securities or the securities of another company. Definition of Material Nonpublic Information Material Information. Information is considered “material” if a reasonable investor would consider that information important in making a decision to buy, hold or sell securities, or if it is likely to significantly alter the total mix of publicly available information about the Company. Any information that, if made public, could reasonably be expected to affect the market price of a security is likely to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  Projections of future earnings or losses, or other earnings guidance;  Changes to previously announced earnings guidance, or the decision to suspend earnings guidance;  A pending or proposed merger, acquisition or tender offer;  A pending or proposed acquisition or disposition of a significant asset;  A pending or proposed joint venture;  A Company restructuring;  Significant related party transactions;  A change in dividend policy, the declaration of a stock split, or an offering of additional securities;  Bank borrowings or other financing transactions out of the ordinary course;  The establishment of a repurchase program for Company Securities;  A change in the Company’s pricing or cost structure;  Major marketing changes;  A change in management;  A change in auditors or notification that the auditor’s reports may no longer be relied upon;  Development of a significant new product, process, or service;  Pending or threatened significant litigation, or the resolution of such litigation;  Impending bankruptcy or the existence of severe liquidity problems;  The gain or loss of a significant customer;  Significant changes in the Company’s loan or deposit portfolio;  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 Changes in law and any analysis of the impact of such matters on the Company’s business or business model; or  The imposition of an event‐specific restriction on trading in Company Securities or the securities of another company or the extension or termination of such restriction.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5 of 10 The above list is not exhaustive and many other types of information may be considered material, depending on the circumstances. The probability of whether an event will or will not occur affects the determination of whether it is material. For example, information concerning an event that would have a large effect on the Company’s stock price, such as a merger, may be material even if the possibility that the event will occur is relatively small. When Information is Considered Nonpublic.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Securities and Exchange Commission (the “SEC”) that are available on the SEC’s website. By contrast, information would likely not be considered widely disseminated if it is available only to the Company’s employees, or if it is only available to a select group of analysts, brokers and institutional investors. Once information is widely disseminated, it is still necessary to provide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 Transactions Under Company Plans This Policy does not apply in the case of the following transactions, except as specifically noted: Stock Option Exercises.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 assisted cashless exercise of an option, or any other market sale for the purpose of generating the cash needed to pay the exercise price of an option. Restricted Stock Unit/Restricted Stock Awards. This Policy does not apply to 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The Policy does apply, however, to any market sale of restricted stock or to the sale of common stock received by you as a result of the vesting. 401(k) Plan.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Internal Use Only – Insider Trading Policy Page | 6 of 10 transfer of an existing account balance into or out of the Company stock fund; (c) an election to borrow money against your 401(k) plan account if the loan will result in a liquidation of some or all of your Company stock fund balance; and (d) an election to pre</w:t>
        <w:noBreakHyphen/>
        <w:t xml:space="preserv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 Transactions Not Involving a Purchase or Sale Bona fide gifts are not transactions subject to this Policy, unless the person making the gift has reason to believe that the recipient intends to sell the Company Securities while the executive officer, employee or director is aware of material nonpublic information, or the person making the gift is subject to the trading restrictions specified below under the heading “Additional Procedures” and the sales by the recipient of the Company Securities occur during a blackout period. Further, transactions in mutual funds that are invested in Company Securities are not transactions subject to this Policy. Special and Prohibited Transactions 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 Short-Term Trading. Short‐term trading of Company Securities may be distracting to the person and may unduly focus the person on the Company’s short‐term stock market performance instead of the Company’s long‐term business objectives. For these reasons, any director, executive officer or other employee of the Company who purchases Company Securities in the open market may not sell any Company Securities of the same class during the six months following the purchase (or vice versa). Short Sales.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executive officers and directors from engaging in short sales. (Short sales arising from certain types of hedging transactions are governed by the paragraph below captioned “Hedging Transactions.”) Publicly-Traded Options. Given the relatively short term of publicly‐traded options, transactions in options may create the appearance that a director, executive officer or employee is trading based on material nonpublic information and focus a director’s, executive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 Hedging Transactions. Hedging or monetization transactions can be accomplished through a number of possible mechanisms, including through the use of financial instruments such as prepaid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7 of 10 variable forwards, equity swaps, collars and exchange funds. Such transactions may permit a director, executive officer or employee to continue to own Company Securities obtained through employee benefit plans or otherwise, but without the full risks and rewards of ownership. When that occurs, the director, executive officer or employee may no longer have the same objectives as the Company’s other shareholders. Therefore, directors, executive officers and employees are prohibited from engaging in any such transactions related to Company Securities. Margin Accounts and Pledged Securities.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executive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 Standing and Limit Orders.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executive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 Solicitation of non-insiders. Solicitation of non‐insiders to purchase or sell Company Securities is prohibited at any time, unless pre‐cleared in accordance with the procedures outlined below under the heading “Additional Procedures” and in compliance with applicable securities laws. Insiders owe a fiduciary duty to the Company and are privy to information not available to non‐insiders. These factors could give the solicitation of non‐insiders by insiders the appearance of inappropriate or improper conduct as well as expose the Company and insider to potential liability. Accordingly, insiders are prohibited from engaging in a solicitation of a non‐insider regarding Company Securities without pre‐clearance as described below. Additional Procedures 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to insiders and their related persons and controlled entities in addition to the prohibitions described in this Policy. Insiders include members of the Boards of Directors, as well as certain executive officers, employees, consultants and contractors who are likely to be in possession of material non‐public information due to the nature of their work. Specifically, all executive officers as well as all members of the Accounting, Finance, Internal Audit and Investor Relations departments, and any person who is involved in the calculation of the Company’ allowance for credit losses or related provisions, as well as their related persons and controlled entities, are insiders for the purposes of this Policy. Under special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8 of 10 circumstances, employees who are not listed above may gain access to material non‐public information and the Company may determine that such employees may also be subject to the below listed restrictions. Such employees will be notified of such status and will be subject to the below listed restrictions for such period of time as the Company deems appropriate. Pre-Clearance Procedures. The persons designated by the Compliance Officer as being subject to these procedures, as well as the Family Members and Controlled Entities of such persons, may not engage in any transaction in Company Securities without first obtaining pre‐clearance of the transaction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Pre‐clearance of a trade does not relieve the requestor of his or her legal obligation to refrain from trading while in possession of material non‐public information or from engaging in the prohibited transactions described above. 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 Quarterly Trading Restrictions. The persons designated by the Compliance Officer as subject to this restriction, as well as their Family Members or Controlled Entities, may not conduct any transactions involving the Company’s Securities (other than as specified by this Policy), during a “Blackout Period” beginning on the 15th day of the last month of each fiscal quarter and ending on the second trading day following the date of the public release of the Company’s earnings results for that quarter. In other words, these persons may only conduct transactions in Company Securities during the “Window Period” beginning on the second trading day following the public release of the Company’s quarterly earnings and ending on the 15th day of the last month of the next fiscal quarter. Even during the Window Period, any person possessing material non-public information should not engage in any transactions in Company Securities until the second trading day following the date of public disclosure of such information, whether or not the Company has imposed any trading restrictions applicable to such person. Under certain very limited circumstances, a person subject to this restriction may be permitted to trade during a Blackout Period, but only if the Compliance Officer concludes that the person does not in fact possess material nonpublic information. Persons wishing to trade during a Blackout Period must contact the Compliance Officer for approval in accordance with the pre‐clearance procedures described above. Event-Specific Trading Restriction Periods. From time to time, an event may occur that is material to the Company and is known by only a few directors, executive officers and/or employees. So long as the event remains material and nonpublic, the persons designated by the Compliance Officer may not trade Company Securities and such designated persons shall be deemed to be an "insider"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9 of 10 purposes of the policy described under the heading “Additional Procedures” above.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 Exceptions. The quarterly trading restrictions and event‐specific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event‐specific trading restrictions do not apply to transactions conducted pursuant to approved Rule 10b5‐1 plans, described under the heading “Rule 10b5‐1 Plans.” Rule 10b5-1 Plans Rule 10b5‐1 under the Exchange Act of 1934, as amended, provides a defense from insider trading liability under Rule 10b5.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 1.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 standing or limit order does not, by itself, qualify as a Rule 10b5‐1 plan. Any Rule 10b5‐1 Plan must be submitted for approval by the Compliance Officer in advance and enter into the Rule 10b5‐1 Plan within five days of receipt of approval. No further pre‐approval of transactions conducted pursuant to the Rule 10b5‐1 Plan will be required. Post-Termination Transactions 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Use Only – Insider Trading Policy Page | 10 of 10 Consequences of Violations 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 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 Company Assistance Any person who has a question about this Policy or its application to any proposed transaction may obtain additional guidance from the Compliance Officer, who can be reached by telephone at (916) 626‐5008 or by e‐mail at hluck@fivestarbank.com. Certification All persons subject to this Policy must certify their understanding of, and intent to comply with, this Policy. Change Control Log Version Date Summary/Comments March 2021 New Policy June 2022 No change June 2023 No change June 2024 No change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subsidiaries of Five Star Bancorp, the names under which subsidiaries do business, and the jurisdiction in which each was organized. All subsidiaries are wholly-owned unless otherwise noted.</w:t>
      </w:r>
    </w:p>
    <w:p>
      <w:pPr>
        <w:pStyle w:val="TextBody"/>
        <w:bidi w:val="0"/>
        <w:spacing w:before="240" w:after="283"/>
        <w:jc w:val="left"/>
        <w:rPr/>
      </w:pPr>
      <w:r>
        <w:rPr/>
      </w:r>
    </w:p>
    <w:p>
      <w:pPr>
        <w:pStyle w:val="TextBody"/>
        <w:bidi w:val="0"/>
        <w:spacing w:lineRule="auto" w:line="288" w:before="24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Subsidiaries of Five Star Bancorp</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u w:val="single"/>
        </w:rPr>
        <w:t>Name</w:t>
      </w:r>
      <w:r>
        <w:rPr>
          <w:color w:val="000000"/>
        </w:rPr>
        <w:t>                            </w:t>
      </w:r>
      <w:r>
        <w:rPr>
          <w:rFonts w:ascii="Times New Roman;sans-serif" w:hAnsi="Times New Roman;sans-serif"/>
          <w:b w:val="false"/>
          <w:color w:val="000000"/>
          <w:sz w:val="20"/>
          <w:u w:val="single"/>
        </w:rPr>
        <w:t>Jurisdiction of Organization</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Bank                        California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on Form S-3 (No. 333-269533) and Form S-8 (No. 333-256345) of Five Star Bancorp (the “Company”) of our report dated February 28, 2025, relating to the consolidated financial statements of the Company (which report expresses an unqualified opinion and includes an explanatory paragraph relating to the change in the method of accounting for credit losses), appearing in this Annual Report on Form 10-K of the Company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Everett, Washington</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13a-14(a)/15d-14(a),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James E. Beckwith,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Five Star Bancorp (the “Registrant”);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3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97"/>
        <w:gridCol w:w="897"/>
        <w:gridCol w:w="12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E. Beckwith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E. Beckwith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13a-14(a)/15d-14(a),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Heather C. Luck,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Five Star Bancorp (the “Registrant”);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76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252"/>
        <w:gridCol w:w="1252"/>
        <w:gridCol w:w="178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Heather C. Luck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Heather C. Luck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&amp; 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Five Star Bancorp (the “Registrant”) for the year ended December 31, 2024, as filed with the Securities and Exchange Commission on the date hereof (the “Report”), I, James E. Beckwith, President &amp; Chief Executive Officer of the Registrant, hereby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53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97"/>
        <w:gridCol w:w="897"/>
        <w:gridCol w:w="12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E. Beckwith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E. Beckwith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Five Star Bancorp (the “Registrant”) for the year ended December 31, 2024, as filed with the Securities and Exchange Commission on the date hereof (the “Report”), I, Heather C. Luck, Senior Vice President &amp; Chief Financial Officer of the Registrant, hereby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676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252"/>
        <w:gridCol w:w="1252"/>
        <w:gridCol w:w="178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Heather C. Luck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Heather C. Luck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&amp;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75168/000155278121000525/e21434_ex3-1.htm" TargetMode="External"/><Relationship Id="rId4" Type="http://schemas.openxmlformats.org/officeDocument/2006/relationships/hyperlink" Target="https://www.sec.gov/Archives/edgar/data/1275168/000127516823000139/secondamendedandrestated.htm" TargetMode="External"/><Relationship Id="rId5" Type="http://schemas.openxmlformats.org/officeDocument/2006/relationships/hyperlink" Target="https://www.sec.gov/Archives/edgar/data/1275168/000155278121000243/e21250_ex4-1.htm" TargetMode="External"/><Relationship Id="rId6" Type="http://schemas.openxmlformats.org/officeDocument/2006/relationships/hyperlink" Target="https://www.sec.gov/Archives/edgar/data/1275168/000127516822000028/exhibit101-solaris8xkforme.htm" TargetMode="External"/><Relationship Id="rId7" Type="http://schemas.openxmlformats.org/officeDocument/2006/relationships/hyperlink" Target="https://www.sec.gov/Archives/edgar/data/1275168/000155278122000215/e22095_ex4-4.htm" TargetMode="External"/><Relationship Id="rId8" Type="http://schemas.openxmlformats.org/officeDocument/2006/relationships/hyperlink" Target="https://www.sec.gov/Archives/edgar/data/1275168/000155278121000190/e21201_ex10-1.htm" TargetMode="External"/><Relationship Id="rId9" Type="http://schemas.openxmlformats.org/officeDocument/2006/relationships/hyperlink" Target="https://www.sec.gov/Archives/edgar/data/1275168/000155278121000243/e21250_ex10-4.htm" TargetMode="External"/><Relationship Id="rId10" Type="http://schemas.openxmlformats.org/officeDocument/2006/relationships/hyperlink" Target="https://www.sec.gov/Archives/edgar/data/1275168/000155278121000190/e21201_ex10-5.htm" TargetMode="External"/><Relationship Id="rId11" Type="http://schemas.openxmlformats.org/officeDocument/2006/relationships/hyperlink" Target="https://www.sec.gov/Archives/edgar/data/1275168/000155278122000215/e22095_ex10-4.htm" TargetMode="External"/><Relationship Id="rId12" Type="http://schemas.openxmlformats.org/officeDocument/2006/relationships/hyperlink" Target="https://www.sec.gov/Archives/edgar/data/1275168/000155278122000215/e22095_ex10-5.htm" TargetMode="External"/><Relationship Id="rId13" Type="http://schemas.openxmlformats.org/officeDocument/2006/relationships/hyperlink" Target="https://www.sec.gov/Archives/edgar/data/1275168/000127516822000028/exhibit101-solaris8xkforme.htm" TargetMode="External"/><Relationship Id="rId14" Type="http://schemas.openxmlformats.org/officeDocument/2006/relationships/hyperlink" Target="https://www.sec.gov/Archives/edgar/data/1275168/000127516822000006/fsbc-20220331xexx101xupdat.htm" TargetMode="External"/><Relationship Id="rId15" Type="http://schemas.openxmlformats.org/officeDocument/2006/relationships/hyperlink" Target="https://www.sec.gov/Archives/edgar/data/1275168/000127516822000006/fsbc-20220331xexx101xupdat.htm" TargetMode="External"/><Relationship Id="rId16" Type="http://schemas.openxmlformats.org/officeDocument/2006/relationships/hyperlink" Target="https://www.sec.gov/Archives/edgar/data/1275168/000127516824000061/compensationclawbackpoli.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79587</Words>
  <Characters>445014</Characters>
  <CharactersWithSpaces>521131</CharactersWithSpaces>
  <Paragraphs>7592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bancorpinsidertradingpol</dc:title>
</cp:coreProperties>
</file>