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(Mark One)</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June 30, 2022</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For the transition period from __________________ to __________________</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001-40379</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FIVE STAR BANCORP</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center"/>
              <w:ind w:right="1990"/>
              <w:spacing w:after="0"/>
              <w:rPr>
                <w:sz w:val="20"/>
                <w:szCs w:val="20"/>
                <w:color w:val="auto"/>
              </w:rPr>
            </w:pPr>
            <w:r>
              <w:rPr>
                <w:rFonts w:ascii="Times New Roman" w:cs="Times New Roman" w:eastAsia="Times New Roman" w:hAnsi="Times New Roman"/>
                <w:sz w:val="18"/>
                <w:szCs w:val="18"/>
                <w:color w:val="auto"/>
                <w:w w:val="98"/>
              </w:rPr>
              <w:t>California</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75-3100966</w:t>
            </w:r>
          </w:p>
        </w:tc>
      </w:tr>
      <w:tr>
        <w:trPr>
          <w:trHeight w:val="243"/>
        </w:trPr>
        <w:tc>
          <w:tcPr>
            <w:tcW w:w="628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601"/>
        </w:trPr>
        <w:tc>
          <w:tcPr>
            <w:tcW w:w="2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3100 Zinfandel Drive</w:t>
            </w:r>
          </w:p>
        </w:tc>
        <w:tc>
          <w:tcPr>
            <w:tcW w:w="12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6"/>
              </w:rPr>
              <w:t>Suite 100</w:t>
            </w:r>
          </w:p>
        </w:tc>
        <w:tc>
          <w:tcPr>
            <w:tcW w:w="2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Rancho Cordova</w:t>
            </w:r>
          </w:p>
        </w:tc>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w:t>
            </w:r>
          </w:p>
        </w:tc>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95670</w:t>
            </w:r>
          </w:p>
        </w:tc>
      </w:tr>
      <w:tr>
        <w:trPr>
          <w:trHeight w:val="243"/>
        </w:trPr>
        <w:tc>
          <w:tcPr>
            <w:tcW w:w="216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gridSpan w:val="2"/>
          </w:tcPr>
          <w:p>
            <w:pPr>
              <w:jc w:val="center"/>
              <w:ind w:right="69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(916) 626-5000</w:t>
      </w:r>
    </w:p>
    <w:p>
      <w:pPr>
        <w:spacing w:after="0" w:line="225" w:lineRule="exact"/>
        <w:rPr>
          <w:sz w:val="24"/>
          <w:szCs w:val="24"/>
          <w:color w:val="auto"/>
        </w:rPr>
      </w:pPr>
    </w:p>
    <w:p>
      <w:pPr>
        <w:ind w:left="5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formal fiscal year, if changed since last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FSBC</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206"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70"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9"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1040"/>
              <w:spacing w:after="0"/>
              <w:rPr>
                <w:sz w:val="20"/>
                <w:szCs w:val="20"/>
                <w:color w:val="auto"/>
              </w:rPr>
            </w:pPr>
            <w:r>
              <w:rPr>
                <w:rFonts w:ascii="Arial" w:cs="Arial" w:eastAsia="Arial" w:hAnsi="Arial"/>
                <w:sz w:val="18"/>
                <w:szCs w:val="18"/>
                <w:color w:val="auto"/>
              </w:rPr>
              <w:t>o</w:t>
            </w:r>
          </w:p>
        </w:tc>
        <w:tc>
          <w:tcPr>
            <w:tcW w:w="3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Accelerated filer</w:t>
            </w:r>
          </w:p>
        </w:tc>
        <w:tc>
          <w:tcPr>
            <w:tcW w:w="1160" w:type="dxa"/>
            <w:vAlign w:val="bottom"/>
          </w:tcPr>
          <w:p>
            <w:pPr>
              <w:ind w:left="1060"/>
              <w:spacing w:after="0"/>
              <w:rPr>
                <w:sz w:val="20"/>
                <w:szCs w:val="20"/>
                <w:color w:val="auto"/>
              </w:rPr>
            </w:pPr>
            <w:r>
              <w:rPr>
                <w:rFonts w:ascii="Arial" w:cs="Arial" w:eastAsia="Arial" w:hAnsi="Arial"/>
                <w:sz w:val="18"/>
                <w:szCs w:val="18"/>
                <w:color w:val="auto"/>
                <w:w w:val="79"/>
              </w:rPr>
              <w:t>o</w:t>
            </w: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1040"/>
              <w:spacing w:after="0"/>
              <w:rPr>
                <w:sz w:val="20"/>
                <w:szCs w:val="20"/>
                <w:color w:val="auto"/>
              </w:rPr>
            </w:pPr>
            <w:r>
              <w:rPr>
                <w:rFonts w:ascii="Arial" w:cs="Arial" w:eastAsia="Arial" w:hAnsi="Arial"/>
                <w:sz w:val="18"/>
                <w:szCs w:val="18"/>
                <w:color w:val="auto"/>
              </w:rPr>
              <w:t>x</w:t>
            </w:r>
          </w:p>
        </w:tc>
        <w:tc>
          <w:tcPr>
            <w:tcW w:w="3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60" w:type="dxa"/>
            <w:vAlign w:val="bottom"/>
          </w:tcPr>
          <w:p>
            <w:pPr>
              <w:ind w:left="1060"/>
              <w:spacing w:after="0"/>
              <w:rPr>
                <w:sz w:val="20"/>
                <w:szCs w:val="20"/>
                <w:color w:val="auto"/>
              </w:rPr>
            </w:pPr>
            <w:r>
              <w:rPr>
                <w:rFonts w:ascii="Arial" w:cs="Arial" w:eastAsia="Arial" w:hAnsi="Arial"/>
                <w:sz w:val="18"/>
                <w:szCs w:val="18"/>
                <w:color w:val="auto"/>
                <w:w w:val="88"/>
              </w:rPr>
              <w:t>x</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840" w:type="dxa"/>
            <w:vAlign w:val="bottom"/>
          </w:tcPr>
          <w:p>
            <w:pPr>
              <w:ind w:left="1040"/>
              <w:spacing w:after="0"/>
              <w:rPr>
                <w:sz w:val="20"/>
                <w:szCs w:val="20"/>
                <w:color w:val="auto"/>
              </w:rPr>
            </w:pPr>
            <w:r>
              <w:rPr>
                <w:rFonts w:ascii="Arial" w:cs="Arial" w:eastAsia="Arial" w:hAnsi="Arial"/>
                <w:sz w:val="18"/>
                <w:szCs w:val="18"/>
                <w:color w:val="auto"/>
              </w:rPr>
              <w:t>x</w:t>
            </w:r>
          </w:p>
        </w:tc>
        <w:tc>
          <w:tcPr>
            <w:tcW w:w="374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spacing w:after="0" w:line="288" w:lineRule="exact"/>
        <w:rPr>
          <w:sz w:val="24"/>
          <w:szCs w:val="24"/>
          <w:color w:val="auto"/>
        </w:rPr>
      </w:pPr>
    </w:p>
    <w:p>
      <w:pPr>
        <w:ind w:right="2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4, 2022, there were 17,245,983 shares of the registrant’s common stock, no par value, outstanding.</w:t>
      </w:r>
    </w:p>
    <w:p>
      <w:pPr>
        <w:sectPr>
          <w:pgSz w:w="11900" w:h="16838" w:orient="portrait"/>
          <w:cols w:equalWidth="0" w:num="1">
            <w:col w:w="11260"/>
          </w:cols>
          <w:pgMar w:left="320" w:top="229" w:right="319" w:bottom="15"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20" w:type="dxa"/>
            <w:vAlign w:val="bottom"/>
          </w:tcPr>
          <w:p>
            <w:pPr>
              <w:spacing w:after="0"/>
              <w:rPr>
                <w:sz w:val="17"/>
                <w:szCs w:val="17"/>
                <w:color w:val="auto"/>
              </w:rPr>
            </w:pPr>
          </w:p>
        </w:tc>
      </w:tr>
      <w:tr>
        <w:trPr>
          <w:trHeight w:val="1047"/>
        </w:trPr>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4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w:t>
            </w:r>
          </w:p>
        </w:tc>
        <w:tc>
          <w:tcPr>
            <w:tcW w:w="2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590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Balance Sheets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Income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(unaudited)</w:t>
            </w:r>
          </w:p>
        </w:tc>
        <w:tc>
          <w:tcPr>
            <w:tcW w:w="328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9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Shareholders’ Equity (unaudited)</w:t>
            </w:r>
          </w:p>
        </w:tc>
        <w:tc>
          <w:tcPr>
            <w:tcW w:w="262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80" w:type="dxa"/>
            <w:vAlign w:val="bottom"/>
            <w:gridSpan w:val="5"/>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24"/>
                <w:szCs w:val="24"/>
                <w:color w:val="auto"/>
              </w:rPr>
            </w:pPr>
          </w:p>
        </w:tc>
        <w:tc>
          <w:tcPr>
            <w:tcW w:w="6280" w:type="dxa"/>
            <w:vAlign w:val="bottom"/>
            <w:gridSpan w:val="11"/>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20" w:type="dxa"/>
            <w:vAlign w:val="bottom"/>
            <w:gridSpan w:val="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4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4"/>
                <w:szCs w:val="24"/>
                <w:color w:val="auto"/>
              </w:rPr>
            </w:pPr>
          </w:p>
        </w:tc>
        <w:tc>
          <w:tcPr>
            <w:tcW w:w="640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938"/>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gridSpan w:val="17"/>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94" w:lineRule="exact"/>
        <w:rPr>
          <w:sz w:val="20"/>
          <w:szCs w:val="20"/>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market conditions and economic trends nationally, regionally, and particularly in Northern California and California, including as a result of the coronavirus, and variants thereof ("COVID-19");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concentration of our business in California, and specifically within Northern California, including risks associated with any downturn in the real estate sector;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impact of climate change or natural or man-made disasters or calamities, such as wildfires, droughts, and earthquakes;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impact of the COVID-19 pandemic on our business and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that affect the pricing of our loans and deposits and our net interest income;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strategic focus on lending to small to medium-sized businesses;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the assumptions and estimates we make in establishing reserves for potential loan losses and the value of loan collateral and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executive officers and key employees and their customer and community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loan portfolios, and specifically with our commercial real estate loans;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nonperforming assets and the costs associated with resolving problem loans, if any, and complying with government-imposed foreclosure moratoriums;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maintain capital necessary to fund our growth strategy and operations and to satisfy minimum regulatory capital levels;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a wide variety of local, regional, national, and other providers of financial and investment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unauthorized access, cyber-crime, and other threats to data security;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various governmental and regulatory requirements applicable to financial institutions, including supervisory actions by federal and state banking agencies;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monetary and fiscal policies, including the policies of the Board of Governors of the Federal Reserve System (the "Federal Reserve");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economy, including an economic slowdown, inflation, deflation, housing prices, employment levels, rate of growth, and general business conditions;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maintain, and improve effective internal controls;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discussed in the sections entitled “Management’s Discussion and Analysis of Financial Condition and Results of Operations” and “Risk Factors.”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foregoing factors should not be considered exhaustive and should be read together with other cautionary statements that are included in this report, including those discussed in the section entitled “Risk Factors.” Additional factors that could cause results or performance to materially differ from those expressed in our forward-looking statements are detailed in the section entitled “Risk Factors” of our Annual Report on Form 10-K for the year ended December 31, 2021, and other filings we may make with the Securities and Exchange Commission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June 30,</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due from financial institutions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136,074</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289,255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425,329</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in banks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14,464</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148,807</w:t>
            </w: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Securities held-to-maturity, at amortized cost (fair value of $4,332 and $5,197 at June 30, 2022 and December 31, 2021,</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1,934,460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(23,243)</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 net of allowance for loan losses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2,354,725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1,911,217</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of San Francisco (“FHLB”) stock</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leases, right-of-use asset ("ROUA")</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Bank-owned life insurance ("BOLI"), net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11,203</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receivable and 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21,628</w:t>
            </w:r>
          </w:p>
        </w:tc>
        <w:tc>
          <w:tcPr>
            <w:tcW w:w="0" w:type="dxa"/>
            <w:vAlign w:val="bottom"/>
          </w:tcPr>
          <w:p>
            <w:pPr>
              <w:spacing w:after="0"/>
              <w:rPr>
                <w:sz w:val="1"/>
                <w:szCs w:val="1"/>
                <w:color w:val="auto"/>
              </w:rPr>
            </w:pPr>
          </w:p>
        </w:tc>
      </w:tr>
      <w:tr>
        <w:trPr>
          <w:trHeight w:val="210"/>
        </w:trPr>
        <w:tc>
          <w:tcPr>
            <w:tcW w:w="8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2,836,071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2,556,761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Non-interest-bearing</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902,118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Interest-bearing</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1,495,245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1,383,772</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2,501,311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2,285,890</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notes, net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28,386</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payable and other liabilities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2,602,871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2,321,715</w:t>
            </w:r>
          </w:p>
        </w:tc>
        <w:tc>
          <w:tcPr>
            <w:tcW w:w="0" w:type="dxa"/>
            <w:vAlign w:val="bottom"/>
          </w:tcPr>
          <w:p>
            <w:pPr>
              <w:spacing w:after="0"/>
              <w:rPr>
                <w:sz w:val="1"/>
                <w:szCs w:val="1"/>
                <w:color w:val="auto"/>
              </w:rPr>
            </w:pPr>
          </w:p>
        </w:tc>
      </w:tr>
      <w:tr>
        <w:trPr>
          <w:trHeight w:val="145"/>
        </w:trPr>
        <w:tc>
          <w:tcPr>
            <w:tcW w:w="8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Preferred stock, no par value; 10,000,000 shares authorized; zero issued and outstanding at June 30, 2022 and</w:t>
            </w:r>
          </w:p>
        </w:tc>
        <w:tc>
          <w:tcPr>
            <w:tcW w:w="28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December 31, 2021</w:t>
            </w:r>
          </w:p>
        </w:tc>
        <w:tc>
          <w:tcPr>
            <w:tcW w:w="2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Common stock, no par value; 100,000,000 shares authorized; 17,245,983 shares issued and outstanding at June 30, 2022;</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218,444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17,224,848 shares issued and outstanding at December 31, 2021</w:t>
            </w:r>
          </w:p>
        </w:tc>
        <w:tc>
          <w:tcPr>
            <w:tcW w:w="2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235,046</w:t>
            </w:r>
          </w:p>
        </w:tc>
        <w:tc>
          <w:tcPr>
            <w:tcW w:w="0" w:type="dxa"/>
            <w:vAlign w:val="bottom"/>
          </w:tcPr>
          <w:p>
            <w:pPr>
              <w:spacing w:after="0"/>
              <w:rPr>
                <w:sz w:val="1"/>
                <w:szCs w:val="1"/>
                <w:color w:val="auto"/>
              </w:rPr>
            </w:pPr>
          </w:p>
        </w:tc>
      </w:tr>
      <w:tr>
        <w:trPr>
          <w:trHeight w:val="234"/>
        </w:trPr>
        <w:tc>
          <w:tcPr>
            <w:tcW w:w="8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2,836,071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2,556,761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95"/>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June 30,</w:t>
            </w:r>
          </w:p>
        </w:tc>
        <w:tc>
          <w:tcPr>
            <w:tcW w:w="980" w:type="dxa"/>
            <w:vAlign w:val="bottom"/>
          </w:tcPr>
          <w:p>
            <w:pPr>
              <w:spacing w:after="0"/>
              <w:rPr>
                <w:sz w:val="18"/>
                <w:szCs w:val="18"/>
                <w:color w:val="auto"/>
              </w:rPr>
            </w:pPr>
          </w:p>
        </w:tc>
      </w:tr>
      <w:tr>
        <w:trPr>
          <w:trHeight w:val="231"/>
        </w:trPr>
        <w:tc>
          <w:tcPr>
            <w:tcW w:w="5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2021</w:t>
            </w: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fee income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including fees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24,841</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18,626</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46,932</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37,239</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Taxable securities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Nontaxable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r>
      <w:tr>
        <w:trPr>
          <w:trHeight w:val="230"/>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Interest-bearing deposits in other banks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23"/>
        </w:trPr>
        <w:tc>
          <w:tcPr>
            <w:tcW w:w="5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38,498</w:t>
            </w:r>
          </w:p>
        </w:tc>
      </w:tr>
      <w:tr>
        <w:trPr>
          <w:trHeight w:val="23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FHLB advances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Subordinated notes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w:t>
            </w:r>
          </w:p>
        </w:tc>
      </w:tr>
      <w:tr>
        <w:trPr>
          <w:trHeight w:val="227"/>
        </w:trPr>
        <w:tc>
          <w:tcPr>
            <w:tcW w:w="5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2,154</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36,344</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loan losses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00"/>
        </w:trPr>
        <w:tc>
          <w:tcPr>
            <w:tcW w:w="5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loan losses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36,144</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 on sale of securities available-for-sale</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sale of loans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Loan-related fees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FHLB stock dividends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Earnings on BOLI</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26"/>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7"/>
        </w:trPr>
        <w:tc>
          <w:tcPr>
            <w:tcW w:w="5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3,462</w:t>
            </w:r>
          </w:p>
        </w:tc>
      </w:tr>
      <w:tr>
        <w:trPr>
          <w:trHeight w:val="226"/>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9,636</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and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 and software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Federal Deposit Insurance Corporation ("FDIC") insurance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Advertising and promotional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Loan-related expenses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r>
      <w:tr>
        <w:trPr>
          <w:trHeight w:val="226"/>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2,474</w:t>
            </w:r>
          </w:p>
        </w:tc>
      </w:tr>
      <w:tr>
        <w:trPr>
          <w:trHeight w:val="223"/>
        </w:trPr>
        <w:tc>
          <w:tcPr>
            <w:tcW w:w="55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18,384</w:t>
            </w:r>
          </w:p>
        </w:tc>
      </w:tr>
      <w:tr>
        <w:trPr>
          <w:trHeight w:val="200"/>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21,222</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w:t>
            </w:r>
          </w:p>
        </w:tc>
      </w:tr>
      <w:tr>
        <w:trPr>
          <w:trHeight w:val="200"/>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5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unrealized holding (loss) gain on securities available-for-sale during</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period</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net realized gains included in net income</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other comprehensive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19,049</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552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color w:val="auto"/>
                <w:w w:val="97"/>
              </w:rPr>
              <w:t>Other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w w:val="99"/>
              </w:rPr>
              <w:t>Comprehensive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color w:val="auto"/>
              </w:rPr>
              <w:t>Retained</w:t>
            </w:r>
          </w:p>
        </w:tc>
        <w:tc>
          <w:tcPr>
            <w:tcW w:w="140" w:type="dxa"/>
            <w:vAlign w:val="bottom"/>
          </w:tcPr>
          <w:p>
            <w:pPr>
              <w:spacing w:after="0"/>
              <w:rPr>
                <w:sz w:val="13"/>
                <w:szCs w:val="13"/>
                <w:color w:val="auto"/>
              </w:rPr>
            </w:pPr>
          </w:p>
        </w:tc>
        <w:tc>
          <w:tcPr>
            <w:tcW w:w="154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8"/>
                <w:szCs w:val="18"/>
                <w:color w:val="auto"/>
                <w:w w:val="99"/>
              </w:rPr>
              <w:t>Income (Loss),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 of Taxes</w:t>
            </w: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2021</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11,007,005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131,377</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offering</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retained deficit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dividends paid ($3.25 per share)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2022</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17,246,199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218,721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231,061</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($0.15 per share)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17,245,983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219,023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color w:val="auto"/>
                <w:w w:val="97"/>
              </w:rPr>
              <w:t>Other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w w:val="99"/>
              </w:rPr>
              <w:t>Comprehensive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color w:val="auto"/>
              </w:rPr>
              <w:t>Retained</w:t>
            </w:r>
          </w:p>
        </w:tc>
        <w:tc>
          <w:tcPr>
            <w:tcW w:w="140" w:type="dxa"/>
            <w:vAlign w:val="bottom"/>
          </w:tcPr>
          <w:p>
            <w:pPr>
              <w:spacing w:after="0"/>
              <w:rPr>
                <w:sz w:val="13"/>
                <w:szCs w:val="13"/>
                <w:color w:val="auto"/>
              </w:rPr>
            </w:pPr>
          </w:p>
        </w:tc>
        <w:tc>
          <w:tcPr>
            <w:tcW w:w="154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8"/>
                <w:szCs w:val="18"/>
                <w:color w:val="auto"/>
                <w:w w:val="99"/>
              </w:rPr>
              <w:t>Income (Loss),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 of Taxes</w:t>
            </w: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2021</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11,000,273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133,775</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offering</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of retained deficit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($4.25 per share)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(46,775)</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17,225,508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218,026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218,314</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Six months ended June 30, 2022</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17,224,848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235,046</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 adoption of Acounting Standards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Codification ("ASC") 842 on retained earnings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($0.75 per share)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17,245,983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219,023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right"/>
              <w:ind w:right="535"/>
              <w:spacing w:after="0"/>
              <w:rPr>
                <w:sz w:val="20"/>
                <w:szCs w:val="20"/>
                <w:color w:val="auto"/>
              </w:rPr>
            </w:pPr>
            <w:r>
              <w:rPr>
                <w:rFonts w:ascii="Times New Roman" w:cs="Times New Roman" w:eastAsia="Times New Roman" w:hAnsi="Times New Roman"/>
                <w:sz w:val="17"/>
                <w:szCs w:val="17"/>
                <w:color w:val="auto"/>
              </w:rPr>
              <w:t>Six months ended June 30,</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19,815</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20,106</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loan losses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Loans originated for sale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(22,355)</w:t>
            </w:r>
          </w:p>
        </w:tc>
        <w:tc>
          <w:tcPr>
            <w:tcW w:w="0" w:type="dxa"/>
            <w:vAlign w:val="bottom"/>
          </w:tcPr>
          <w:p>
            <w:pPr>
              <w:spacing w:after="0"/>
              <w:rPr>
                <w:sz w:val="1"/>
                <w:szCs w:val="1"/>
                <w:color w:val="auto"/>
              </w:rPr>
            </w:pPr>
          </w:p>
        </w:tc>
      </w:tr>
      <w:tr>
        <w:trPr>
          <w:trHeight w:val="226"/>
        </w:trPr>
        <w:tc>
          <w:tcPr>
            <w:tcW w:w="8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Gain on sale of loans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Proceeds from sale of loans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22,037</w:t>
            </w:r>
          </w:p>
        </w:tc>
        <w:tc>
          <w:tcPr>
            <w:tcW w:w="0" w:type="dxa"/>
            <w:vAlign w:val="bottom"/>
          </w:tcPr>
          <w:p>
            <w:pPr>
              <w:spacing w:after="0"/>
              <w:rPr>
                <w:sz w:val="1"/>
                <w:szCs w:val="1"/>
                <w:color w:val="auto"/>
              </w:rPr>
            </w:pPr>
          </w:p>
        </w:tc>
      </w:tr>
      <w:tr>
        <w:trPr>
          <w:trHeight w:val="226"/>
        </w:trPr>
        <w:tc>
          <w:tcPr>
            <w:tcW w:w="8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gain on sale of securities available-for-sale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Earnings on BOLI</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26"/>
        </w:trPr>
        <w:tc>
          <w:tcPr>
            <w:tcW w:w="8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Director stock compensation expense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0" w:type="dxa"/>
            <w:vAlign w:val="bottom"/>
          </w:tcPr>
          <w:p>
            <w:pPr>
              <w:spacing w:after="0"/>
              <w:rPr>
                <w:sz w:val="1"/>
                <w:szCs w:val="1"/>
                <w:color w:val="auto"/>
              </w:rPr>
            </w:pPr>
          </w:p>
        </w:tc>
      </w:tr>
      <w:tr>
        <w:trPr>
          <w:trHeight w:val="226"/>
        </w:trPr>
        <w:tc>
          <w:tcPr>
            <w:tcW w:w="8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deferred loan fees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and accretion of security premiums and discounts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0" w:type="dxa"/>
            <w:vAlign w:val="bottom"/>
          </w:tcPr>
          <w:p>
            <w:pPr>
              <w:spacing w:after="0"/>
              <w:rPr>
                <w:sz w:val="1"/>
                <w:szCs w:val="1"/>
                <w:color w:val="auto"/>
              </w:rPr>
            </w:pPr>
          </w:p>
        </w:tc>
      </w:tr>
      <w:tr>
        <w:trPr>
          <w:trHeight w:val="226"/>
        </w:trPr>
        <w:tc>
          <w:tcPr>
            <w:tcW w:w="8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subordinated notes issuance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26"/>
        </w:trPr>
        <w:tc>
          <w:tcPr>
            <w:tcW w:w="8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Decrease in operating lease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operating lease ROUA</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8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taxes</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changes in:</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1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receivable and other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Interest payable and other liabilities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7,246</w:t>
            </w: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21,769</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sale of securities available-for-sale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16,182</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Maturities, prepayments, and calls of securities available-for-sale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7,822</w:t>
            </w:r>
          </w:p>
        </w:tc>
        <w:tc>
          <w:tcPr>
            <w:tcW w:w="0" w:type="dxa"/>
            <w:vAlign w:val="bottom"/>
          </w:tcPr>
          <w:p>
            <w:pPr>
              <w:spacing w:after="0"/>
              <w:rPr>
                <w:sz w:val="1"/>
                <w:szCs w:val="1"/>
                <w:color w:val="auto"/>
              </w:rPr>
            </w:pPr>
          </w:p>
        </w:tc>
      </w:tr>
      <w:tr>
        <w:trPr>
          <w:trHeight w:val="226"/>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securities available-for-sale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(69,070)</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time deposits in banks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4,254</w:t>
            </w:r>
          </w:p>
        </w:tc>
        <w:tc>
          <w:tcPr>
            <w:tcW w:w="0" w:type="dxa"/>
            <w:vAlign w:val="bottom"/>
          </w:tcPr>
          <w:p>
            <w:pPr>
              <w:spacing w:after="0"/>
              <w:rPr>
                <w:sz w:val="1"/>
                <w:szCs w:val="1"/>
                <w:color w:val="auto"/>
              </w:rPr>
            </w:pPr>
          </w:p>
        </w:tc>
      </w:tr>
      <w:tr>
        <w:trPr>
          <w:trHeight w:val="226"/>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originations, net of repayments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(78,562)</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premises and equipment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26"/>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FHLB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BOLI</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(431,197)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(122,410)</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change in deposits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282,284</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issuance of stock</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111,243</w:t>
            </w:r>
          </w:p>
        </w:tc>
        <w:tc>
          <w:tcPr>
            <w:tcW w:w="0" w:type="dxa"/>
            <w:vAlign w:val="bottom"/>
          </w:tcPr>
          <w:p>
            <w:pPr>
              <w:spacing w:after="0"/>
              <w:rPr>
                <w:sz w:val="1"/>
                <w:szCs w:val="1"/>
                <w:color w:val="auto"/>
              </w:rPr>
            </w:pPr>
          </w:p>
        </w:tc>
      </w:tr>
      <w:tr>
        <w:trPr>
          <w:trHeight w:val="226"/>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FHLB advances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dividends paid</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(46,775)</w:t>
            </w: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265,294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346,752</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246,111</w:t>
            </w:r>
          </w:p>
        </w:tc>
        <w:tc>
          <w:tcPr>
            <w:tcW w:w="0" w:type="dxa"/>
            <w:vAlign w:val="bottom"/>
          </w:tcPr>
          <w:p>
            <w:pPr>
              <w:spacing w:after="0"/>
              <w:rPr>
                <w:sz w:val="1"/>
                <w:szCs w:val="1"/>
                <w:color w:val="auto"/>
              </w:rPr>
            </w:pPr>
          </w:p>
        </w:tc>
      </w:tr>
      <w:tr>
        <w:trPr>
          <w:trHeight w:val="22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425,329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290,493</w:t>
            </w:r>
          </w:p>
        </w:tc>
        <w:tc>
          <w:tcPr>
            <w:tcW w:w="0" w:type="dxa"/>
            <w:vAlign w:val="bottom"/>
          </w:tcPr>
          <w:p>
            <w:pPr>
              <w:spacing w:after="0"/>
              <w:rPr>
                <w:sz w:val="1"/>
                <w:szCs w:val="1"/>
                <w:color w:val="auto"/>
              </w:rPr>
            </w:pPr>
          </w:p>
        </w:tc>
      </w:tr>
      <w:tr>
        <w:trPr>
          <w:trHeight w:val="2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536,604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0" w:type="dxa"/>
            <w:vAlign w:val="bottom"/>
          </w:tcPr>
          <w:p>
            <w:pPr>
              <w:spacing w:after="0"/>
              <w:rPr>
                <w:sz w:val="1"/>
                <w:szCs w:val="1"/>
                <w:color w:val="auto"/>
              </w:rPr>
            </w:pPr>
          </w:p>
        </w:tc>
      </w:tr>
      <w:tr>
        <w:trPr>
          <w:trHeight w:val="226"/>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taxes paid</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5,200</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 from loans held for investment to loans held for sale</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10,671</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4,820</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loss on securities</w:t>
            </w: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226"/>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recorded in conjunction with adoption of ASC 842</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5,221</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ROUA recorded in conjunction with adoption of ASC 842</w:t>
            </w: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Cumulative effect of adoption of ASC 842 on retained earnings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 and Principles of Consolidation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Five Star Bank (the “Bank”) was chartered on October 26, 1999 and began operations on December 20, 1999. Five Star Bancorp (“Bancorp” or the “Company”) was incorporated on September 16, 2002 and subsequently obtained approval from the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 and one loan production office in Sacramento.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terminated its status as a Subchapter S corporation as of May 5, 2021, in connection with the Company’s Initial Public Offering (“IPO”) and became a taxable C Corporation. Prior to that date, as an S Corporation, the Company had no U.S. federal income tax expense.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IPO, the Company issued 6,054,750 shares of common stock, no par value, which included 789,750 shares sold pursuant to the underwriters’ exercise of their option to purchase additional shares. The securities were sold to the public at a price of $20.00 per share and began trading on the Nasdaq Global Select Market on May 5, 2021. On May 7, 2021, the closing date of the IPO, the Company received total net proceeds of $111.2 million. The net proceeds less other related expenses, including audit fees, legal fees, listing fees, and other expenses, totaled $109.1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Financial Statement Presentation and Consolidation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as contained within the Financial Accounting Standards Board’s (“FASB”) Accounting Standards Codification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2021, and the notes thereto, as filed in the Company’s Annual Report on Form 10-K, which was filed with the SEC on February 25, 2022.</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include Five Star Bancorp and its wholly owned subsidiary, Five Star Bank. All significant intercompany transactions and balances are eliminated in consolidation.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2022 are not necessarily indicative of the results of operations that may be expected for any other interim period or for the year ending December 31,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and reporting policies conform to GAAP and to general practices within the banking industry.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as such, may take advantage of specified reduced reporting requirements and deferred accounting standards adoption dates, and is relieved of other significant requirements that are otherwise generally applicable to other public companies.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 unaudited consolidated financial statements and the disclosures provided, and actual results could differ. The allowance for loan losses is the most significant accounting estimate reflected in the Company’s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 (“EPS”)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0"/>
                <w:szCs w:val="20"/>
                <w:color w:val="auto"/>
              </w:rPr>
            </w:pPr>
          </w:p>
        </w:tc>
        <w:tc>
          <w:tcPr>
            <w:tcW w:w="25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17,125,715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14,650,208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17,114,169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12,824,125</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Dilutive effects of assumed vesting of restricted stock</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0" w:type="dxa"/>
            <w:vAlign w:val="bottom"/>
          </w:tcPr>
          <w:p>
            <w:pPr>
              <w:spacing w:after="0"/>
              <w:rPr>
                <w:sz w:val="1"/>
                <w:szCs w:val="1"/>
                <w:color w:val="auto"/>
              </w:rPr>
            </w:pPr>
          </w:p>
        </w:tc>
      </w:tr>
      <w:tr>
        <w:trPr>
          <w:trHeight w:val="223"/>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17,149,449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14,667,804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17,157,041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12,832,966</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there were no outstanding stock options. Additionally, the Company did not have any anti-dilutive shares at June 30,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2021, pro forma EPS is calculated by applying a C Corporation statutory tax rate of 29.56% to net income before provision for income taxes and using the determined pro forma net income balance to calculate EPS. For the three and six months ended June 30, 2022, pro forma EPS is actual EPS given that the Company was a C Corporation for the entire three- and six-month periods. The following reconciliation table provides a detailed calculation of pro forma EPS: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0"/>
                <w:szCs w:val="20"/>
                <w:color w:val="auto"/>
              </w:rPr>
            </w:pPr>
          </w:p>
        </w:tc>
        <w:tc>
          <w:tcPr>
            <w:tcW w:w="25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69"/>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June 30,</w:t>
            </w:r>
          </w:p>
        </w:tc>
      </w:tr>
      <w:tr>
        <w:trPr>
          <w:trHeight w:val="24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provision for income taxes - GAAP</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21,222</w:t>
            </w:r>
          </w:p>
        </w:tc>
      </w:tr>
      <w:tr>
        <w:trPr>
          <w:trHeight w:val="230"/>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Actual/pro forma provision for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r>
      <w:tr>
        <w:trPr>
          <w:trHeight w:val="248"/>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Actual/pro forma net income</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12,824,125</w:t>
            </w: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Add: Dilutive effects of assumed vesting of restricted stock</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w:t>
            </w:r>
          </w:p>
        </w:tc>
      </w:tr>
      <w:tr>
        <w:trPr>
          <w:trHeight w:val="248"/>
        </w:trPr>
        <w:tc>
          <w:tcPr>
            <w:tcW w:w="5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12,832,966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r>
      <w:tr>
        <w:trPr>
          <w:trHeight w:val="223"/>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EPS (actual/pro forma)</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EPS (actual/pro forma)</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5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amounts reported in previous consolidated financial statements have been reclassified to conform to current period presentation. These reclassifications did not affect previously reported amounts of net income, total assets, or total shareholders’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reflect recent accounting standards that have been adopted or are pending adoption by the Company. As discussed in Note 1, Basis of Presentation,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with the extended transition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Among other things, ASU 2016-02 requires lessees to recognize most leases on the balance sheet, thus increasing reported assets and liabilities. Lessor accounting remains substantially similar to historical GAAP. The FASB has issued incremental guidance to Topic 842 standard through ASU No. 2018-10, 2018-11, and 2021-05. The Company has elected to use the transition relief approach as provided in ASU 2018-11, which permits the Company to use January 1, 2022 as both the application date and the adoption date, rather than the modified retrospective approach. The Company also elected certain relief options offered within the new standard, which include the package of practical expedients, the option not to recognize an ROUA and lease liability that arise from short-term leases (i.e., leases with terms of 12 months or less), and the option of hindsight when determining lease term. Substantially all of the Company’s lease agreements are considered operating leases and were not previously recognized on the Company’s balance sheets. As of January 1, 2022, the Company recorded an ROUA and corresponding lease liability for all applicable operating leases. While the guidance increased the Company’s gross assets and liabilities, the adoption of ASU 2016-02 did not have a material impact on the consolidated statements of income or the consolidated statements of cash flows. See Note 11, Commitments and Contingencies, for more information.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2017, the FASB issued ASU No. 2017-12, </w:t>
      </w:r>
      <w:r>
        <w:rPr>
          <w:rFonts w:ascii="Times New Roman" w:cs="Times New Roman" w:eastAsia="Times New Roman" w:hAnsi="Times New Roman"/>
          <w:sz w:val="18"/>
          <w:szCs w:val="18"/>
          <w:i w:val="1"/>
          <w:iCs w:val="1"/>
          <w:color w:val="auto"/>
        </w:rPr>
        <w:t>Derivatives and Hedging (Topic 815): Targeted Improvements to Accounting for Hedging Activities.</w:t>
      </w:r>
      <w:r>
        <w:rPr>
          <w:rFonts w:ascii="Times New Roman" w:cs="Times New Roman" w:eastAsia="Times New Roman" w:hAnsi="Times New Roman"/>
          <w:sz w:val="18"/>
          <w:szCs w:val="18"/>
          <w:color w:val="auto"/>
        </w:rPr>
        <w:t xml:space="preserve"> The primary objective of the amendments in this update is to simplify the application of hedge accounting. More specifically, the amendments in this update better align an entity’s risk management activities and financial reporting for hedging relationships through changes to both the designation and measurement guidance for qualifying hedging relationships and the presentation of hedge results. Furthermore, the amendments expand and refine hedge accounting for both nonfinancial and financial risk components and align the recognition and presentation of the effects of the hedging instrument and the hedged item in the financial statements. Additionally, amendments in this update require an entity to present the earnings effect of the hedging instrument in the same income statement line item in which the earnings effect of the hedged item is reported. Hedge ineffectiveness is no longer separately measured and reported. The amendments in this update were effective for the Company beginning on January 1, 2022. The impact of adopting this ASU was immaterial to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standard will replace the “incurred loss” model with a “current expected credit loss” (“CECL”) model. The CECL model will apply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credit losses on loans receivable, held-to-maturity debt securities, unfunded loan commitments, and certain other financial assets measured at amortized cost. The CECL model is based on lifetime expected losses, rather than incurred losses, and requires the recognition of credit loss expense in the consolidated statement of income and a related allowance for credit losses on the consolidated statement of condition at the time of origination or purchase of a loan receivable or held-to-maturity debt security. Likewise, subsequent changes in this estimate are recorded through credit loss expense and related allowance. The CECL model requires the use of not only relevant historical experience and current conditions, but reasonable and supportable forecasts of future events and circumstances, incorporating a broad range of information in developing credit loss estimates, which could result in significant changes to both the timing and amount of credit loss expense and allowance. Under ASU 2016-13, available-for-sale debt securities are evaluated for impairment if fair value is less than amortized cost. Estimated credit losses are recorded through a credit loss expense and an allowance, rather than a write-down of the investment. Changes in fair value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that are not credit-related will continue to be recorded in other comprehensive income. The ASU also expands the disclosure requirements regarding assumptions, models, and methods for estimating the allowance for loan losses. In addition, entities will need to disclose the amortized cost balance for each class of financial asset by credit quality indicator, disaggregated by the year of origination. In March 2022, the FASB issued ASU No. 2022-02, which eliminates the recognition and measurement guidance on troubled debt restructurings and requires enhanced disclosures about loan modifications for borrowers experiencing financial difficulties. ASU 2016-13, and subsequently, ASU 2022-02, are effective for the Company for fiscal years beginning after December 15, 2022, including interim periods within those fiscal years. Entities will apply a modified retrospective approach through a cumulative-effect adjustment to retained earnings as of the beginning of the first reporting period in which the guidance is effective. While the Company believes the change from an incurred loss model to a CECL model has the potential to increase the allowance for loan losses at the adoption date, the Company cannot reasonably quantify the impact of the adoption of the amendments on its financial condition or results of operations at this time due to the complexity of and extensive changes resulting from these amendments. The Company is working with a third-party vendor to identify data gaps and determine the appropriate methodologies and resources to utilize in preparation for its transition to the new accounting standard, including but not limited to the use of certain tools to forecast future economic conditions that affect the cash flows of loans over their lifetime.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xml:space="preserve">. The amendments in this ASU are elective and provide optional guidance for a limited period of time to ease the potential burden in accounting for (or recognizing the effects of) reference rate reform. The amendments in this ASU provide optional expedients and exceptions for applying GAAP to contracts, hedging relationships, and other transactions that reference the London Inter-Bank Offered Rate (“LIBOR”) or another reference rate expected to be discontinued because of reference rate reform. Additionally, in January 2021, the FASB issued ASU No. 2021-01,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xml:space="preserve"> which refines the scope of ASC 848 and clarifies its guidance, permitting entities to elect certain optional expedients and exceptions when accounting for derivative contracts and certain hedging relationships affected by changes in the interest rates used for discounting cash flows, computing variation margin settlements, and calculating price alignment interest in connection with reference rate reform activities under way in global financial markets. The amendments in these ASUs may be elected as of March 12, 2020 through December 31, 2022. An entity may choose to elect the amendments in these updates at an interim period subsequent to March 12, 2020, with adoption methods varying based on transaction type. The Company has not elected to apply these amendments; however, the Company is assessing the applicability of these ASUs and continues to monitor guidance for reference rate reform from the FASB and its impact on the Company’s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 and Fair Value Measurement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for identical assets or liabilities in active markets that the Company has the ability to access as of the measurement date.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5"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Significant unobservable inputs that reflect the Company’s own assumptions about the assumptions that market participants would use in pricing an asset or liability.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 The following table summarizes the Company’s assets and liabilities that were required to be recorded at fair value on a recurring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Measurement</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Active Markets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Categories:</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Changes in Fair</w:t>
            </w:r>
          </w:p>
        </w:tc>
        <w:tc>
          <w:tcPr>
            <w:tcW w:w="0" w:type="dxa"/>
            <w:vAlign w:val="bottom"/>
          </w:tcPr>
          <w:p>
            <w:pPr>
              <w:spacing w:after="0"/>
              <w:rPr>
                <w:sz w:val="1"/>
                <w:szCs w:val="1"/>
                <w:color w:val="auto"/>
              </w:rPr>
            </w:pPr>
          </w:p>
        </w:tc>
      </w:tr>
      <w:tr>
        <w:trPr>
          <w:trHeight w:val="189"/>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Value Recorded</w:t>
            </w:r>
          </w:p>
        </w:tc>
        <w:tc>
          <w:tcPr>
            <w:tcW w:w="0" w:type="dxa"/>
            <w:vAlign w:val="bottom"/>
          </w:tcPr>
          <w:p>
            <w:pPr>
              <w:spacing w:after="0"/>
              <w:rPr>
                <w:sz w:val="1"/>
                <w:szCs w:val="1"/>
                <w:color w:val="auto"/>
              </w:rPr>
            </w:pPr>
          </w:p>
        </w:tc>
      </w:tr>
      <w:tr>
        <w:trPr>
          <w:trHeight w:val="230"/>
        </w:trPr>
        <w:tc>
          <w:tcPr>
            <w:tcW w:w="4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1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c>
          <w:tcPr>
            <w:tcW w:w="13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88"/>
              </w:rPr>
              <w:t>In</w:t>
            </w:r>
            <w:r>
              <w:rPr>
                <w:rFonts w:ascii="Times New Roman" w:cs="Times New Roman" w:eastAsia="Times New Roman" w:hAnsi="Times New Roman"/>
                <w:sz w:val="23"/>
                <w:szCs w:val="23"/>
                <w:color w:val="auto"/>
                <w:w w:val="88"/>
                <w:vertAlign w:val="superscript"/>
              </w:rPr>
              <w:t>1</w:t>
            </w: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U.S. government agencies, mortgage-backed securities,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gridSpan w:val="2"/>
          </w:tcPr>
          <w:p>
            <w:pPr>
              <w:ind w:left="26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8"/>
                <w:szCs w:val="18"/>
                <w:color w:val="auto"/>
              </w:rPr>
              <w:t>collateralized mortgage obligations, and corporate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122,426</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122,426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70"/>
        </w:trPr>
        <w:tc>
          <w:tcPr>
            <w:tcW w:w="4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U.S. government agencies, mortgage-backed securities,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gridSpan w:val="2"/>
          </w:tcPr>
          <w:p>
            <w:pPr>
              <w:ind w:left="26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8"/>
                <w:szCs w:val="18"/>
                <w:color w:val="auto"/>
              </w:rPr>
              <w:t>collateralized mortgage obligations, and corporate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comprehensive income (“OCI”) or net income (“NI”).</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rates, benchmark yield curves, prepayment speeds, probability of default, loss severity, and credit spreads (Level 2 inputs). Level 2 securities include U.S. agencies' or government-sponsored enterprises’ ("GSEs") debt securities, mortgage-backed securities, government agency issued bonds, privately issued collateralized mortgage obligations, and corporate bonds. As of June 30, 2022 and December 31, 2021, there were no Level 1 or Level 3 available-for-sale securities. The discounted cash flow model is used to determine the fair value of held-to-maturity securities.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impaired loans and other real estate owned (“OREO”). As of June 30, 2022 and December 31, 2021, the Company did not carry any assets measured at fair value on a non-recurring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Disclosures about 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is a summary of fair value estimates for financial instruments as of June 30, 2022 and December 31, 2021. The carrying amounts in the following table are recorded in the consolidated balance sheets under the indicated captions. Further, management has not disclosed the fair value of financial instruments specifically excluded from disclosure requirements, such as BOLI.</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30, 2022</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color w:val="auto"/>
              </w:rPr>
              <w:t>December 31, 2021</w:t>
            </w:r>
          </w:p>
        </w:tc>
        <w:tc>
          <w:tcPr>
            <w:tcW w:w="1000" w:type="dxa"/>
            <w:vAlign w:val="bottom"/>
            <w:tcBorders>
              <w:bottom w:val="single" w:sz="8" w:color="auto"/>
            </w:tcBorders>
          </w:tcPr>
          <w:p>
            <w:pPr>
              <w:spacing w:after="0"/>
              <w:rPr>
                <w:sz w:val="20"/>
                <w:szCs w:val="20"/>
                <w:color w:val="auto"/>
              </w:rPr>
            </w:pPr>
          </w:p>
        </w:tc>
      </w:tr>
      <w:tr>
        <w:trPr>
          <w:trHeight w:val="169"/>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8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40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Fair Value</w:t>
            </w:r>
          </w:p>
        </w:tc>
      </w:tr>
      <w:tr>
        <w:trPr>
          <w:trHeight w:val="24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Amounts</w:t>
            </w:r>
          </w:p>
        </w:tc>
        <w:tc>
          <w:tcPr>
            <w:tcW w:w="220" w:type="dxa"/>
            <w:vAlign w:val="bottom"/>
          </w:tcPr>
          <w:p>
            <w:pPr>
              <w:spacing w:after="0"/>
              <w:rPr>
                <w:sz w:val="21"/>
                <w:szCs w:val="21"/>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Value</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Hierarchy</w:t>
            </w: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Hierarchy</w:t>
            </w: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270,758</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425,329</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r>
      <w:tr>
        <w:trPr>
          <w:trHeight w:val="229"/>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 in banks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122,426</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175"/>
        </w:trPr>
        <w:tc>
          <w:tcPr>
            <w:tcW w:w="41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Loans held for investment, net of allowance for loan</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2,354,725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2,215,450</w:t>
            </w: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1,911,217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FHLB stock and other investments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29"/>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3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2,300,572</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2,285,890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2,210,555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29"/>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to estimate the fair value of its financial instruments at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 and time deposits in banks</w:t>
      </w:r>
      <w:r>
        <w:rPr>
          <w:rFonts w:ascii="Times New Roman" w:cs="Times New Roman" w:eastAsia="Times New Roman" w:hAnsi="Times New Roman"/>
          <w:sz w:val="18"/>
          <w:szCs w:val="18"/>
          <w:color w:val="auto"/>
        </w:rPr>
        <w:t>: The carrying amount is estimated to be fair value due to the liquid nature of the assets and their short-term maturities.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r>
        <w:rPr>
          <w:rFonts w:ascii="Times New Roman" w:cs="Times New Roman" w:eastAsia="Times New Roman" w:hAnsi="Times New Roman"/>
          <w:sz w:val="18"/>
          <w:szCs w:val="18"/>
          <w:color w:val="auto"/>
        </w:rPr>
        <w:t>: See discussion above for the methods and assumptions used by the Company to estimate the fair value of investment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For loans held for sale, the fair value is based on what secondary markets are currently offering for portfolios with similar characteristics.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held for investment, net of allowance for loan losses:</w:t>
      </w:r>
      <w:r>
        <w:rPr>
          <w:rFonts w:ascii="Times New Roman" w:cs="Times New Roman" w:eastAsia="Times New Roman" w:hAnsi="Times New Roman"/>
          <w:sz w:val="18"/>
          <w:szCs w:val="18"/>
          <w:color w:val="auto"/>
        </w:rPr>
        <w:t xml:space="preserve">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loan losses is considered to be a reasonable estimate of loan discount for credit quality concerns.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receivable and payable</w:t>
      </w:r>
      <w:r>
        <w:rPr>
          <w:rFonts w:ascii="Times New Roman" w:cs="Times New Roman" w:eastAsia="Times New Roman" w:hAnsi="Times New Roman"/>
          <w:sz w:val="18"/>
          <w:szCs w:val="18"/>
          <w:color w:val="auto"/>
        </w:rPr>
        <w:t>: For interest receivable and payable, the carrying amount is estimated to be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 interest rate swap</w:t>
      </w:r>
      <w:r>
        <w:rPr>
          <w:rFonts w:ascii="Times New Roman" w:cs="Times New Roman" w:eastAsia="Times New Roman" w:hAnsi="Times New Roman"/>
          <w:sz w:val="18"/>
          <w:szCs w:val="18"/>
          <w:color w:val="auto"/>
        </w:rPr>
        <w:t>: See above for a discussion of the methods and assumptions used by the Company to estimate the fair value of derivatives.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The fair values for demand deposits are, by definition, equal to the amount payable on demand at the reporting date, as represented by their carrying amount. Fair values for fixed rate certificates of deposit are estimated using a discounted cash flow analysis that uses interest rates being offered at each reporting date by the Company for certificates with similar remaining maturities. For variable rate time deposits, cost approximates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The fair value is estimated by discounting the future cash flow using the current three-month LIBOR. The Company's subordinated notes are not registered securities and were issued through private placements, resulting in a Level 3 classification. The notes are recorded at carrying value.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investment securities portfolio includes obligations of states and political subdivisions, securities issued by U.S. federal government agencies such as the Small Business Administration (the “SBA”), and securities issued by U.S. GSEs, such as the Federal National Mortgage Association (the “FNMA”), the Federal Home Loan Mortgage Corporation (the “FHLMC”), and the FHLB. The Company also invests in residential and commercial mortgage-backed securities, collateralized mortgage obligations issued or guaranteed by the GSEs, and corporate bonds, as reflected in the following tables.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fair value related to securities held-to-maturity as of June 30, 2022 and December 31, 2021 is presented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Gross Unrealized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held-to-maturity</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held-to-maturity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securities issued by states and political subdivisions,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fair value related to securities available-for-sale as of June 30, 2022 and December 31, 2021 is presented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Amortized</w:t>
            </w: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Gross Unrealized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66,076</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available-for-sale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81,513</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available-for-sale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149,610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investment debt securities by contractual maturity at June 30, 2022 and December 31, 2021 are shown below. Expected maturities may differ from contractual maturities if the issuers of the securities have the right to call or prepay obligations with or without call or prepayment penalties.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50"/>
        </w:trPr>
        <w:tc>
          <w:tcPr>
            <w:tcW w:w="3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1"/>
                <w:szCs w:val="21"/>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tcPr>
          <w:p>
            <w:pPr>
              <w:spacing w:after="0"/>
              <w:rPr>
                <w:sz w:val="21"/>
                <w:szCs w:val="21"/>
                <w:color w:val="auto"/>
              </w:rPr>
            </w:pPr>
          </w:p>
        </w:tc>
        <w:tc>
          <w:tcPr>
            <w:tcW w:w="16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Available-for-Sale</w:t>
            </w:r>
          </w:p>
        </w:tc>
      </w:tr>
      <w:tr>
        <w:trPr>
          <w:trHeight w:val="169"/>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one but within five years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ten years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40,867</w:t>
            </w:r>
          </w:p>
        </w:tc>
      </w:tr>
      <w:tr>
        <w:trPr>
          <w:trHeight w:val="270"/>
        </w:trPr>
        <w:tc>
          <w:tcPr>
            <w:tcW w:w="3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176"/>
        </w:trPr>
        <w:tc>
          <w:tcPr>
            <w:tcW w:w="4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securities not due at a single maturity</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9"/>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4"/>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w:t>
            </w:r>
          </w:p>
        </w:tc>
      </w:tr>
      <w:tr>
        <w:trPr>
          <w:trHeight w:val="230"/>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81,513</w:t>
            </w:r>
          </w:p>
        </w:tc>
      </w:tr>
      <w:tr>
        <w:trPr>
          <w:trHeight w:val="229"/>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48"/>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of investment securities and gross gains and losses are shown in the following table: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60" w:type="dxa"/>
            <w:vAlign w:val="bottom"/>
          </w:tcPr>
          <w:p>
            <w:pPr>
              <w:spacing w:after="0"/>
              <w:rPr>
                <w:sz w:val="20"/>
                <w:szCs w:val="20"/>
                <w:color w:val="auto"/>
              </w:rPr>
            </w:pPr>
          </w:p>
        </w:tc>
        <w:tc>
          <w:tcPr>
            <w:tcW w:w="2660" w:type="dxa"/>
            <w:vAlign w:val="bottom"/>
            <w:gridSpan w:val="6"/>
          </w:tcPr>
          <w:p>
            <w:pPr>
              <w:jc w:val="center"/>
              <w:ind w:right="70"/>
              <w:spacing w:after="0"/>
              <w:rPr>
                <w:sz w:val="20"/>
                <w:szCs w:val="20"/>
                <w:color w:val="auto"/>
              </w:rPr>
            </w:pPr>
            <w:r>
              <w:rPr>
                <w:rFonts w:ascii="Times New Roman" w:cs="Times New Roman" w:eastAsia="Times New Roman" w:hAnsi="Times New Roman"/>
                <w:sz w:val="18"/>
                <w:szCs w:val="18"/>
                <w:color w:val="auto"/>
                <w:w w:val="99"/>
              </w:rPr>
              <w:t>For the six months ended</w:t>
            </w:r>
          </w:p>
        </w:tc>
      </w:tr>
      <w:tr>
        <w:trPr>
          <w:trHeight w:val="169"/>
        </w:trPr>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tcBorders>
          </w:tcPr>
          <w:p>
            <w:pPr>
              <w:jc w:val="center"/>
              <w:ind w:left="230"/>
              <w:spacing w:after="0" w:line="169" w:lineRule="exact"/>
              <w:rPr>
                <w:sz w:val="20"/>
                <w:szCs w:val="20"/>
                <w:color w:val="auto"/>
              </w:rPr>
            </w:pPr>
            <w:r>
              <w:rPr>
                <w:rFonts w:ascii="Times New Roman" w:cs="Times New Roman" w:eastAsia="Times New Roman" w:hAnsi="Times New Roman"/>
                <w:sz w:val="18"/>
                <w:szCs w:val="18"/>
                <w:color w:val="auto"/>
                <w:w w:val="99"/>
              </w:rPr>
              <w:t>June 30,</w:t>
            </w: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w w:val="99"/>
              </w:rPr>
              <w:t>June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ind w:right="36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June 30,</w:t>
            </w: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proceeds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w:t>
            </w:r>
          </w:p>
        </w:tc>
      </w:tr>
      <w:tr>
        <w:trPr>
          <w:trHeight w:val="229"/>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10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52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Pledged investment securities are shown in the following table:</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3"/>
        </w:trPr>
        <w:tc>
          <w:tcPr>
            <w:tcW w:w="5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Pledged to the State of California:</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Securing deposits of public funds and borrowings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21,667</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63,363</w:t>
            </w:r>
          </w:p>
        </w:tc>
      </w:tr>
      <w:tr>
        <w:trPr>
          <w:trHeight w:val="248"/>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pledged investment securities</w:t>
            </w: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gross unrealized losses and fair values aggregated by investment category and length of time that individual available-for-sale securities have been in a continuous unrealized loss position at June 30, 2022 and December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Total securities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&lt; 12 continuous months</w:t>
            </w:r>
          </w:p>
        </w:tc>
        <w:tc>
          <w:tcPr>
            <w:tcW w:w="220" w:type="dxa"/>
            <w:vAlign w:val="bottom"/>
          </w:tcPr>
          <w:p>
            <w:pPr>
              <w:spacing w:after="0"/>
              <w:rPr>
                <w:sz w:val="20"/>
                <w:szCs w:val="20"/>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 12 continuous months</w:t>
            </w:r>
          </w:p>
        </w:tc>
        <w:tc>
          <w:tcPr>
            <w:tcW w:w="2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a loss position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13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Unrealized Loss</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3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Unrealized Loss</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Unrealized Loss</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0" w:type="dxa"/>
            <w:vAlign w:val="bottom"/>
          </w:tcPr>
          <w:p>
            <w:pPr>
              <w:spacing w:after="0"/>
              <w:rPr>
                <w:sz w:val="1"/>
                <w:szCs w:val="1"/>
                <w:color w:val="auto"/>
              </w:rPr>
            </w:pPr>
          </w:p>
        </w:tc>
      </w:tr>
      <w:tr>
        <w:trPr>
          <w:trHeight w:val="184"/>
        </w:trPr>
        <w:tc>
          <w:tcPr>
            <w:tcW w:w="2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subdivisions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36,118</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0" w:type="dxa"/>
            <w:vAlign w:val="bottom"/>
          </w:tcPr>
          <w:p>
            <w:pPr>
              <w:spacing w:after="0"/>
              <w:rPr>
                <w:sz w:val="1"/>
                <w:szCs w:val="1"/>
                <w:color w:val="auto"/>
              </w:rPr>
            </w:pPr>
          </w:p>
        </w:tc>
      </w:tr>
      <w:tr>
        <w:trPr>
          <w:trHeight w:val="184"/>
        </w:trPr>
        <w:tc>
          <w:tcPr>
            <w:tcW w:w="2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Collateralized mortgaged</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64"/>
        </w:trPr>
        <w:tc>
          <w:tcPr>
            <w:tcW w:w="2700" w:type="dxa"/>
            <w:vAlign w:val="bottom"/>
            <w:tcBorders>
              <w:top w:val="single" w:sz="8" w:color="CCEEFF"/>
            </w:tcBorders>
            <w:gridSpan w:val="2"/>
            <w:shd w:val="clear" w:color="auto" w:fill="CCEEFF"/>
          </w:tcPr>
          <w:p>
            <w:pPr>
              <w:ind w:left="240"/>
              <w:spacing w:after="0" w:line="164" w:lineRule="exact"/>
              <w:rPr>
                <w:sz w:val="20"/>
                <w:szCs w:val="20"/>
                <w:color w:val="auto"/>
              </w:rPr>
            </w:pPr>
            <w:r>
              <w:rPr>
                <w:rFonts w:ascii="Times New Roman" w:cs="Times New Roman" w:eastAsia="Times New Roman" w:hAnsi="Times New Roman"/>
                <w:sz w:val="18"/>
                <w:szCs w:val="18"/>
                <w:color w:val="auto"/>
              </w:rPr>
              <w:t>Total temporarily impaired</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94,740</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22,927</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117,667</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(18,193)</w:t>
            </w:r>
          </w:p>
        </w:tc>
        <w:tc>
          <w:tcPr>
            <w:tcW w:w="0" w:type="dxa"/>
            <w:vAlign w:val="bottom"/>
          </w:tcPr>
          <w:p>
            <w:pPr>
              <w:spacing w:after="0"/>
              <w:rPr>
                <w:sz w:val="1"/>
                <w:szCs w:val="1"/>
                <w:color w:val="auto"/>
              </w:rPr>
            </w:pPr>
          </w:p>
        </w:tc>
      </w:tr>
      <w:tr>
        <w:trPr>
          <w:trHeight w:val="227"/>
        </w:trPr>
        <w:tc>
          <w:tcPr>
            <w:tcW w:w="2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184"/>
        </w:trPr>
        <w:tc>
          <w:tcPr>
            <w:tcW w:w="2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subdivisions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64"/>
        </w:trPr>
        <w:tc>
          <w:tcPr>
            <w:tcW w:w="2700" w:type="dxa"/>
            <w:vAlign w:val="bottom"/>
            <w:gridSpan w:val="2"/>
          </w:tcPr>
          <w:p>
            <w:pPr>
              <w:ind w:left="240"/>
              <w:spacing w:after="0" w:line="164" w:lineRule="exact"/>
              <w:rPr>
                <w:sz w:val="20"/>
                <w:szCs w:val="20"/>
                <w:color w:val="auto"/>
              </w:rPr>
            </w:pPr>
            <w:r>
              <w:rPr>
                <w:rFonts w:ascii="Times New Roman" w:cs="Times New Roman" w:eastAsia="Times New Roman" w:hAnsi="Times New Roman"/>
                <w:sz w:val="18"/>
                <w:szCs w:val="18"/>
                <w:color w:val="auto"/>
              </w:rPr>
              <w:t>Total temporarily impaired</w:t>
            </w: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89,921</w:t>
            </w:r>
          </w:p>
        </w:tc>
        <w:tc>
          <w:tcPr>
            <w:tcW w:w="80" w:type="dxa"/>
            <w:vAlign w:val="bottom"/>
          </w:tcPr>
          <w:p>
            <w:pPr>
              <w:spacing w:after="0"/>
              <w:rPr>
                <w:sz w:val="14"/>
                <w:szCs w:val="14"/>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100" w:type="dxa"/>
            <w:vAlign w:val="bottom"/>
          </w:tcPr>
          <w:p>
            <w:pPr>
              <w:spacing w:after="0"/>
              <w:rPr>
                <w:sz w:val="14"/>
                <w:szCs w:val="14"/>
                <w:color w:val="auto"/>
              </w:rPr>
            </w:pPr>
          </w:p>
        </w:tc>
        <w:tc>
          <w:tcPr>
            <w:tcW w:w="46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105,127</w:t>
            </w:r>
          </w:p>
        </w:tc>
        <w:tc>
          <w:tcPr>
            <w:tcW w:w="80" w:type="dxa"/>
            <w:vAlign w:val="bottom"/>
          </w:tcPr>
          <w:p>
            <w:pPr>
              <w:spacing w:after="0"/>
              <w:rPr>
                <w:sz w:val="14"/>
                <w:szCs w:val="14"/>
                <w:color w:val="auto"/>
              </w:rPr>
            </w:pPr>
          </w:p>
        </w:tc>
        <w:tc>
          <w:tcPr>
            <w:tcW w:w="64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2"/>
        </w:trPr>
        <w:tc>
          <w:tcPr>
            <w:tcW w:w="2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151 and 91 available-for-sale securities in unrealized loss positions at June 30, 2022 and December 31, 2021, respectively. As of June 30, 2022, the investment portfolio included 24 investment securities that had been in a continuous loss position for twelve months or more and 127 investment securities that had been in a loss position for less than twelve months.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each available-for-sale investment security in an unrealized loss position to determine if the impairment is temporary or other than temporary and has determined that no investment security is other than temporarily impaired. The unrealized losses are due primarily to interest rate changes. The Company does not intend, and it is more likely than not that the Company will not be required, to sell the securities before the earlier of the forecasted recovery or the maturity of the underlying debt security.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one held-to-maturity security in a continuous unrealized loss position at June 30, 2022. This security was in an unrealized loss position for less than 12 months. There were no held-to-maturity securities in a continuous loss position at December 31,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issued or guaranteed by government agencies such as the Government National Mortgage Association ("GNMA") and SBA or GSEs under conservatorship such as FNMA and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in obligations of states and political subdivisions are deemed credit worthy after management’s comprehensive analysis of the issuers’ latest financial information, credit ratings by major credit agencies, and/or credit enhancements.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Securities Included in Other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FHLB capital stock</w:t>
      </w:r>
      <w:r>
        <w:rPr>
          <w:rFonts w:ascii="Times New Roman" w:cs="Times New Roman" w:eastAsia="Times New Roman" w:hAnsi="Times New Roman"/>
          <w:sz w:val="18"/>
          <w:szCs w:val="18"/>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$10.9 million and $6.7 million of FHLB stock at June 30, 2022 and December 31, 2021, respectively.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June 30, 2022 and December 31, 2021. On April 28, 2022, FHLB announced a cash dividend for the first quarter of 2022 at an annualized dividend rate of 6.00%, which was paid on May 11, 2022. Cash dividends received on FHLB capital stock amounted to $0.1 million for the three months ended June 30, 2022 and 2021 and $0.2 million for the six months ended June 30, 2022 and 2021, and were recorded as non-interest income on the consolidated statements of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Loans and Allowance for Loan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with strong underwriting. As of June 30, 2022 and December 31, 2021, the carrying value of total loans held for investment amounted to $2.4 billion and $1.9 billion, respectively. The following table presents the balance of each major product type within the Company’s portfolio as of the dates indicated.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137,062</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Paycheck Protection Program (“PPP”)</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1,936,066</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Net deferred loan fees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 of allowance for loan losses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2,354,725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1,911,217</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Commercial loans:</w:t>
      </w:r>
      <w:r>
        <w:rPr>
          <w:rFonts w:ascii="Times New Roman" w:cs="Times New Roman" w:eastAsia="Times New Roman" w:hAnsi="Times New Roman"/>
          <w:sz w:val="18"/>
          <w:szCs w:val="18"/>
          <w:color w:val="auto"/>
        </w:rPr>
        <w:t xml:space="preserve">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Real estate loans:</w:t>
      </w:r>
      <w:r>
        <w:rPr>
          <w:rFonts w:ascii="Times New Roman" w:cs="Times New Roman" w:eastAsia="Times New Roman" w:hAnsi="Times New Roman"/>
          <w:sz w:val="18"/>
          <w:szCs w:val="18"/>
          <w:color w:val="auto"/>
        </w:rPr>
        <w:t xml:space="preserve">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Construction loans:</w:t>
      </w:r>
      <w:r>
        <w:rPr>
          <w:rFonts w:ascii="Times New Roman" w:cs="Times New Roman" w:eastAsia="Times New Roman" w:hAnsi="Times New Roman"/>
          <w:sz w:val="18"/>
          <w:szCs w:val="18"/>
          <w:color w:val="auto"/>
        </w:rPr>
        <w:t xml:space="preserve"> 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real estate loans:</w:t>
      </w:r>
      <w:r>
        <w:rPr>
          <w:rFonts w:ascii="Times New Roman" w:cs="Times New Roman" w:eastAsia="Times New Roman" w:hAnsi="Times New Roman"/>
          <w:sz w:val="18"/>
          <w:szCs w:val="18"/>
          <w:color w:val="auto"/>
        </w:rPr>
        <w:t xml:space="preserve">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Farmland loans:</w:t>
      </w:r>
      <w:r>
        <w:rPr>
          <w:rFonts w:ascii="Times New Roman" w:cs="Times New Roman" w:eastAsia="Times New Roman" w:hAnsi="Times New Roman"/>
          <w:sz w:val="18"/>
          <w:szCs w:val="18"/>
          <w:color w:val="auto"/>
        </w:rPr>
        <w:t xml:space="preserve">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Consumer loans:</w:t>
      </w:r>
      <w:r>
        <w:rPr>
          <w:rFonts w:ascii="Times New Roman" w:cs="Times New Roman" w:eastAsia="Times New Roman" w:hAnsi="Times New Roman"/>
          <w:sz w:val="18"/>
          <w:szCs w:val="18"/>
          <w:color w:val="auto"/>
        </w:rPr>
        <w:t xml:space="preserve">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Loans rated pass</w:t>
      </w:r>
      <w:r>
        <w:rPr>
          <w:rFonts w:ascii="Times New Roman" w:cs="Times New Roman" w:eastAsia="Times New Roman" w:hAnsi="Times New Roman"/>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rated watch</w:t>
      </w:r>
      <w:r>
        <w:rPr>
          <w:rFonts w:ascii="Times New Roman" w:cs="Times New Roman" w:eastAsia="Times New Roman" w:hAnsi="Times New Roman"/>
          <w:sz w:val="18"/>
          <w:szCs w:val="18"/>
          <w:color w:val="auto"/>
        </w:rPr>
        <w:t>: These are loans which have deficient loan quality and potentially significant issues, but losses do not appear to be imminent, and the issues are expected to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Loans rated substandard</w:t>
      </w:r>
      <w:r>
        <w:rPr>
          <w:rFonts w:ascii="Times New Roman" w:cs="Times New Roman" w:eastAsia="Times New Roman" w:hAnsi="Times New Roman"/>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 The substandard loan category includes loans that management has determined not to be impaired, as well as loans that are impaired.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rated doubtful</w:t>
      </w:r>
      <w:r>
        <w:rPr>
          <w:rFonts w:ascii="Times New Roman" w:cs="Times New Roman" w:eastAsia="Times New Roman" w:hAnsi="Times New Roman"/>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credit quality indicators related to the Company’s loans by class as of June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Pass</w:t>
            </w: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Watch</w:t>
            </w:r>
          </w:p>
        </w:tc>
        <w:tc>
          <w:tcPr>
            <w:tcW w:w="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Substandard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Doubtful</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2,020,665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2,036,559</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70,404</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26,246</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136,155</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w:t>
            </w:r>
          </w:p>
        </w:tc>
      </w:tr>
      <w:tr>
        <w:trPr>
          <w:trHeight w:val="248"/>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2,382,275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credit quality indicators related to the Company’s loans by class as of December 31,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Pass</w:t>
            </w:r>
          </w:p>
        </w:tc>
        <w:tc>
          <w:tcPr>
            <w:tcW w:w="32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Watch</w:t>
            </w:r>
          </w:p>
        </w:tc>
        <w:tc>
          <w:tcPr>
            <w:tcW w:w="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Substandard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Doubtful</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r>
      <w:tr>
        <w:trPr>
          <w:trHeight w:val="230"/>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29"/>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r>
      <w:tr>
        <w:trPr>
          <w:trHeight w:val="230"/>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30"/>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30"/>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137,062</w:t>
            </w:r>
          </w:p>
        </w:tc>
      </w:tr>
      <w:tr>
        <w:trPr>
          <w:trHeight w:val="230"/>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r>
      <w:tr>
        <w:trPr>
          <w:trHeight w:val="230"/>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48"/>
        </w:trPr>
        <w:tc>
          <w:tcPr>
            <w:tcW w:w="3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1,936,066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other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 analysis of past due loans by class as of June 30, 2022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Past Due</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69"/>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30-89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20"/>
              <w:spacing w:after="0" w:line="169" w:lineRule="exact"/>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Total Past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Total Loans</w:t>
            </w:r>
          </w:p>
        </w:tc>
      </w:tr>
      <w:tr>
        <w:trPr>
          <w:trHeight w:val="24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Days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Days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Due</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Receivable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2,036,559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2,036,559</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70,404</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26,246</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136,155</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w:t>
            </w:r>
          </w:p>
        </w:tc>
      </w:tr>
      <w:tr>
        <w:trPr>
          <w:trHeight w:val="248"/>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2,382,275</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between 60-89 days past due nor any loans greater than 90 days past due and still accruing as of June 30,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 analysis of past due loans by class as of December 31, 2021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Past Due</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69"/>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30-89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20"/>
              <w:spacing w:after="0" w:line="169" w:lineRule="exact"/>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Total Past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Total Loans</w:t>
            </w:r>
          </w:p>
        </w:tc>
      </w:tr>
      <w:tr>
        <w:trPr>
          <w:trHeight w:val="24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Days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Days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Due</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Receivable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137,062</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48"/>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1,936,066</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between 60-89 days past due nor any loans greater than 90 days past due and still accruing as of December 31,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Impaired Loans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Information related to impaired loans as of June 30, 2022 and December 31, 2021 consisted of the following: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2022</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December 31, 2021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w w:val="98"/>
              </w:rPr>
              <w:t>Unpaid</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rPr>
              <w:t>Related</w:t>
            </w:r>
          </w:p>
        </w:tc>
        <w:tc>
          <w:tcPr>
            <w:tcW w:w="140" w:type="dxa"/>
            <w:vAlign w:val="bottom"/>
          </w:tcPr>
          <w:p>
            <w:pPr>
              <w:spacing w:after="0"/>
              <w:rPr>
                <w:sz w:val="14"/>
                <w:szCs w:val="14"/>
                <w:color w:val="auto"/>
              </w:rPr>
            </w:pP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Recorded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Unpaid</w:t>
            </w:r>
          </w:p>
        </w:tc>
        <w:tc>
          <w:tcPr>
            <w:tcW w:w="140" w:type="dxa"/>
            <w:vAlign w:val="bottom"/>
          </w:tcPr>
          <w:p>
            <w:pPr>
              <w:spacing w:after="0"/>
              <w:rPr>
                <w:sz w:val="14"/>
                <w:szCs w:val="14"/>
                <w:color w:val="auto"/>
              </w:rPr>
            </w:pPr>
          </w:p>
        </w:tc>
        <w:tc>
          <w:tcPr>
            <w:tcW w:w="10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Related</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Principal</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Principal</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w:t>
            </w:r>
          </w:p>
        </w:tc>
        <w:tc>
          <w:tcPr>
            <w:tcW w:w="18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21"/>
                <w:szCs w:val="21"/>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Allowance</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Investment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Allowance</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by category:</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impaired loans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collateral dependent loans were in process of foreclosure at June 30, 2022 or December 31,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impaired loans for the three months ended June 30, 2022 and 2021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Recorded</w:t>
            </w:r>
          </w:p>
        </w:tc>
        <w:tc>
          <w:tcPr>
            <w:tcW w:w="1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4"/>
                <w:szCs w:val="14"/>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Recorded</w:t>
            </w: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Investment</w:t>
            </w:r>
          </w:p>
        </w:tc>
        <w:tc>
          <w:tcPr>
            <w:tcW w:w="20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Recognized</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21"/>
                <w:szCs w:val="21"/>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by category:</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impaired loans</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impaired loans for the six months ended June 30, 2022 and 2021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8"/>
                <w:szCs w:val="18"/>
                <w:color w:val="auto"/>
              </w:rPr>
              <w:t>Six months ended June 30,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Recorded</w:t>
            </w: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color w:val="auto"/>
                <w:w w:val="98"/>
              </w:rPr>
              <w:t>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Interest Income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8"/>
              </w:rPr>
              <w:t>Recorded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Investment</w:t>
            </w:r>
          </w:p>
        </w:tc>
        <w:tc>
          <w:tcPr>
            <w:tcW w:w="200" w:type="dxa"/>
            <w:vAlign w:val="bottom"/>
          </w:tcPr>
          <w:p>
            <w:pPr>
              <w:spacing w:after="0"/>
              <w:rPr>
                <w:sz w:val="21"/>
                <w:szCs w:val="21"/>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Recognized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Investment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by category: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impaired loans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Non-accrual loans, segregated by class, were as follows as of June 30, 2022 and December 31, 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non-accrual loans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foregone interest income related to non-accrual loans was $6.9 thousand and $25.1 thousand for the three and six months ended June 30, 2022, respectively, compared to $6.8 thousand and $13.6 thousand for the three and six months ended June 30, 2021,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Troubled Debt Restructuring ("TDR")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outstanding with a TDR designation at June 30, 2022 or December 31, 2021.</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4013 of the Coronavirus Aid, Relief, and Economic Security Act (“CARES Act”), as subsequently amended by the Consolidated Appropriations Act, 2021, provided TDR relief for borrowers affected by the COVID-19 pandemic. Specifically, the CARES Act, as amended, specified that to be eligible not to be considered a TDR, a loan modification must be: (i) related to the COVID-19 pandemic; (ii) executed on a loan that was not more than 30 days past due as of December 31, 2020; and (iii) executed between March 1, 2020, and the earlier of: (a) 60 days after the date of termination of the federal national emergency; or (b) January 1, 2022. In accordance with section 4013 of the CARES Act, the Company elected to apply the temporary accounting relief provisions for loan modifications that met certain criteria, which would otherwise be designated TDRs under existing GAAP. As of June 30, 2022, two borrowing relationships with two loans totaling $0.1 million were continuing to benefit from payment relief. The Company accrues and recognizes interest income on loans under payment relief based on the original contractual interest rates. When payments resume at the end of the relief period, the payments will generally be applied to accrued interest due until accrued interest is fully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activity in the allowance for loan losses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Real Estate</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color w:val="auto"/>
                <w:w w:val="99"/>
              </w:rPr>
              <w:t>Comml</w:t>
            </w:r>
          </w:p>
        </w:tc>
        <w:tc>
          <w:tcPr>
            <w:tcW w:w="100" w:type="dxa"/>
            <w:vAlign w:val="bottom"/>
          </w:tcPr>
          <w:p>
            <w:pPr>
              <w:spacing w:after="0"/>
              <w:rPr>
                <w:sz w:val="11"/>
                <w:szCs w:val="11"/>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Comml</w:t>
            </w:r>
          </w:p>
        </w:tc>
        <w:tc>
          <w:tcPr>
            <w:tcW w:w="12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Resid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Farm-</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Comml</w:t>
            </w:r>
          </w:p>
        </w:tc>
        <w:tc>
          <w:tcPr>
            <w:tcW w:w="74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Land and</w:t>
            </w: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Resid</w:t>
            </w: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Secured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Unsec</w:t>
            </w:r>
          </w:p>
        </w:tc>
        <w:tc>
          <w:tcPr>
            <w:tcW w:w="14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PPP</w:t>
            </w:r>
          </w:p>
        </w:tc>
        <w:tc>
          <w:tcPr>
            <w:tcW w:w="12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Consu</w:t>
            </w:r>
          </w:p>
        </w:tc>
        <w:tc>
          <w:tcPr>
            <w:tcW w:w="140" w:type="dxa"/>
            <w:vAlign w:val="bottom"/>
          </w:tcPr>
          <w:p>
            <w:pPr>
              <w:spacing w:after="0"/>
              <w:rPr>
                <w:sz w:val="12"/>
                <w:szCs w:val="12"/>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Unal</w:t>
            </w:r>
          </w:p>
        </w:tc>
        <w:tc>
          <w:tcPr>
            <w:tcW w:w="140" w:type="dxa"/>
            <w:vAlign w:val="bottom"/>
          </w:tcPr>
          <w:p>
            <w:pPr>
              <w:spacing w:after="0"/>
              <w:rPr>
                <w:sz w:val="12"/>
                <w:szCs w:val="12"/>
                <w:color w:val="auto"/>
              </w:rPr>
            </w:pPr>
          </w:p>
        </w:tc>
        <w:tc>
          <w:tcPr>
            <w:tcW w:w="5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Devel</w:t>
            </w:r>
          </w:p>
        </w:tc>
        <w:tc>
          <w:tcPr>
            <w:tcW w:w="100" w:type="dxa"/>
            <w:vAlign w:val="bottom"/>
          </w:tcPr>
          <w:p>
            <w:pPr>
              <w:spacing w:after="0"/>
              <w:rPr>
                <w:sz w:val="17"/>
                <w:szCs w:val="17"/>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Const</w:t>
            </w:r>
          </w:p>
        </w:tc>
        <w:tc>
          <w:tcPr>
            <w:tcW w:w="120" w:type="dxa"/>
            <w:vAlign w:val="bottom"/>
          </w:tcPr>
          <w:p>
            <w:pPr>
              <w:spacing w:after="0"/>
              <w:rPr>
                <w:sz w:val="17"/>
                <w:szCs w:val="17"/>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Const</w:t>
            </w:r>
          </w:p>
        </w:tc>
        <w:tc>
          <w:tcPr>
            <w:tcW w:w="1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land</w:t>
            </w: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23,904</w:t>
            </w:r>
          </w:p>
        </w:tc>
        <w:tc>
          <w:tcPr>
            <w:tcW w:w="0" w:type="dxa"/>
            <w:vAlign w:val="bottom"/>
          </w:tcPr>
          <w:p>
            <w:pPr>
              <w:spacing w:after="0"/>
              <w:rPr>
                <w:sz w:val="1"/>
                <w:szCs w:val="1"/>
                <w:color w:val="auto"/>
              </w:rPr>
            </w:pPr>
          </w:p>
        </w:tc>
      </w:tr>
      <w:tr>
        <w:trPr>
          <w:trHeight w:val="210"/>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Charge-offs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195"/>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Recoveries</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10"/>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(recapture)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9"/>
              </w:rPr>
              <w:t>21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0" w:type="dxa"/>
            <w:vAlign w:val="bottom"/>
          </w:tcPr>
          <w:p>
            <w:pPr>
              <w:spacing w:after="0"/>
              <w:rPr>
                <w:sz w:val="1"/>
                <w:szCs w:val="1"/>
                <w:color w:val="auto"/>
              </w:rPr>
            </w:pPr>
          </w:p>
        </w:tc>
      </w:tr>
      <w:tr>
        <w:trPr>
          <w:trHeight w:val="19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16,621</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25,786</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22,271</w:t>
            </w:r>
          </w:p>
        </w:tc>
        <w:tc>
          <w:tcPr>
            <w:tcW w:w="0" w:type="dxa"/>
            <w:vAlign w:val="bottom"/>
          </w:tcPr>
          <w:p>
            <w:pPr>
              <w:spacing w:after="0"/>
              <w:rPr>
                <w:sz w:val="1"/>
                <w:szCs w:val="1"/>
                <w:color w:val="auto"/>
              </w:rPr>
            </w:pPr>
          </w:p>
        </w:tc>
      </w:tr>
      <w:tr>
        <w:trPr>
          <w:trHeight w:val="210"/>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Charge-offs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95"/>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Recoveries</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10"/>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(recapture)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22,153</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23,243</w:t>
            </w:r>
          </w:p>
        </w:tc>
        <w:tc>
          <w:tcPr>
            <w:tcW w:w="0" w:type="dxa"/>
            <w:vAlign w:val="bottom"/>
          </w:tcPr>
          <w:p>
            <w:pPr>
              <w:spacing w:after="0"/>
              <w:rPr>
                <w:sz w:val="1"/>
                <w:szCs w:val="1"/>
                <w:color w:val="auto"/>
              </w:rPr>
            </w:pPr>
          </w:p>
        </w:tc>
      </w:tr>
      <w:tr>
        <w:trPr>
          <w:trHeight w:val="195"/>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Charge-offs</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0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210"/>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Recoveries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Provision (recapture)</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w w:val="99"/>
              </w:rPr>
              <w:t>21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22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22,189</w:t>
            </w:r>
          </w:p>
        </w:tc>
        <w:tc>
          <w:tcPr>
            <w:tcW w:w="0" w:type="dxa"/>
            <w:vAlign w:val="bottom"/>
          </w:tcPr>
          <w:p>
            <w:pPr>
              <w:spacing w:after="0"/>
              <w:rPr>
                <w:sz w:val="1"/>
                <w:szCs w:val="1"/>
                <w:color w:val="auto"/>
              </w:rPr>
            </w:pPr>
          </w:p>
        </w:tc>
      </w:tr>
      <w:tr>
        <w:trPr>
          <w:trHeight w:val="195"/>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Charge-offs</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210"/>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Recoveries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96"/>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Provision (recapture)</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28"/>
        </w:trPr>
        <w:tc>
          <w:tcPr>
            <w:tcW w:w="2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22,153</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the allowance for loan losses by impairment methodology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5"/>
          </w:tcPr>
          <w:p>
            <w:pPr>
              <w:ind w:left="200"/>
              <w:spacing w:after="0"/>
              <w:rPr>
                <w:sz w:val="20"/>
                <w:szCs w:val="20"/>
                <w:color w:val="auto"/>
              </w:rPr>
            </w:pPr>
            <w:r>
              <w:rPr>
                <w:rFonts w:ascii="Times New Roman" w:cs="Times New Roman" w:eastAsia="Times New Roman" w:hAnsi="Times New Roman"/>
                <w:sz w:val="14"/>
                <w:szCs w:val="14"/>
                <w:color w:val="auto"/>
              </w:rPr>
              <w:t>Real Estate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color w:val="auto"/>
              </w:rPr>
              <w:t>Comml</w:t>
            </w:r>
          </w:p>
        </w:tc>
        <w:tc>
          <w:tcPr>
            <w:tcW w:w="100" w:type="dxa"/>
            <w:vAlign w:val="bottom"/>
          </w:tcPr>
          <w:p>
            <w:pPr>
              <w:spacing w:after="0"/>
              <w:rPr>
                <w:sz w:val="11"/>
                <w:szCs w:val="11"/>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Comml</w:t>
            </w:r>
          </w:p>
        </w:tc>
        <w:tc>
          <w:tcPr>
            <w:tcW w:w="120" w:type="dxa"/>
            <w:vAlign w:val="bottom"/>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Resid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Farm-</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Comml</w:t>
            </w:r>
          </w:p>
        </w:tc>
        <w:tc>
          <w:tcPr>
            <w:tcW w:w="72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Land and</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Resid</w:t>
            </w: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7"/>
              </w:rPr>
              <w:t>Secured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Unsec</w:t>
            </w:r>
          </w:p>
        </w:tc>
        <w:tc>
          <w:tcPr>
            <w:tcW w:w="10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PPP</w:t>
            </w:r>
          </w:p>
        </w:tc>
        <w:tc>
          <w:tcPr>
            <w:tcW w:w="12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Consu</w:t>
            </w:r>
          </w:p>
        </w:tc>
        <w:tc>
          <w:tcPr>
            <w:tcW w:w="140" w:type="dxa"/>
            <w:vAlign w:val="bottom"/>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Unal</w:t>
            </w:r>
          </w:p>
        </w:tc>
        <w:tc>
          <w:tcPr>
            <w:tcW w:w="100" w:type="dxa"/>
            <w:vAlign w:val="bottom"/>
          </w:tcPr>
          <w:p>
            <w:pPr>
              <w:spacing w:after="0"/>
              <w:rPr>
                <w:sz w:val="12"/>
                <w:szCs w:val="12"/>
                <w:color w:val="auto"/>
              </w:rPr>
            </w:pPr>
          </w:p>
        </w:tc>
        <w:tc>
          <w:tcPr>
            <w:tcW w:w="6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Devel</w:t>
            </w:r>
          </w:p>
        </w:tc>
        <w:tc>
          <w:tcPr>
            <w:tcW w:w="100" w:type="dxa"/>
            <w:vAlign w:val="bottom"/>
          </w:tcPr>
          <w:p>
            <w:pPr>
              <w:spacing w:after="0"/>
              <w:rPr>
                <w:sz w:val="17"/>
                <w:szCs w:val="17"/>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Const</w:t>
            </w:r>
          </w:p>
        </w:tc>
        <w:tc>
          <w:tcPr>
            <w:tcW w:w="120" w:type="dxa"/>
            <w:vAlign w:val="bottom"/>
          </w:tcPr>
          <w:p>
            <w:pPr>
              <w:spacing w:after="0"/>
              <w:rPr>
                <w:sz w:val="17"/>
                <w:szCs w:val="17"/>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Const</w:t>
            </w:r>
          </w:p>
        </w:tc>
        <w:tc>
          <w:tcPr>
            <w:tcW w:w="14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land</w:t>
            </w: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Ending allowance balance allocated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Loans individually evaluated for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98"/>
        </w:trPr>
        <w:tc>
          <w:tcPr>
            <w:tcW w:w="2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impairment</w:t>
            </w:r>
          </w:p>
        </w:tc>
        <w:tc>
          <w:tcPr>
            <w:tcW w:w="10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Loans collectively evaluated for</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25,634</w:t>
            </w:r>
          </w:p>
        </w:tc>
        <w:tc>
          <w:tcPr>
            <w:tcW w:w="0" w:type="dxa"/>
            <w:vAlign w:val="bottom"/>
          </w:tcPr>
          <w:p>
            <w:pPr>
              <w:spacing w:after="0"/>
              <w:rPr>
                <w:sz w:val="1"/>
                <w:szCs w:val="1"/>
                <w:color w:val="auto"/>
              </w:rPr>
            </w:pPr>
          </w:p>
        </w:tc>
      </w:tr>
      <w:tr>
        <w:trPr>
          <w:trHeight w:val="193"/>
        </w:trPr>
        <w:tc>
          <w:tcPr>
            <w:tcW w:w="23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impairment</w:t>
            </w: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25,786</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60" w:type="dxa"/>
            <w:vAlign w:val="bottom"/>
            <w:gridSpan w:val="2"/>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Ending balance individually</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98"/>
        </w:trPr>
        <w:tc>
          <w:tcPr>
            <w:tcW w:w="2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Ending balance collectively</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2,036,445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70,404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50,434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136,003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2,381,821</w:t>
            </w:r>
          </w:p>
        </w:tc>
        <w:tc>
          <w:tcPr>
            <w:tcW w:w="0" w:type="dxa"/>
            <w:vAlign w:val="bottom"/>
          </w:tcPr>
          <w:p>
            <w:pPr>
              <w:spacing w:after="0"/>
              <w:rPr>
                <w:sz w:val="1"/>
                <w:szCs w:val="1"/>
                <w:color w:val="auto"/>
              </w:rPr>
            </w:pPr>
          </w:p>
        </w:tc>
      </w:tr>
      <w:tr>
        <w:trPr>
          <w:trHeight w:val="193"/>
        </w:trPr>
        <w:tc>
          <w:tcPr>
            <w:tcW w:w="23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2,036,559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70,404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2,382,275</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Ending allowance balance allocated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Loans individually evaluated for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8"/>
        </w:trPr>
        <w:tc>
          <w:tcPr>
            <w:tcW w:w="2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impairment</w:t>
            </w:r>
          </w:p>
        </w:tc>
        <w:tc>
          <w:tcPr>
            <w:tcW w:w="10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Loans collectively evaluated for</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23,071</w:t>
            </w:r>
          </w:p>
        </w:tc>
        <w:tc>
          <w:tcPr>
            <w:tcW w:w="0" w:type="dxa"/>
            <w:vAlign w:val="bottom"/>
          </w:tcPr>
          <w:p>
            <w:pPr>
              <w:spacing w:after="0"/>
              <w:rPr>
                <w:sz w:val="1"/>
                <w:szCs w:val="1"/>
                <w:color w:val="auto"/>
              </w:rPr>
            </w:pPr>
          </w:p>
        </w:tc>
      </w:tr>
      <w:tr>
        <w:trPr>
          <w:trHeight w:val="193"/>
        </w:trPr>
        <w:tc>
          <w:tcPr>
            <w:tcW w:w="23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impairment</w:t>
            </w: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23,243</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60" w:type="dxa"/>
            <w:vAlign w:val="bottom"/>
            <w:gridSpan w:val="2"/>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Ending balance individually</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98"/>
        </w:trPr>
        <w:tc>
          <w:tcPr>
            <w:tcW w:w="2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Ending balance collectively</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1,586,110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54,214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28,384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136,774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17,167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1,935,478</w:t>
            </w:r>
          </w:p>
        </w:tc>
        <w:tc>
          <w:tcPr>
            <w:tcW w:w="0" w:type="dxa"/>
            <w:vAlign w:val="bottom"/>
          </w:tcPr>
          <w:p>
            <w:pPr>
              <w:spacing w:after="0"/>
              <w:rPr>
                <w:sz w:val="1"/>
                <w:szCs w:val="1"/>
                <w:color w:val="auto"/>
              </w:rPr>
            </w:pPr>
          </w:p>
        </w:tc>
      </w:tr>
      <w:tr>
        <w:trPr>
          <w:trHeight w:val="193"/>
        </w:trPr>
        <w:tc>
          <w:tcPr>
            <w:tcW w:w="23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1,586,232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54,214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1,936,066</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Ending allowance balance allocated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Loans individually evaluated for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impairment</w:t>
            </w:r>
          </w:p>
        </w:tc>
        <w:tc>
          <w:tcPr>
            <w:tcW w:w="10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Loans collectively evaluated for</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22,153</w:t>
            </w:r>
          </w:p>
        </w:tc>
        <w:tc>
          <w:tcPr>
            <w:tcW w:w="0" w:type="dxa"/>
            <w:vAlign w:val="bottom"/>
          </w:tcPr>
          <w:p>
            <w:pPr>
              <w:spacing w:after="0"/>
              <w:rPr>
                <w:sz w:val="1"/>
                <w:szCs w:val="1"/>
                <w:color w:val="auto"/>
              </w:rPr>
            </w:pPr>
          </w:p>
        </w:tc>
      </w:tr>
      <w:tr>
        <w:trPr>
          <w:trHeight w:val="193"/>
        </w:trPr>
        <w:tc>
          <w:tcPr>
            <w:tcW w:w="23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impairment</w:t>
            </w: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22,153</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60" w:type="dxa"/>
            <w:vAlign w:val="bottom"/>
            <w:gridSpan w:val="2"/>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Ending balance: individually</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98"/>
        </w:trPr>
        <w:tc>
          <w:tcPr>
            <w:tcW w:w="2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Ending balance: collectively</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1,153,470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67,984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26,266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48,888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127,117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120,936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1,589,169</w:t>
            </w:r>
          </w:p>
        </w:tc>
        <w:tc>
          <w:tcPr>
            <w:tcW w:w="0" w:type="dxa"/>
            <w:vAlign w:val="bottom"/>
          </w:tcPr>
          <w:p>
            <w:pPr>
              <w:spacing w:after="0"/>
              <w:rPr>
                <w:sz w:val="1"/>
                <w:szCs w:val="1"/>
                <w:color w:val="auto"/>
              </w:rPr>
            </w:pPr>
          </w:p>
        </w:tc>
      </w:tr>
      <w:tr>
        <w:trPr>
          <w:trHeight w:val="193"/>
        </w:trPr>
        <w:tc>
          <w:tcPr>
            <w:tcW w:w="23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evaluated for impairment</w:t>
            </w: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1,153,600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67,984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1,589,600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Pledged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FHLB line of credit is secured under terms of a collateral agreement by a pledge of certain qualifying loans with unpaid principal balances of $1.3 billion and $941.2 million at June 30, 2022 and December 31, 2021, respectively. In addition, the Company pledges eligible tenants in common loans, which totaled $33.4 million at June 30, 2022 and December 31, 2021, to secure its borrowing capacity with the Federal Reserve Bank of San Francisco. See Note 8, Long Term Debt and Other Borrowings, for further discussion of these borrowings.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and expects to continue to have, banking transactions in the ordinary course of its business with directors, officers, principal shareholders, and their businesses or associates. In accordance with applicable regulations and Bank policies, these loans are granted on substantially the same terms, including interest rates and collateral on loans, as those prevailing at the same time for comparable transactions with persons not related to the Company. Likewise, these transactions do not involve more than the normal risk of collectability or present other unfavorable features. Loan commitments to insiders and affiliates, net of cash collateral, totaled $8.9 million at June 30, 2022 and $9.7 million at December 31,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Interest-Bearing Deposits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deposits consisted of the following as of June 30, 2022 and December 31, 2021: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278,406</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88,536</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912,558</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 $250 or more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77,868</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time accounts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26,404</w:t>
            </w:r>
          </w:p>
        </w:tc>
      </w:tr>
      <w:tr>
        <w:trPr>
          <w:trHeight w:val="22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1,495,245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1,383,772</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deposits totaled $204.0 million and $104.3 million as of June 30, 2022 and December 31, 2021, respectively. As of June 30, 2022, scheduled maturities of time deposits for the next five years were as follows: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Borders>
              <w:top w:val="single" w:sz="8" w:color="auto"/>
            </w:tcBorders>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2022</w:t>
            </w:r>
          </w:p>
        </w:tc>
        <w:tc>
          <w:tcPr>
            <w:tcW w:w="6680" w:type="dxa"/>
            <w:vAlign w:val="bottom"/>
            <w:tcBorders>
              <w:top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188,847</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2023</w:t>
            </w:r>
          </w:p>
        </w:tc>
        <w:tc>
          <w:tcPr>
            <w:tcW w:w="6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2024</w:t>
            </w:r>
          </w:p>
        </w:tc>
        <w:tc>
          <w:tcPr>
            <w:tcW w:w="6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2025</w:t>
            </w:r>
          </w:p>
        </w:tc>
        <w:tc>
          <w:tcPr>
            <w:tcW w:w="6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2026</w:t>
            </w:r>
          </w:p>
        </w:tc>
        <w:tc>
          <w:tcPr>
            <w:tcW w:w="6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5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Total time deposits</w:t>
            </w:r>
          </w:p>
        </w:tc>
        <w:tc>
          <w:tcPr>
            <w:tcW w:w="6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204,006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220" w:type="dxa"/>
            <w:vAlign w:val="bottom"/>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54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40" w:type="dxa"/>
            <w:vAlign w:val="bottom"/>
            <w:tcBorders>
              <w:bottom w:val="single" w:sz="8" w:color="9A9A9A"/>
            </w:tcBorders>
          </w:tcPr>
          <w:p>
            <w:pPr>
              <w:spacing w:after="0"/>
              <w:rPr>
                <w:sz w:val="8"/>
                <w:szCs w:val="8"/>
                <w:color w:val="auto"/>
              </w:rPr>
            </w:pPr>
          </w:p>
        </w:tc>
        <w:tc>
          <w:tcPr>
            <w:tcW w:w="6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 following table shows the composition of network deposits for June 30, 2022 and December 31, 2021. There were no one-way deposits at June 30, 2022 and December 31, 2021. The composition of network deposits as of June 30, 2022 and December 31, 2021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CDARS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22,411</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ICS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307,636</w:t>
            </w:r>
          </w:p>
        </w:tc>
      </w:tr>
      <w:tr>
        <w:trPr>
          <w:trHeight w:val="24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network deposits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330,047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deposits from related parties (directors, executive officers, and principal shareholders) totaled $35.8 million and $32.4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interest-bearing deposits for periods ended June 30, 2022 and 2021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69"/>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24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June 30,</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accounts, $250 or more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time accounts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 on interest-bearing deposits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office space for its banking operations under non-cancelable operating leases of various terms. The leases expire at dates through 2032 and provide for renewal options from zero to five years. In the normal course of business, it is expected that these leases will be renewed or replaced by leases on other properties. One of the leases provides for increases in future minimum annual rental payments based on defined increases in the Consumer Price Index, while the remaining leases include pre-defined rental increases over the term of the 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sublease agreement for space adjacent to the Redding location. The sublease has renewal terms extended to December 31, 2022.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its Sacramento loan production office from a partnership comprised of some of the Company’s shareholders and certain members of its board of directors. The Sacramento loan production office lease extends through April 2023. Additionally, the Company leased its Natomas branch from the same partnership of related parties until July 13, 2021, at which time ownership of the property was transferred to an unrelated third-party landlord. Rent expense paid to the partnership under these leases was insignificant for the three and six months ended June 30, 2022, and $0.1 million for the three and six months ended June 30, 2021.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The Company adopted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 of January 1, 2022, which requires the Company to record an ROUA on the consolidated balance sheets for those leases that convey rights to control use of identified assets for a period of time in exchange for consideration. The Company is also required to record a lease liability on the consolidated balance sheets for the present value of future payment commitments. All of the Company’s leases are comprised of operating leases in which the Company is the lessee of real estate property for branches and operations. The Company elected not to include short-term leases (i.e., leases with initial terms of 12 months or less) within the ROUA and lease liability. Known or determinable adjustments to the required minimum future lease payments were included in the calculation of the Company’s ROUA and lease liability. Adjustments to the required minimum future lease payments that are variable and will not be determinable until a future period, if any, such as changes in the Consumer Price Index, are included as variable lease costs. Additionally, expected variable payments for common area maintenance, taxes, and insurance were unknown and not determinable at lease commencement and, therefore, were not included in the determination of the Company’s ROUA and lease liability.</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value of the ROUA and lease liability is impacted by the amount of the periodic payment required, length of the lease term, and the discount rate used to calculate the present value of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ROUA and lease liability. ASC 842 requires the use of the rate implicit in the lease whenever this rate is readily determinable. As this rate is rarely determinable, the Company utilizes its incremental borrowing rate at lease inception, on a collateralized basis, over a similar term. For operating leases existing prior to January 1, 2022, the rate for the remaining lease term as of January 1, 2022 was used. The lease liability is reduced based on the discounted present value of remaining payments as of each reporting period. The ROUA value is measured using the lease liability as adjusted for prepaid or accrued lease payments and remaining lease incentives, unamortized direct costs, and impairment, if 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lease expense for the three and six months ended June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 ended June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30, 2022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7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adoption of ASU 2016-02, rent expense under operating leases was $0.3 million and $0.5 million during the three and six months ended</w:t>
      </w:r>
    </w:p>
    <w:p>
      <w:pPr>
        <w:spacing w:after="0" w:line="237" w:lineRule="auto"/>
        <w:rPr>
          <w:sz w:val="20"/>
          <w:szCs w:val="20"/>
          <w:color w:val="auto"/>
        </w:rPr>
      </w:pPr>
      <w:r>
        <w:rPr>
          <w:rFonts w:ascii="Times New Roman" w:cs="Times New Roman" w:eastAsia="Times New Roman" w:hAnsi="Times New Roman"/>
          <w:sz w:val="18"/>
          <w:szCs w:val="18"/>
          <w:color w:val="auto"/>
        </w:rPr>
        <w:t>June 30, 2021, respectively. Rent expense was partially offset by rent income of $5.2 thousand and $10.4 thousand during the three and six months ended</w:t>
      </w:r>
    </w:p>
    <w:p>
      <w:pPr>
        <w:spacing w:after="0"/>
        <w:rPr>
          <w:sz w:val="20"/>
          <w:szCs w:val="20"/>
          <w:color w:val="auto"/>
        </w:rPr>
      </w:pPr>
      <w:r>
        <w:rPr>
          <w:rFonts w:ascii="Times New Roman" w:cs="Times New Roman" w:eastAsia="Times New Roman" w:hAnsi="Times New Roman"/>
          <w:sz w:val="18"/>
          <w:szCs w:val="18"/>
          <w:color w:val="auto"/>
        </w:rPr>
        <w:t>June 30, 2021,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 average operating lease term and discount rate at June 30,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June 30, 2022</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 years</w:t>
            </w:r>
          </w:p>
        </w:tc>
      </w:tr>
      <w:tr>
        <w:trPr>
          <w:trHeight w:val="23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future expected operating lease payments under the Company's operating lease agreements as of June 30, 2022: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23"/>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expected operating lease payments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Discount for present value of expected cash flows</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48"/>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at June 30, 2022</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 Term Debt and Other Borrowings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On November 8, 2019, the Company completed a private placement of $3.8 million of fixed-to-floating rate subordinated notes to certain qualified investors. All of the debt was purchased by four existing or former members of the board of directors or their affiliates. The notes were used for general corporate purposes, capital management, and to support future growth. The subordinated notes have a maturity date of September 15, 2027 and bear interest, payable semi-annually, at the rate of 5.50% per annum until September 15, 2022. On that date, the interest rate will be adjusted to float at a rate equal to the three-month LIBOR plus 354.4 basis points (5.54% as of June 30, 2022) until maturity. The notes include a right of prepayment, on or after September 30, 2022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28, 2017, the Company completed a private placement of $25.0 million of fixed-to-floating rate subordinated notes to certain qualified investors, of which $8.0 million is owned by an entity that is controlled by a member of the board of directors and three principal shareholders. The notes were used for general corporate purposes, capital management, and to support future growth. The subordinated notes have a maturity date of September 15, 2027 and bear interest, payable semi-annually, at the rate of 6.00% per annum until September 15, 2022. On that date, the interest rate will be adjusted to float at a rate equal to the three-month LIBOR plus 404.4 basis points (6.04% as of June 30, 2022) until maturity. The notes include a right of prepayment, on or after September 28, 2022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subordinated notes have been structured to qualify as Tier 2 capital for the Company for regulatory capital purposes. Debt issuance costs incurred in conjunction with the notes were $0.6 million, of which $0.3 million has been amortized as of June 30, 2022. The Company reflects debt issuance costs as a direct deduction from the face of the note. The debt issuance costs are amortized into interest expense through the maturity period. At June 30, 2022 and December 31, 2021, the Company’s subordinated debt outstanding was $28.4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xml:space="preserve"> In 2005, and through an amendment in 2014, the Company entered into an agreement with the FHLB which granted the FHLB a blanket lien on all loans receivable (except for construction and agricultural loans) as collateral for a borrowing line. Based on the dollar volume of qualifying loan collateral, the Company had a total financing availability of $885.5 million at June 30, 2022 and $696.3 million at December 31, 2021. At June 30, 2022 and December 31, 2021, the Company had $60.0 million and no outstanding borrowings, respectively. As of June 30, 2022 and December 31, 2021, the Company had letters of credit (“LCs”) issued on its behalf totaling $545.5 million and $420.5 million, respectively, as discussed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and December 31, 2021, LCs totaling $155.5 million and $80.5 million, respectively, were pledged to secure State of California deposits, and LCs totaling $390.0 million and $340.0 million, respectively, were pledged to secure local agency deposits. The LCs issued reduced the Company’s available borrowing capacity to $280.0 million and $275.8 million as of June 30, 2022 and December 31, 2021,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2021, the Company had five unsecured federal funds lines of credit totaling $150.0 million with five of its correspondent banks, respectively. During the six months ended June 30, 2022, the borrowing capacity of one of the Company's existing unsecured federal funds lines of credit was increased by $10.0 million. As a result, at June 30, 2022, the Company had five unsecured federal funds lines of credit totaling $160.0 million with five of its correspondent banks, respectively. There were no amounts outstanding at June 30, 2022 and December 31,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and December 31, 2021, the Company had the ability to borrow from the Federal Reserve Discount Window. At June 30, 2022 and December 31, 2021, the borrowing capacity under this arrangement was $17.6 million and $17.0 million, respectively. There were no amounts outstanding at June 30, 2022 and December 31, 2021. The borrowing line is secured by liens on the Company’s construction and agricultural loan portfolios.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terminated its status as a Subchapter S Corporation as of May 5, 2021, in connection with its IPO and became a taxable C Corporation. Prior to that date, as an S Corporation, the Company had no U.S. federal income tax expense. As such, any periods prior to May 5, 2021 will only reflect a state income tax rate and corresponding tax expense. Pro forma net income is calculated by adding back S Corporation tax to net income and using a combined C Corporation statutory tax rate for federal and state income taxes of 29.56%. For the 2022 periods presented below, the tax rate reflects the actual effective tax rate for the three and six months ended June 30, 2022, as the Company was a C Corporation for the entirety of each period. The following reconciliation table provides a detailed calculation of the pro forma provision for income taxes: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60" w:type="dxa"/>
            <w:vAlign w:val="bottom"/>
          </w:tcPr>
          <w:p>
            <w:pPr>
              <w:spacing w:after="0"/>
              <w:rPr>
                <w:sz w:val="20"/>
                <w:szCs w:val="20"/>
                <w:color w:val="auto"/>
              </w:rPr>
            </w:pPr>
          </w:p>
        </w:tc>
        <w:tc>
          <w:tcPr>
            <w:tcW w:w="27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For the six months ended</w:t>
            </w:r>
          </w:p>
        </w:tc>
      </w:tr>
      <w:tr>
        <w:trPr>
          <w:trHeight w:val="169"/>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June 30,</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provision for income taxes</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21,222</w:t>
            </w:r>
          </w:p>
        </w:tc>
      </w:tr>
      <w:tr>
        <w:trPr>
          <w:trHeight w:val="229"/>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Effective/pro forma tax rate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29.56 %</w:t>
            </w:r>
          </w:p>
        </w:tc>
      </w:tr>
      <w:tr>
        <w:trPr>
          <w:trHeight w:val="248"/>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Actual/pro forma provision for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6,273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income tax for the three and six months ended June 30, 2022 and 2021 differs from the statutory federal rate of 21.00% due to the following items, which relate primarily to the Company’s conversion from an S Corporation to a C Corporation during the second quarter of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40" w:type="dxa"/>
            <w:vAlign w:val="bottom"/>
          </w:tcPr>
          <w:p>
            <w:pPr>
              <w:spacing w:after="0"/>
              <w:rPr>
                <w:sz w:val="20"/>
                <w:szCs w:val="20"/>
                <w:color w:val="auto"/>
              </w:rPr>
            </w:pPr>
          </w:p>
        </w:tc>
        <w:tc>
          <w:tcPr>
            <w:tcW w:w="25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the six months ended</w:t>
            </w:r>
          </w:p>
        </w:tc>
      </w:tr>
      <w:tr>
        <w:trPr>
          <w:trHeight w:val="169"/>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June 30,</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June 30,</w:t>
            </w: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2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 of S Corporation status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30"/>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taxes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29"/>
        </w:trPr>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 Corp conversion federal rate change</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29"/>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asset adjustment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r>
      <w:tr>
        <w:trPr>
          <w:trHeight w:val="230"/>
        </w:trPr>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2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1"/>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Company’s federal and state statutory tax rate, net of federal benefit, of 29.56%, differed from the effective tax rate of 20.77% used for the three and six months ended June 30, 2021 due to the termination of the Company's Subchapter S Corporation status as of May 5, 2021. For the three and six months ended June 30, 2021, the statutory California tax rate of 3.50% and the federal and state statutory rate, net of federal benefit, of 29.56%, were applied to the Company's income based on the number of days the Company was each type of corporation during 2021.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21, 2022, the board of directors declared a $0.15 per common share dividend, totaling $2.6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Incentive Arrangement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stock-based compensation consists of RSAs granted under its historical stock-based incentive arrangement (the “Historical Incentive Plan”) and RSAs issued under the Five Star Bancorp 2021 Equity Incentive Plan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loan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its IPO in May 2021, the Company granted RSAs under the Equity Incentive Plan to employees, officers, executives, and non-employee directors. Shares granted to non-employee directors vested immediately upon grant, while shares granted to employees, officers, and executives vest ratably over three, five, or seven years (as defined in the respective agreements). Since the completion of the IPO, the Company has granted RSAs under the Equity Incentive Plan to executives and directors, which vest annually over three years and monthly over one year, respectively.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stock compensation expense recognized for the three months ended June 30, 2022 and 2021 was $0.3 million and $1.0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stock compensation expense recognized for the six months ended June 30, 2022 and 2021 was $0.6 million and $1.0 million, respectively.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2022 and 2021, respectively, there were 107,824 and 129,551 unvested restricted shares. As of June 30, 2022, there was approximately $2.2 million of unrecognized compensation expense related to the 107,824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The impact of tax benefits for dividends paid on unvested restricted stock on the Company’s consolidated statements of income for the three and six months ended June 30, 2022 and 2021 was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restricted shares for the periods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color w:val="auto"/>
              </w:rPr>
              <w:t>For the three months ended 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For the six months ended 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Pr>
          <w:p>
            <w:pPr>
              <w:spacing w:after="0"/>
              <w:rPr>
                <w:sz w:val="21"/>
                <w:szCs w:val="21"/>
                <w:color w:val="auto"/>
              </w:rPr>
            </w:pPr>
          </w:p>
        </w:tc>
        <w:tc>
          <w:tcPr>
            <w:tcW w:w="222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2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2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w w:val="95"/>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15"/>
                <w:szCs w:val="15"/>
                <w:color w:val="auto"/>
              </w:rPr>
            </w:pPr>
          </w:p>
        </w:tc>
        <w:tc>
          <w:tcPr>
            <w:tcW w:w="106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8"/>
              </w:rPr>
              <w:t>Grant Date</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15"/>
                <w:szCs w:val="15"/>
                <w:color w:val="auto"/>
              </w:rPr>
            </w:pPr>
          </w:p>
        </w:tc>
        <w:tc>
          <w:tcPr>
            <w:tcW w:w="100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Fair Value</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Fair Value</w:t>
            </w: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155"/>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Beginning of the period</w:t>
            </w: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vested</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forfeited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48"/>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the period balance</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107,824</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 Off-Balance Sheet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amounts of unfunded loan commitments and standby letters of credit not reflected in the consolidated balance sheets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137,354</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Undisbursed construction loans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46,584</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Undisbursed commercial real estate loans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47,793</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Agricultural lines of credit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Undisbursed agricultural real estate loans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48"/>
        </w:trPr>
        <w:tc>
          <w:tcPr>
            <w:tcW w:w="81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commitments and standby letters of credit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248,877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loan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loan losses on unfunded commitments totaled $0.1 million as of June 30, 2022 and December 31, 2021, which is recorded in interest payable and other liabilities in the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judgment, a concentration of loans exists in real estate related loans, which represented approximately 92.42% of the Company’s loans held for investment at June 30, 2022 and 89.87% of the Company’s loans held for investment at December 31, 2021.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Deposit concentrations</w:t>
      </w:r>
      <w:r>
        <w:rPr>
          <w:rFonts w:ascii="Times New Roman" w:cs="Times New Roman" w:eastAsia="Times New Roman" w:hAnsi="Times New Roman"/>
          <w:sz w:val="18"/>
          <w:szCs w:val="18"/>
          <w:color w:val="auto"/>
        </w:rPr>
        <w:t>: At June 30, 2022, the Company had 78 deposit relationships that exceeded $5.0 million each, totaling $1.3 billion, or approximately 52.14% of total deposits. The Company’s largest single deposit relationship at June 30, 2022 totaled $175.5 million, or approximately 7.02% of total deposits. Management maintains the Company’s liquidity position and lines of credit with correspondent banks to mitigate the risk of large withdrawals by this group of large depositors.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Correspondent banking agreements</w:t>
      </w:r>
      <w:r>
        <w:rPr>
          <w:rFonts w:ascii="Times New Roman" w:cs="Times New Roman" w:eastAsia="Times New Roman" w:hAnsi="Times New Roman"/>
          <w:sz w:val="18"/>
          <w:szCs w:val="18"/>
          <w:color w:val="auto"/>
        </w:rPr>
        <w:t>: The Company maintains funds on deposit with other FDIC-insured financial institutions under correspondent banking agreements. Uninsured deposits through these agreements totaled $132.0 million and $147.2 million at June 30, 2022 and December 31, 2021,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21, 2022, the board of directors declared a $0.15 per common share dividend, totaling $2.6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Company’s Annual Report on Form 10-K for the year ended December 31, 2021, which was filed with the U.S. Securities and Exchange Commission (“SEC”) on February 25, 2022. Average balances, including balances used in calculating certain financial ratios, are generally comprised of average daily balances.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 entitled “Cautionary Note Regarding Forward-Looking Statements” herein and in the section entitled “Risk Factors” in the Company's Annual Report on Form 10-K for the year ended December 31, 2021. We assume no obligation to update any of these forward-looking statements, except to the extent required by law.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Headquartered in the greater Sacramento metropolitan area of California, Five Star Bancorp is a bank holding company that operates through its wholly owned subsidiary, Five Star Bank, a California state-chartered bank. We provide a broad range of banking products and services to small and medium-sized businesses, professionals, and individuals primarily in Northern California through seven branch offices and one loan production office.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June 30, 2022, we had total assets of $2.8 billion, total loans held for investment, net of allowance for loan losses, of $2.4 billion, and total deposits of $2.5 billion.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 of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Corporation Status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Beginning at our inception, we elected to be taxed for U.S. federal income tax purposes as an S Corporation. In conjunction with our initial public offering (“IPO”), we filed consents from the requisite amount of our shareholders to revoke our S Corporation election with the Internal Revenue Service, resulting in the commencement of our taxation as a C Corporation for U.S. federal and California state income tax purposes in the second quarter of fiscal year 2021. Prior to such revocation, our earnings were not subject to, and we did not pay, U.S. federal income tax, and we were not required to make any provision or recognize any liability for U.S. federal income tax in our consolidated financial statements. While we were not subject to, and did not pay, U.S. federal income tax, we were subject to, and paid, California S Corporation income tax at a current rate of 3.50%. Upon the termination of our status as an S Corporation, we commenced paying U.S. federal income tax and a higher California state income tax on our taxable earnings for each year (including the short year beginning on the date our status as an S Corporation terminated), and our consolidated financial statements reflect a provision for U.S. federal income tax and a higher California state income tax from that date forward. As a result of this change, the net income and earnings per share (“EPS”) data presented in our historical financial statements for periods prior to the termination of our S Corporation status, and the other related financial information set forth in this filing, which (unless otherwise specified) do not include any provision for U.S. federal income tax or the higher California state income tax rate, will not be comparable with our net income and EPS in periods after we commenced being taxed as a C Corporation. As a C Corporation, our net income is calculated by including a provision for U.S. federal income tax and a higher California state income tax rate at a combined statutory rate of 29.56%.</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termination of our status as an S Corporation may also affect our financial condition and cash flows. Historically, we made quarterly cash distributions to our shareholders in amounts estimated by us to be sufficient for them to pay estimated individual U.S. federal and California state income tax liabilities resulting from our taxable income that was “passed through” to them. However, these distributions were not consistent, as sometimes the distributions were less than or in excess of the shareholders’ estimated U.S. federal and California state income tax liabilities resulting from their ownership of our stock. In addition, these estimates were based on individual income tax rates, which may differ from the rates imposed on the income of C Corporations. As a C Corporation, no income is “passed through” to any shareholders, but, as noted above, we commenced paying U.S. federal income tax and a higher California state income tax. However, in the event of an adjustment to our reported taxable income for periods prior to the termination of our S Corporation status, it is possible that our pre-IPO shareholders would be liable for additional income taxes for those prior periods. Pursuant to the Tax Sharing Agreement we entered into with such shareholders,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such shareholders, who accepted distribution of the estimated balance of our federal accumulated adjustments account of $31.9 million under the Tax Sharing Agreement, in an amount equal to such shareholders’ incremental tax liability (including interest and penalties).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The amounts that we have historically distributed to our shareholders may not be indicative of the amount of U.S. federal and California state income tax that we will be required to pay going forward. Depending on our effective tax rate and our future dividend rate, our future cash flows and financial condition could be positively or adversely affected compared to our historical cash flows and financial condition.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deferred tax assets and liabilities will be recognized for the future tax consequences attributable to differences between the financial statement carrying amounts of our existing assets and liabilities and their respective tax bases.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in net income in the three months ended June 30, 2021.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highlights of the financial results table within the section entitled “—Executive Summary” below for the impact of being taxed as a C Corporation on our net income, EPS, and various other financial measures for the three and six months ended June 30, 2022 and 2021.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Company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completion of our IPO, we began to, and will continue to, incur additional costs associated with operating as a public company. These costs include additional personnel, legal, consulting, regulatory, insurance, accounting, investor relations, and other expenses that we did not incur as a private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Sarbanes-Oxley Act, as well as rules adopted by the SEC, the Federal Deposit Insurance Corporation (“FDIC”), and national securities exchanges, require public companies to implement specified corporate governance practices that were inapplicable to us as a private company. These additional rules and regulations have increased, and are expected to continue to increase, our legal, regulatory, and financial compliance costs and will make some activities more time-consuming and costly.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accounting principles generally accepted in the United States of America (“GAAP”) as contained within the Financial Accounting Standards Board’s (“FASB”) Accounting Standards Codification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filed in our Annual Report on Form 10-K as of and for the year ended December 31, 2021, and the notes thereto.</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the Annual Report on Form 10-K for the year ended December 31, 2021. We have identified accounting policies and estimates, discussed below,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There have been no significant changes concerning our critical accounting estimates as described in our Annual Report on Form 10-K.</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for the three and six months ended June 30, 2022 totaled $10.0 million and $19.8 million, respectively, compared to net income of $9.8 million and $20.1 million for the three and six months ended June 30,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highlights of our operating and financial performance for the periods presented:</w:t>
      </w:r>
    </w:p>
    <w:p>
      <w:pPr>
        <w:spacing w:after="0" w:line="221" w:lineRule="exact"/>
        <w:rPr>
          <w:sz w:val="20"/>
          <w:szCs w:val="20"/>
          <w:color w:val="auto"/>
        </w:rPr>
      </w:pPr>
    </w:p>
    <w:p>
      <w:pPr>
        <w:ind w:left="660" w:right="2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were $2.8 billion at June 30, 2022, representing a $279.3 million, or 10.92%, increase compared to $2.6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The primary drivers of this increase are discussed below.</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Total loans held for investment were $2.4 billion at June 30, 2022, compared to $1.9 billion at December 31, 2021, an increase of $446.1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23.06%. The increase was primarily attributable to a $450.3 million net increase in commercial real estate loans and a $16.2 million net increase in commercial construction loans, partially offset by a $22.1 million net decrease in Paycheck Protection Program (“PPP”) loans.</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PPP Loans. </w:t>
      </w:r>
      <w:r>
        <w:rPr>
          <w:rFonts w:ascii="Times New Roman" w:cs="Times New Roman" w:eastAsia="Times New Roman" w:hAnsi="Times New Roman"/>
          <w:sz w:val="18"/>
          <w:szCs w:val="18"/>
          <w:color w:val="auto"/>
        </w:rPr>
        <w:t>All PPP loans had been forgiven, paid off by the borrower, or charged off as of June 30, 2022.</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Coronavirus Disease ("COVID-19") Deferments. </w:t>
      </w:r>
      <w:r>
        <w:rPr>
          <w:rFonts w:ascii="Times New Roman" w:cs="Times New Roman" w:eastAsia="Times New Roman" w:hAnsi="Times New Roman"/>
          <w:sz w:val="18"/>
          <w:szCs w:val="18"/>
          <w:color w:val="auto"/>
        </w:rPr>
        <w:t>As of June 30, 2022, two borrowing relationships with two loans totaling $0.1 million were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COVID-19 deferment. All but one of the loans that ended COVID-19 deferments during the quarter ended June 30, 2022 have returned to their pre-COVID-19 contractual payment structures with no risk rating downgrades to classified, nor any troubled debt restructuring ("TDR"). Of the loans that ended COVID-19 deferments in the quarter ended June 30, 2022, one is non-accrual and returned to its pre-COVID-19 risk rating of classified as of June 30, 2022. We anticipate that the remaining loans on COVID-19 deferment will return to their pre-COVID-19 contractual payment statuses after their COVID-19 deferments end.</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Non-accrual Loans. </w:t>
      </w:r>
      <w:r>
        <w:rPr>
          <w:rFonts w:ascii="Times New Roman" w:cs="Times New Roman" w:eastAsia="Times New Roman" w:hAnsi="Times New Roman"/>
          <w:sz w:val="18"/>
          <w:szCs w:val="18"/>
          <w:color w:val="auto"/>
        </w:rPr>
        <w:t>Credit quality remains strong, with non-accrual loans representing $0.4 million, or 0.02% of total loans held for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June 30, 2022, compared to $0.6 million, or 0.03% of total loans held for investment, at December 31, 2021. The ratio of allowance for loan losses to total loans held for investment, or total loans at period end, was 1.08% at June 30, 2022 and 1.20% at December 31, 2021.</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Return on Average Assets (“ROAA”) and Return on Average Equity (“ROAE”). </w:t>
      </w:r>
      <w:r>
        <w:rPr>
          <w:rFonts w:ascii="Times New Roman" w:cs="Times New Roman" w:eastAsia="Times New Roman" w:hAnsi="Times New Roman"/>
          <w:sz w:val="18"/>
          <w:szCs w:val="18"/>
          <w:color w:val="auto"/>
        </w:rPr>
        <w:t>ROAA and ROAE were 1.45% and 17.20%, respectively,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June 30, 2022, as compared to ROAA of 1.75% and ROAE of 24.25% for the three months ended June 30, 2021. Pro forma ROAA and ROAE for the three months ended June 30, 2022 were equal to actual ROAA and ROAE of 1.45% and 17.20%, respectively, as compared to pro forma ROAA of 1.33% and pro forma ROAE of 18.36% for the three months ended June 30, 2021. ROAA and ROAE were 1.49% and 17.07%, respectively, for the six months ended June 30, 2022, as compared to ROAA of 1.89% and ROAE of 27.78% for the six months ended June 30, 2021. Pro forma ROAA and ROAE for the six months ended June 30, 2022 were equal to actual ROAA and ROAE of 1.49% and 17.07%, respectively, as compared to pro forma ROAA of 1.41% and pro forma ROAE of 20.66% for the six months ended June 30, 2021.</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Interest Margin. </w:t>
      </w:r>
      <w:r>
        <w:rPr>
          <w:rFonts w:ascii="Times New Roman" w:cs="Times New Roman" w:eastAsia="Times New Roman" w:hAnsi="Times New Roman"/>
          <w:sz w:val="18"/>
          <w:szCs w:val="18"/>
          <w:color w:val="auto"/>
        </w:rPr>
        <w:t>Net interest margin was 3.70% and 3.65% for the three and six months ended June 30, 2022, respectively, and 3.48%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3.65% for the three and six months ended June 30, 2021, respectively. The increase in net interest margin for the three months ended June 30, 2022 compared to the three months ended June 30, 2021 was primarily attributable to increases in yields on interest-earning deposits with banks and investment securities, partially offset by decreases in average loan yields.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Efficiency Ratio. </w:t>
      </w:r>
      <w:r>
        <w:rPr>
          <w:rFonts w:ascii="Times New Roman" w:cs="Times New Roman" w:eastAsia="Times New Roman" w:hAnsi="Times New Roman"/>
          <w:sz w:val="18"/>
          <w:szCs w:val="18"/>
          <w:color w:val="auto"/>
        </w:rPr>
        <w:t>Efficiency ratio was 38.53% for the three months ended June 30, 2022, down from 47.56% for the corresponding period of</w:t>
      </w:r>
    </w:p>
    <w:p>
      <w:pPr>
        <w:spacing w:after="0" w:line="31" w:lineRule="exact"/>
        <w:rPr>
          <w:rFonts w:ascii="Times New Roman" w:cs="Times New Roman" w:eastAsia="Times New Roman" w:hAnsi="Times New Roman"/>
          <w:sz w:val="18"/>
          <w:szCs w:val="18"/>
          <w:color w:val="auto"/>
        </w:rPr>
      </w:pPr>
    </w:p>
    <w:p>
      <w:pPr>
        <w:ind w:left="66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Additionally, efficiency ratio was 39.14% for the six months ended June 30, 2022, down from 46.18% for the corresponding period of 2021. The decreases were primarily attributable to increases in net interest income period-over-period.</w:t>
      </w:r>
    </w:p>
    <w:p>
      <w:pPr>
        <w:spacing w:after="0" w:line="177"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Total deposits increased by $215.4 million from $2.3 billion at December 31, 2021 to $2.5 billion at June 30, 2022. Deposit increases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primarily attributable to an increase in the number of new deposit relationships, as well as normal fluctuations in some of our large existing accounts. Non-interest-bearing deposits increased by $103.9 million in the first six months of 2022 to $1.0 billion, and represented 40.22% of total deposits at June 30, 2022, compared to 39.46% of total deposits at December 31, 2021. Our loan to deposit ratio was 95.69% at June 30, 2022, compared to 85.09% at December 31, 2021.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 Ratios</w:t>
      </w:r>
      <w:r>
        <w:rPr>
          <w:rFonts w:ascii="Times New Roman" w:cs="Times New Roman" w:eastAsia="Times New Roman" w:hAnsi="Times New Roman"/>
          <w:sz w:val="18"/>
          <w:szCs w:val="18"/>
          <w:color w:val="auto"/>
        </w:rPr>
        <w:t>. All capital ratios were above well-capitalized regulatory thresholds as of June 30, 2022. The total risk-based capital ratio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was 11.77% at June 30, 2022, compared to 13.98% at December 31, 2021. The Tier 1 leverage ratio was 8.81% at June 30, 2022, compared to 9.47% at December 31, 2021. For additional information about the regulatory capital requirements applicable to the Company and the Bank, see the section entitled “—Financial Condition Summary—Capital Adequacy” below.</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board of directors declared a cash dividend of $0.15 per share on April 21,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Highlights of the financial results are presented in the following tables: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Pr>
          <w:p>
            <w:pPr>
              <w:spacing w:after="0"/>
              <w:rPr>
                <w:sz w:val="24"/>
                <w:szCs w:val="24"/>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4"/>
                <w:szCs w:val="24"/>
                <w:color w:val="auto"/>
              </w:rPr>
            </w:pPr>
          </w:p>
        </w:tc>
        <w:tc>
          <w:tcPr>
            <w:tcW w:w="16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financial condition data:</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2,836,071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2,556,761</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2,380,511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1,934,460</w:t>
            </w:r>
          </w:p>
        </w:tc>
        <w:tc>
          <w:tcPr>
            <w:tcW w:w="0" w:type="dxa"/>
            <w:vAlign w:val="bottom"/>
          </w:tcPr>
          <w:p>
            <w:pPr>
              <w:spacing w:after="0"/>
              <w:rPr>
                <w:sz w:val="1"/>
                <w:szCs w:val="1"/>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3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2,501,311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2,285,890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subordinated notes, net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28,386</w:t>
            </w:r>
          </w:p>
        </w:tc>
        <w:tc>
          <w:tcPr>
            <w:tcW w:w="0" w:type="dxa"/>
            <w:vAlign w:val="bottom"/>
          </w:tcPr>
          <w:p>
            <w:pPr>
              <w:spacing w:after="0"/>
              <w:rPr>
                <w:sz w:val="1"/>
                <w:szCs w:val="1"/>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235,046</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loan losses to total loans held for investment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Allowance for loan losses to total loans held for investment, excluding PPP loans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loan losses to non-accrual loans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5,834.88 %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3,954.30 %</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Non-accrual loans to total loans held for investment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13.98 %</w:t>
            </w:r>
          </w:p>
        </w:tc>
        <w:tc>
          <w:tcPr>
            <w:tcW w:w="0" w:type="dxa"/>
            <w:vAlign w:val="bottom"/>
          </w:tcPr>
          <w:p>
            <w:pPr>
              <w:spacing w:after="0"/>
              <w:rPr>
                <w:sz w:val="1"/>
                <w:szCs w:val="1"/>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11.44 %</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11.44 %</w:t>
            </w:r>
          </w:p>
        </w:tc>
        <w:tc>
          <w:tcPr>
            <w:tcW w:w="0" w:type="dxa"/>
            <w:vAlign w:val="bottom"/>
          </w:tcPr>
          <w:p>
            <w:pPr>
              <w:spacing w:after="0"/>
              <w:rPr>
                <w:sz w:val="1"/>
                <w:szCs w:val="1"/>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Tier 1 leverage</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9.47 %</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 to total assets ratio</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0" w:type="dxa"/>
            <w:vAlign w:val="bottom"/>
          </w:tcPr>
          <w:p>
            <w:pPr>
              <w:spacing w:after="0"/>
              <w:rPr>
                <w:sz w:val="1"/>
                <w:szCs w:val="1"/>
                <w:color w:val="auto"/>
              </w:rPr>
            </w:pPr>
          </w:p>
        </w:tc>
      </w:tr>
      <w:tr>
        <w:trPr>
          <w:trHeight w:val="306"/>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Tangible shareholders’ equity to tangible assets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0" w:type="dxa"/>
            <w:vAlign w:val="bottom"/>
          </w:tcPr>
          <w:p>
            <w:pPr>
              <w:spacing w:after="0"/>
              <w:rPr>
                <w:sz w:val="1"/>
                <w:szCs w:val="1"/>
                <w:color w:val="auto"/>
              </w:rPr>
            </w:pPr>
          </w:p>
        </w:tc>
      </w:tr>
      <w:tr>
        <w:trPr>
          <w:trHeight w:val="828"/>
        </w:trPr>
        <w:tc>
          <w:tcPr>
            <w:tcW w:w="76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24"/>
                <w:szCs w:val="24"/>
                <w:color w:val="auto"/>
              </w:rPr>
            </w:pPr>
          </w:p>
        </w:tc>
        <w:tc>
          <w:tcPr>
            <w:tcW w:w="30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23"/>
        </w:trPr>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23"/>
        </w:trPr>
        <w:tc>
          <w:tcPr>
            <w:tcW w:w="46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30"/>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18,296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46,353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36,344</w:t>
            </w:r>
          </w:p>
        </w:tc>
      </w:tr>
      <w:tr>
        <w:trPr>
          <w:trHeight w:val="229"/>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Non-interest income</w:t>
            </w:r>
          </w:p>
        </w:tc>
        <w:tc>
          <w:tcPr>
            <w:tcW w:w="1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3,462</w:t>
            </w:r>
          </w:p>
        </w:tc>
      </w:tr>
      <w:tr>
        <w:trPr>
          <w:trHeight w:val="230"/>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18,384</w:t>
            </w:r>
          </w:p>
        </w:tc>
      </w:tr>
      <w:tr>
        <w:trPr>
          <w:trHeight w:val="229"/>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20,106</w:t>
            </w:r>
          </w:p>
        </w:tc>
      </w:tr>
      <w:tr>
        <w:trPr>
          <w:trHeight w:val="229"/>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7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4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pro forma operating data:</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740" w:type="dxa"/>
            <w:vAlign w:val="bottom"/>
            <w:gridSpan w:val="3"/>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Pro forma net income</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14,949</w:t>
            </w:r>
          </w:p>
        </w:tc>
      </w:tr>
      <w:tr>
        <w:trPr>
          <w:trHeight w:val="229"/>
        </w:trPr>
        <w:tc>
          <w:tcPr>
            <w:tcW w:w="4740" w:type="dxa"/>
            <w:vAlign w:val="bottom"/>
            <w:gridSpan w:val="3"/>
          </w:tcPr>
          <w:p>
            <w:pPr>
              <w:ind w:left="180"/>
              <w:spacing w:after="0" w:line="230" w:lineRule="exact"/>
              <w:rPr>
                <w:sz w:val="20"/>
                <w:szCs w:val="20"/>
                <w:color w:val="auto"/>
              </w:rPr>
            </w:pPr>
            <w:r>
              <w:rPr>
                <w:rFonts w:ascii="Times New Roman" w:cs="Times New Roman" w:eastAsia="Times New Roman" w:hAnsi="Times New Roman"/>
                <w:sz w:val="18"/>
                <w:szCs w:val="18"/>
                <w:color w:val="auto"/>
              </w:rPr>
              <w:t>Pro forma provision for income taxes</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6,273</w:t>
            </w:r>
          </w:p>
        </w:tc>
      </w:tr>
      <w:tr>
        <w:trPr>
          <w:trHeight w:val="230"/>
        </w:trPr>
        <w:tc>
          <w:tcPr>
            <w:tcW w:w="4740" w:type="dxa"/>
            <w:vAlign w:val="bottom"/>
            <w:gridSpan w:val="3"/>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Pro forma net income per common share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7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4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and other financial ratios: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ROAA</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30"/>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ROAE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27.78 %</w:t>
            </w:r>
          </w:p>
        </w:tc>
      </w:tr>
      <w:tr>
        <w:trPr>
          <w:trHeight w:val="229"/>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margin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r>
      <w:tr>
        <w:trPr>
          <w:trHeight w:val="229"/>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of funds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r>
      <w:tr>
        <w:trPr>
          <w:trHeight w:val="230"/>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Efficiency ratio</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46.18 %</w:t>
            </w:r>
          </w:p>
        </w:tc>
      </w:tr>
      <w:tr>
        <w:trPr>
          <w:trHeight w:val="229"/>
        </w:trPr>
        <w:tc>
          <w:tcPr>
            <w:tcW w:w="4740" w:type="dxa"/>
            <w:vAlign w:val="bottom"/>
            <w:gridSpan w:val="3"/>
          </w:tcPr>
          <w:p>
            <w:pPr>
              <w:ind w:left="180"/>
              <w:spacing w:after="0" w:line="230" w:lineRule="exact"/>
              <w:rPr>
                <w:sz w:val="20"/>
                <w:szCs w:val="20"/>
                <w:color w:val="auto"/>
              </w:rPr>
            </w:pPr>
            <w:r>
              <w:rPr>
                <w:rFonts w:ascii="Times New Roman" w:cs="Times New Roman" w:eastAsia="Times New Roman" w:hAnsi="Times New Roman"/>
                <w:sz w:val="18"/>
                <w:szCs w:val="18"/>
                <w:color w:val="auto"/>
              </w:rPr>
              <w:t>Cash dividend payout ratio on common stock</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271.08 %</w:t>
            </w:r>
          </w:p>
        </w:tc>
      </w:tr>
      <w:tr>
        <w:trPr>
          <w:trHeight w:val="230"/>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pro forma ratios: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740" w:type="dxa"/>
            <w:vAlign w:val="bottom"/>
            <w:gridSpan w:val="3"/>
          </w:tcPr>
          <w:p>
            <w:pPr>
              <w:ind w:left="180"/>
              <w:spacing w:after="0" w:line="230" w:lineRule="exact"/>
              <w:rPr>
                <w:sz w:val="20"/>
                <w:szCs w:val="20"/>
                <w:color w:val="auto"/>
              </w:rPr>
            </w:pPr>
            <w:r>
              <w:rPr>
                <w:rFonts w:ascii="Times New Roman" w:cs="Times New Roman" w:eastAsia="Times New Roman" w:hAnsi="Times New Roman"/>
                <w:sz w:val="18"/>
                <w:szCs w:val="18"/>
                <w:color w:val="auto"/>
              </w:rPr>
              <w:t>Pro forma ROAA</w:t>
            </w:r>
            <w:r>
              <w:rPr>
                <w:rFonts w:ascii="Times New Roman" w:cs="Times New Roman" w:eastAsia="Times New Roman" w:hAnsi="Times New Roman"/>
                <w:sz w:val="23"/>
                <w:szCs w:val="23"/>
                <w:color w:val="auto"/>
                <w:vertAlign w:val="superscript"/>
              </w:rPr>
              <w:t>3,5</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30"/>
        </w:trPr>
        <w:tc>
          <w:tcPr>
            <w:tcW w:w="4740" w:type="dxa"/>
            <w:vAlign w:val="bottom"/>
            <w:gridSpan w:val="3"/>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Pro forma ROAE</w:t>
            </w:r>
            <w:r>
              <w:rPr>
                <w:rFonts w:ascii="Times New Roman" w:cs="Times New Roman" w:eastAsia="Times New Roman" w:hAnsi="Times New Roman"/>
                <w:sz w:val="23"/>
                <w:szCs w:val="23"/>
                <w:color w:val="auto"/>
                <w:vertAlign w:val="superscript"/>
              </w:rPr>
              <w:t>3,5</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20.66 %</w:t>
            </w:r>
          </w:p>
        </w:tc>
      </w:tr>
    </w:tbl>
    <w:p>
      <w:pPr>
        <w:spacing w:after="0" w:line="297" w:lineRule="exact"/>
        <w:rPr>
          <w:sz w:val="20"/>
          <w:szCs w:val="20"/>
          <w:color w:val="auto"/>
        </w:rPr>
      </w:pPr>
    </w:p>
    <w:p>
      <w:pPr>
        <w:jc w:val="both"/>
        <w:ind w:left="340" w:hanging="332"/>
        <w:spacing w:after="0" w:line="239" w:lineRule="auto"/>
        <w:tabs>
          <w:tab w:leader="none" w:pos="339"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allowance for loan losses to total loans held for investment, excluding PPP loans, is considered a non-GAAP financial measure. See the section entitled “Non-GAAP Financial Measures” for a reconciliation of our non-GAAP financial measures to the most directly comparable GAAP financial measure. Allowance for loan losses to total loans held for investment, excluding PPP loans, is defined as allowance for loan losses, divided by total loans held for investment less PPP loans. The most directly comparable GAAP financial measure is allowance for loan losses to total loans held for investment.</w:t>
      </w:r>
    </w:p>
    <w:p>
      <w:pPr>
        <w:spacing w:after="0" w:line="195" w:lineRule="exact"/>
        <w:rPr>
          <w:sz w:val="20"/>
          <w:szCs w:val="20"/>
          <w:color w:val="auto"/>
        </w:rPr>
      </w:pPr>
    </w:p>
    <w:p>
      <w:pPr>
        <w:jc w:val="both"/>
        <w:ind w:left="340" w:hanging="332"/>
        <w:spacing w:after="0" w:line="244" w:lineRule="auto"/>
        <w:tabs>
          <w:tab w:leader="none" w:pos="339"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Tangible shareholders’ equity to tangible assets is considered to be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as of any of the dates indicated. As a result, tangible shareholders’ equity to tangible assets is the same as total shareholders’ equity to total assets at the end of each of the periods indicated.</w:t>
      </w:r>
    </w:p>
    <w:p>
      <w:pPr>
        <w:spacing w:after="0" w:line="194" w:lineRule="exact"/>
        <w:rPr>
          <w:sz w:val="20"/>
          <w:szCs w:val="20"/>
          <w:color w:val="auto"/>
        </w:rPr>
      </w:pPr>
    </w:p>
    <w:p>
      <w:pPr>
        <w:jc w:val="both"/>
        <w:ind w:left="340" w:hanging="332"/>
        <w:spacing w:after="0" w:line="244" w:lineRule="auto"/>
        <w:tabs>
          <w:tab w:leader="none" w:pos="33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six months ended June 30, 2021, we calculate our pro forma net income, provision for income taxes, net income per common share, ROAA, and ROAE by adding back our S Corporation tax to net income and applying a combined C Corporation effective tax rate for U.S. federal and California state income taxes of 29.56%. This calculation reflects only the change in our status as an S Corporation and does not give effect to any other transaction. For the three and six months ended June 30, 2022, our pro forma provision for income tax expense is the same as our actual C Corporation provision, given that the Company was taxed as a C Corporation for the entirety of the three- and six-month periods, and thus pro forma calculations for the three and six months ended June 30, 2022 are equal to actuals.</w:t>
      </w:r>
    </w:p>
    <w:p>
      <w:pPr>
        <w:spacing w:after="0" w:line="163"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dividend payout ratio on common stock is calculated as dividends on common shares divided by basic net income per common share.</w:t>
      </w:r>
    </w:p>
    <w:p>
      <w:pPr>
        <w:spacing w:after="0" w:line="18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Pro forma ROAA and ROAE are calculated using pro forma net income balances, with no adjustments to average assets and average equity balances</w:t>
      </w:r>
      <w:r>
        <w:rPr>
          <w:rFonts w:ascii="Arial" w:cs="Arial" w:eastAsia="Arial" w:hAnsi="Arial"/>
          <w:sz w:val="16"/>
          <w:szCs w:val="16"/>
          <w:color w:val="auto"/>
        </w:rPr>
        <w:t>.</w:t>
      </w:r>
    </w:p>
    <w:p>
      <w:pPr>
        <w:spacing w:after="0" w:line="200" w:lineRule="exact"/>
        <w:rPr>
          <w:rFonts w:ascii="Times New Roman" w:cs="Times New Roman" w:eastAsia="Times New Roman" w:hAnsi="Times New Roman"/>
          <w:sz w:val="21"/>
          <w:szCs w:val="21"/>
          <w:color w:val="auto"/>
          <w:vertAlign w:val="superscript"/>
        </w:rPr>
      </w:pPr>
    </w:p>
    <w:p>
      <w:pPr>
        <w:spacing w:after="0" w:line="377"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of our results of operations compares the three and six months ended June 30, 2022 to the three and six months ended June 30, 2021. The results of operations for the three and six months ended June 30, 2022 are not necessarily indicative of the results of operations that may be expected for the year ending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Federal Home Loan Bank of San Francisco ("FHLB") advances,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June 30, 2022 compared to three months ended June 30, 2021</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interest income increased by $6.2 million, or 33.86%, to $24.5 million for the three months ended June 30, 2022 from $18.3 million for the three months ended June 30, 2021. Our net interest margin of 3.70% for the three months ended June 30, 2022 increased from 3.48% for the three months ended June 30, 2021, primarily due to an increase in average yields on interest-earning deposits with banks and investment securities. Yields on interest-earning deposits with banks increased due to three Federal Reserve rate increases totaling 1.50% that occurred between June 30, 2021 and June 30, 2022. Additionally, yields on investment securities increased as a result of the Federal Reserve rate hikes discussed above, as U.S. government agencies are indexed to the prime rate, which resets quarterly and changes commensurate with changes that occur to Federal Reserve rates. These increases were partially offset by a decrease in average loan yields, which decreased from 4.73% for the three months ended June 30, 2021 to 4.47% for the three months ended June 30, 2022. This decrease was primarily due to changes in the macroeconomic environment, which caused a majority of the Company’s fixed-rate loans to recognize lower yields in the current quarter than those recognized in the same quarter of 2021. The rates associated with the index utilized for a significant portion of the Company’s variable rate loans, the United States 5 Year Treasury index, were higher during the three months ended June 30, 2022, as compared to the three months ended June 30, 2021, but a majority of these loans were not scheduled to reprice during the three months ended June 30, 2022, which also contributed to the downward trend in average loan yields. New loan originations drove increases in the average daily balance of loans from the three months ended June 30, 2021 to the three months ended June 30, 2022, which partially offset the aforementioned declining average loan yields.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The following table presents average balance sheet information, interest income,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corresponding average yield earned and rates paid for each period reported. The average balances are daily averages and include both performing and nonperforming loans.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1"/>
        </w:trPr>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5"/>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Yield/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Yield/</w:t>
            </w:r>
          </w:p>
        </w:tc>
        <w:tc>
          <w:tcPr>
            <w:tcW w:w="0" w:type="dxa"/>
            <w:vAlign w:val="bottom"/>
          </w:tcPr>
          <w:p>
            <w:pPr>
              <w:spacing w:after="0"/>
              <w:rPr>
                <w:sz w:val="1"/>
                <w:szCs w:val="1"/>
                <w:color w:val="auto"/>
              </w:rPr>
            </w:pPr>
          </w:p>
        </w:tc>
      </w:tr>
      <w:tr>
        <w:trPr>
          <w:trHeight w:val="243"/>
        </w:trPr>
        <w:tc>
          <w:tcPr>
            <w:tcW w:w="3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Interest-earning deposits with banks</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294,491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0.71 %</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2,227,215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1,578,438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0" w:type="dxa"/>
            <w:vAlign w:val="bottom"/>
          </w:tcPr>
          <w:p>
            <w:pPr>
              <w:spacing w:after="0"/>
              <w:rPr>
                <w:sz w:val="1"/>
                <w:szCs w:val="1"/>
                <w:color w:val="auto"/>
              </w:rPr>
            </w:pPr>
          </w:p>
        </w:tc>
      </w:tr>
      <w:tr>
        <w:trPr>
          <w:trHeight w:val="223"/>
        </w:trPr>
        <w:tc>
          <w:tcPr>
            <w:tcW w:w="38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2,654,681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2,106,252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receivable and other assets, net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140,757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2,753,653</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2,247,009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255,665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Savings accounts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981,366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949,448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0" w:type="dxa"/>
            <w:vAlign w:val="bottom"/>
          </w:tcPr>
          <w:p>
            <w:pPr>
              <w:spacing w:after="0"/>
              <w:rPr>
                <w:sz w:val="1"/>
                <w:szCs w:val="1"/>
                <w:color w:val="auto"/>
              </w:rPr>
            </w:pPr>
          </w:p>
        </w:tc>
      </w:tr>
      <w:tr>
        <w:trPr>
          <w:trHeight w:val="229"/>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Time accounts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174,991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Subordinated debt and other borrowings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29,618</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Demand accounts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969,053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827,992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232,156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2,753,653</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2,247,009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7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4</w:t>
            </w: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860" w:type="dxa"/>
            <w:vAlign w:val="bottom"/>
            <w:tcBorders>
              <w:top w:val="single" w:sz="8" w:color="CCEEFF"/>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3.54 %</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860" w:type="dxa"/>
            <w:vAlign w:val="bottom"/>
            <w:tcBorders>
              <w:top w:val="single" w:sz="8" w:color="CCEEFF"/>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24,491</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jc w:val="both"/>
        <w:ind w:left="340" w:hanging="332"/>
        <w:spacing w:after="0" w:line="235" w:lineRule="auto"/>
        <w:tabs>
          <w:tab w:leader="none" w:pos="331"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amortized cost balances rather than fair value, as changes in fair value are reflected as a component of shareholders’ equity. Investment security interest is earned on 30/360 day basis monthly. Yields are not calculated on a tax-equivalent basis.</w:t>
      </w:r>
    </w:p>
    <w:p>
      <w:pPr>
        <w:spacing w:after="0" w:line="200" w:lineRule="exact"/>
        <w:rPr>
          <w:sz w:val="20"/>
          <w:szCs w:val="20"/>
          <w:color w:val="auto"/>
        </w:rPr>
      </w:pPr>
    </w:p>
    <w:p>
      <w:pPr>
        <w:jc w:val="both"/>
        <w:ind w:left="340" w:hanging="332"/>
        <w:spacing w:after="0" w:line="235" w:lineRule="auto"/>
        <w:tabs>
          <w:tab w:leader="none" w:pos="331"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ectPr>
          <w:pgSz w:w="11900" w:h="16838" w:orient="portrait"/>
          <w:cols w:equalWidth="0" w:num="1">
            <w:col w:w="11240"/>
          </w:cols>
          <w:pgMar w:left="320" w:top="121" w:right="3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60" w:lineRule="exact"/>
        <w:rPr>
          <w:sz w:val="20"/>
          <w:szCs w:val="20"/>
          <w:color w:val="auto"/>
        </w:rPr>
      </w:pPr>
    </w:p>
    <w:p>
      <w:pPr>
        <w:sectPr>
          <w:pgSz w:w="11900" w:h="16838" w:orient="portrait"/>
          <w:cols w:equalWidth="0" w:num="2">
            <w:col w:w="60" w:space="260"/>
            <w:col w:w="10920"/>
          </w:cols>
          <w:pgMar w:left="320" w:top="121"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multiplying the change in average yield/rate by the previous period’s volume. Changes not solely attributable to volume or yields/rates have been allocated in proportion to the respective volume and yield/rate components.</w:t>
      </w:r>
    </w:p>
    <w:p>
      <w:pPr>
        <w:spacing w:after="0" w:line="19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ind w:left="7900"/>
        <w:spacing w:after="0" w:line="219" w:lineRule="auto"/>
        <w:rPr>
          <w:sz w:val="20"/>
          <w:szCs w:val="20"/>
          <w:color w:val="auto"/>
        </w:rPr>
      </w:pPr>
      <w:r>
        <w:rPr>
          <w:rFonts w:ascii="Times New Roman" w:cs="Times New Roman" w:eastAsia="Times New Roman" w:hAnsi="Times New Roman"/>
          <w:sz w:val="18"/>
          <w:szCs w:val="18"/>
          <w:b w:val="1"/>
          <w:bCs w:val="1"/>
          <w:color w:val="auto"/>
        </w:rPr>
        <w:t>June 30, 2022 compared to</w:t>
      </w:r>
    </w:p>
    <w:p>
      <w:pPr>
        <w:ind w:left="7480"/>
        <w:spacing w:after="0"/>
        <w:rPr>
          <w:sz w:val="20"/>
          <w:szCs w:val="20"/>
          <w:color w:val="auto"/>
        </w:rPr>
      </w:pPr>
      <w:r>
        <w:rPr>
          <w:rFonts w:ascii="Times New Roman" w:cs="Times New Roman" w:eastAsia="Times New Roman" w:hAnsi="Times New Roman"/>
          <w:sz w:val="18"/>
          <w:szCs w:val="18"/>
          <w:b w:val="1"/>
          <w:bCs w:val="1"/>
          <w:color w:val="auto"/>
        </w:rPr>
        <w:t>the 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4445</wp:posOffset>
            </wp:positionV>
            <wp:extent cx="29489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Interest-earning deposits with banks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r>
      <w:tr>
        <w:trPr>
          <w:trHeight w:val="25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 and other borrowings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82"/>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interest income increased by $6.7 million, or 34.46%, to $26.0 million for the three months ended June 30, 2022 from $19.3 million for the corresponding period of 2021. For the three months ended June 30, 2022, interest income from loans increased by $6.2 million to $24.8 million, as the average daily balance of loans increased by $648.8 million, or 41.10%, compared to the same period of 2021. This increase in interest income from greater average loan balances was partially offset by a 26 basis point decrease in loan yield to 4.47% for the three months ended June 30, 2022 as compared to the same period of 2021, as discussed above. Additionally, $24.0 thousand of income from forgiven PPP loans was recognized in the three months ended June 30, 2022, compared to $1.4 million during the same period of 2021. Excluding PPP loans, average loans held for investment and sale increased by $806.9 million to $2.2 billion, and the related yield declined by 29 basis points for the three months ended June 30, 2022 from the corresponding period of 2021. Average loans held for investment and sale, excluding PPP loans, and average loan yield, excluding PPP loans, are considered to be non-GAAP financial measures. See the section entitled “Non-GAAP Financial Measures” for a reconciliation of our non-GAAP financial measures to the most directly comparable GAAP financial measure.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interest expense increased by $0.5 million to $1.5 million for the three months ended June 30, 2022 from $1.0 million for the same period of 2021. Interest expense on customer deposits increased by $0.5 million to $1.0 million for the three months ended June 30, 2022 from $0.6 million for the same period of 2021. This increase is due to the cost of interest-bearing liabilities increasing by 5 basis points to 0.38% for the three months ended June 30, 2022 from 0.33% for the same period of 2021, reflecting increases in the rates offered on savings, money market, and maturing deposit products during the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Six months ended June 30, 2022 compared to six months ended June 30, 2021</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interest income increased by $10.0 million, or 27.54%, to $46.4 million for the six months ended June 30, 2022 from $36.3 million for the six months ended June 30, 2021. Our net interest margin of 3.65% for the six months ended June 30, 2022 remained constant with our net interest margin of 3.65% for the six months ended June 30, 2021, primarily due to a decrease in average loan yields, offset by increases in average yields on interest-earning deposits with banks and investment securities. Yields on interest-earning deposits with banks increased due to three Federal Reserve rate increases totaling 1.50% that occurred between June 30, 2021 and June 30, 2022. Additionally, yields on investment securities increased as a result of the Federal Reserve rate hikes discussed above, as U.S. government agencies are indexed to the prime rate, which resets quarterly and changes commensurate with changes that occur to Federal Reserve rates. Average loan yields decreased from 4.84% for the six months ended June 30, 2021 to 4.50% for the six months ended June 30, 2022. This decrease was primarily due to changes in the macroeconomic environment, which caused a majority of the Company’s fixed-rate loans to recognize lower yields in the first half of 2022 than those recognized in the first half of 2021. The rates associated with the index utilized for a significant portion of the Company’s variable rate loans, the United States 5 Year Treasury index, were higher during the six months ended June 30, 2022, as compared to the six months ended June 30, 2021, but a majority of these loans were not scheduled to reprice during the six months ended June 30, 2022, which also contributed to the downward trend in average loan yields. New loan originations drove increases in the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average daily balance of loans from the six months ended June 30, 2021 to the six months ended June 30, 2022, which partially offset the aforementioned declining average loan yields.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The following table presents average balance sheet information, interest income,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corresponding average yield earned and rates paid for each period reported. The average balances are daily averages and include both performing and nonperforming loans.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41"/>
        </w:trPr>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6"/>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Yield/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Yield/</w:t>
            </w:r>
          </w:p>
        </w:tc>
        <w:tc>
          <w:tcPr>
            <w:tcW w:w="0" w:type="dxa"/>
            <w:vAlign w:val="bottom"/>
          </w:tcPr>
          <w:p>
            <w:pPr>
              <w:spacing w:after="0"/>
              <w:rPr>
                <w:sz w:val="1"/>
                <w:szCs w:val="1"/>
                <w:color w:val="auto"/>
              </w:rPr>
            </w:pPr>
          </w:p>
        </w:tc>
      </w:tr>
      <w:tr>
        <w:trPr>
          <w:trHeight w:val="243"/>
        </w:trPr>
        <w:tc>
          <w:tcPr>
            <w:tcW w:w="3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Interest-earning deposits with banks</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316,590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320,734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2,102,382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1,552,364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0" w:type="dxa"/>
            <w:vAlign w:val="bottom"/>
          </w:tcPr>
          <w:p>
            <w:pPr>
              <w:spacing w:after="0"/>
              <w:rPr>
                <w:sz w:val="1"/>
                <w:szCs w:val="1"/>
                <w:color w:val="auto"/>
              </w:rPr>
            </w:pPr>
          </w:p>
        </w:tc>
      </w:tr>
      <w:tr>
        <w:trPr>
          <w:trHeight w:val="223"/>
        </w:trPr>
        <w:tc>
          <w:tcPr>
            <w:tcW w:w="38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2,559,829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receivable and other assets, net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133,394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2,684,394</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2,142,533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265,962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29"/>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Savings accounts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951,012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Time accounts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151,454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Subordinated debt and other borrowings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Demand accounts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945,511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786,955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234,057</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2,684,394</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2,142,533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7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4</w:t>
            </w: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860" w:type="dxa"/>
            <w:vAlign w:val="bottom"/>
            <w:tcBorders>
              <w:top w:val="single" w:sz="8" w:color="CCEEFF"/>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3.52 %</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860" w:type="dxa"/>
            <w:vAlign w:val="bottom"/>
            <w:tcBorders>
              <w:top w:val="single" w:sz="8" w:color="CCEEFF"/>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36,344</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jc w:val="both"/>
        <w:ind w:left="340" w:hanging="332"/>
        <w:spacing w:after="0" w:line="235" w:lineRule="auto"/>
        <w:tabs>
          <w:tab w:leader="none" w:pos="331"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amortized cost balances rather than fair value, as changes in fair value are reflected as a component of shareholders’ equity. Investment security interest is earned on 30/360 day basis monthly. Yields are not calculated on a tax-equivalent basis.</w:t>
      </w:r>
    </w:p>
    <w:p>
      <w:pPr>
        <w:spacing w:after="0" w:line="200" w:lineRule="exact"/>
        <w:rPr>
          <w:sz w:val="20"/>
          <w:szCs w:val="20"/>
          <w:color w:val="auto"/>
        </w:rPr>
      </w:pPr>
    </w:p>
    <w:p>
      <w:pPr>
        <w:jc w:val="both"/>
        <w:ind w:left="340" w:hanging="332"/>
        <w:spacing w:after="0" w:line="235" w:lineRule="auto"/>
        <w:tabs>
          <w:tab w:leader="none" w:pos="331"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ectPr>
          <w:pgSz w:w="11900" w:h="16838" w:orient="portrait"/>
          <w:cols w:equalWidth="0" w:num="1">
            <w:col w:w="11240"/>
          </w:cols>
          <w:pgMar w:left="320" w:top="121" w:right="3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60" w:lineRule="exact"/>
        <w:rPr>
          <w:sz w:val="20"/>
          <w:szCs w:val="20"/>
          <w:color w:val="auto"/>
        </w:rPr>
      </w:pPr>
    </w:p>
    <w:p>
      <w:pPr>
        <w:sectPr>
          <w:pgSz w:w="11900" w:h="16838" w:orient="portrait"/>
          <w:cols w:equalWidth="0" w:num="2">
            <w:col w:w="60" w:space="260"/>
            <w:col w:w="10920"/>
          </w:cols>
          <w:pgMar w:left="320" w:top="121" w:right="339" w:bottom="1440" w:gutter="0" w:footer="0" w:header="0"/>
          <w:type w:val="continuous"/>
        </w:sect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The following table shows the effect that these factors had on the interest earned from our interest-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0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ind w:left="7900"/>
        <w:spacing w:after="0" w:line="219" w:lineRule="auto"/>
        <w:rPr>
          <w:sz w:val="20"/>
          <w:szCs w:val="20"/>
          <w:color w:val="auto"/>
        </w:rPr>
      </w:pPr>
      <w:r>
        <w:rPr>
          <w:rFonts w:ascii="Times New Roman" w:cs="Times New Roman" w:eastAsia="Times New Roman" w:hAnsi="Times New Roman"/>
          <w:sz w:val="18"/>
          <w:szCs w:val="18"/>
          <w:b w:val="1"/>
          <w:bCs w:val="1"/>
          <w:color w:val="auto"/>
        </w:rPr>
        <w:t>June 30, 2022 compared to</w:t>
      </w:r>
    </w:p>
    <w:p>
      <w:pPr>
        <w:ind w:left="7560"/>
        <w:spacing w:after="0"/>
        <w:rPr>
          <w:sz w:val="20"/>
          <w:szCs w:val="20"/>
          <w:color w:val="auto"/>
        </w:rPr>
      </w:pPr>
      <w:r>
        <w:rPr>
          <w:rFonts w:ascii="Times New Roman" w:cs="Times New Roman" w:eastAsia="Times New Roman" w:hAnsi="Times New Roman"/>
          <w:sz w:val="18"/>
          <w:szCs w:val="18"/>
          <w:b w:val="1"/>
          <w:bCs w:val="1"/>
          <w:color w:val="auto"/>
        </w:rPr>
        <w:t>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4445</wp:posOffset>
            </wp:positionV>
            <wp:extent cx="29489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Interest-earning deposits with banks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r>
      <w:tr>
        <w:trPr>
          <w:trHeight w:val="25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 and other borrowings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82"/>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interest income increased by $10.3 million, or 26.79%, to $48.8 million for the six months ended June 30, 2022 from $38.5 million for the corresponding period of 2021. For the six months ended June 30, 2022, interest income from loans increased by $9.7 million to $46.9 million, as the average daily balance of loans increased by $550.0 million, or 35.43%, compared to the same period of 2021. This increase in interest income from greater average loan balances was partially offset by a 34 basis point decrease in loan yield to 4.50% for the six months ended June 30, 2022 as compared to the same period of 2021, as discussed above. Additionally, $0.6 million of income from forgiven PPP loans was recognized in the six months ended June 30, 2022, compared to $3.3 million during the same period of 2021. Excluding PPP loans, average loans held for investment and sale increased by $712.7 million to $2.1 billion, and the related yield declined by 36 basis points for the six months ended June 30, 2022 from the corresponding period of 2021. Average loans held for investment and sale, excluding PPP loans, and average loan yield, excluding PPP loans, are considered to be non-GAAP financial measures. See the section entitled “Non-GAAP Financial Measures” for a reconciliation of our non-GAAP financial measures to the most directly comparable GAAP financial measure.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interest expense increased by $0.3 million to $2.5 million for the six months ended June 30, 2022 from $2.2 million for the same period of 2021. Interest expense on customer deposits increased by $0.3 million to $1.6 million for the six months ended June 30, 2022 from $1.3 million for the same period of 2021. This increase is primarily due to the average daily balance of interest-bearing liabilities increasing by $292.0 million, or 24.35%, compared to the same period of 2021.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Loan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loan losses is based on management’s assessment of the adequacy of our allowance for loan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loan losses is charged against earnings in order to maintain our allowance for loan losses, which reflects management’s best estimate of probable losses inherent in our loan portfolio at the balance sheet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June 30, 2022 compared to three months ended June 30, 2021</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 $2.3 million provision for loan losses in the second quarter of 2022, compared to no provision for loan losses recorded for the same period of 2021. The increase of $2.3 million for the provision period-over-period was primarily due to increased reserves based on loan growth and economic conditions during the second quarter of 2022, while improved economic conditions related to the impact of the COVID-19 pandemic during the second quarter of 2021 provided favorable economic conditions for our borrowers, which resulted in no provision for the period. The Company had a decrease in loans designated as watch and substandard from $57.8 million as of June 30, 2021 to $23.1 million as of June 30, 2022, causing a reduction in related reserves, which partially offset the increase in provision for loan losses period-over-period.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Six months ended June 30, 2022 compared to six months ended June 30, 2021</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 $3.2 million provision for loan losses in the first six months of 2022, compared to a $0.2 million provision for loan losses for the same period of 2021. The increase of $3.0 million for the provision period-over-period was primarily due to increased reserves based on loan growth and economic conditions during the second quarter of 2022, while improved economic conditions related to the impact of the COVID-19 pandemic during the first six months of 2021 provided favorable economic conditions for our borrowers, which resulted in a less significant provision for the period. The Company had a decrease in loans designated as watch and substandard from $57.8 million as of June 30, 2021 to $23.1 million as of June 30, 2022, causing a reduction in related reserves, which partially offset the increase in provision for loan losses period-over-period.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Non-interest income is a secondary contributor to our net income. Non-interest income consists of service charges on deposit accounts, net gain on sale of securities, gain on sale of loans, loan-related fees, FHLB stock dividends, earnings on bank-owned life insurance ("BOLI"), and other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June 30, 2022 compared to three months ended June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non-interest income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22.64 %</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gain on sale of securities</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loans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Loan-related fees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115.45 %</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 stock dividends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on BOLI</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68.33 %</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13.89 %</w:t>
            </w:r>
          </w:p>
        </w:tc>
      </w:tr>
      <w:tr>
        <w:trPr>
          <w:trHeight w:val="223"/>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8.18 %</w:t>
            </w: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in gain on sale of loans related primarily to an overall decline in the effective yields on loans sold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compared to the three months ended June 30, 2022, from 9.82% to 4.64%. The decrease in effective yields related to uncertainty surrounding the timing of rising interest rates and due to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premiums received on loans sold during the three months ended June 30, 2021, which did not recur during the three months ended June 30, 2022. Additionally, the volume of loans sold during the three months ended June 30, 2021 increased from the volume of loans sold during the three months ended June 30, 2022, from $11.1 million to $17.9 million, due to several large dollar value loans (funded in prior periods) reaching the end of their interest-only periods, allowing for sale in the second quarter of 2022.</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Loan-related fees. </w:t>
      </w:r>
      <w:r>
        <w:rPr>
          <w:rFonts w:ascii="Times New Roman" w:cs="Times New Roman" w:eastAsia="Times New Roman" w:hAnsi="Times New Roman"/>
          <w:sz w:val="18"/>
          <w:szCs w:val="18"/>
          <w:color w:val="auto"/>
        </w:rPr>
        <w:t>The increase in loan-related fees resulted primarily from the recognition of $0.4 million in swap referral fees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as compared to $0.1 million of swap referral fees recognized during the three months ended June 30,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Six months ended June 30, 2022 compared to six months ended June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non-interest income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21.43 %</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gain on sale of securities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loans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Loan-related fees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124.48 %</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 stock dividends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18.24 %</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on BOLI</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70.54 %</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554.24 %</w:t>
            </w:r>
          </w:p>
        </w:tc>
      </w:tr>
      <w:tr>
        <w:trPr>
          <w:trHeight w:val="223"/>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20.80 %</w:t>
            </w: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gain on sale of securities. </w:t>
      </w:r>
      <w:r>
        <w:rPr>
          <w:rFonts w:ascii="Times New Roman" w:cs="Times New Roman" w:eastAsia="Times New Roman" w:hAnsi="Times New Roman"/>
          <w:sz w:val="18"/>
          <w:szCs w:val="18"/>
          <w:color w:val="auto"/>
        </w:rPr>
        <w:t>The decrease in net gain on sale of securities was due to a lower volume of securities sold during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than sold during the corresponding period of 2021. $1.5 million of municipal securities were sold for a gain of $5.3 thousand during the six months ended June 30, 2022, while $15.4 million of municipal securities were sold for a net gain of $0.3 million during the six months ended June 30,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in gain on sale of loans related primarily to an overall decline in the effective yields on loans sold period-over-period.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yield on loans sold during the six months ended June 30, 2022 was 6.80%, as compared to an effective yield of 8.85% for loans sold during the six months ended June 30, 2021. This fluctuation was due to uncertainty surrounding the timing of rising interest rates and premiums received on loans sold.</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Loan-related fees</w:t>
      </w:r>
      <w:r>
        <w:rPr>
          <w:rFonts w:ascii="Times New Roman" w:cs="Times New Roman" w:eastAsia="Times New Roman" w:hAnsi="Times New Roman"/>
          <w:sz w:val="18"/>
          <w:szCs w:val="18"/>
          <w:color w:val="auto"/>
        </w:rPr>
        <w:t>. The increase in loan-related fees primarily related to $0.7 million of swap referral fees recognized during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as compared to $0.1 million recognized in the six months ended June 30, 2021.</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The increase in other income resulted primarily from a $0.3 million gain recorded on a distribution received on an investment in a venture-backed fund, which did not occur during the six months ended June 30,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which has enabled us to reduce our non-interest expense over time, in both absolute terms and as a percentage of our revenue, while continuing to achieve growth in total loans and assets.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invested significant resources in personnel and infrastructure. Additionally, to support corporate organizational matters leading up to the IPO, we experienced increased audit, consulting, and legal costs. As a result, non-interest expense has increased throughout the periods presented below; however, we do not anticipate incurring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significant costs of this type in future periods, and we expect our efficiency ratio will improve going forward due, in part, to our past investment in infrastructure.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June 30, 2022 compared to three months ended June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non-interest expense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12.43 %</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and equipment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16.33 %</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23.58 %</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 insurance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63.33 %</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82.64 %</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Loan-related expenses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78.44 %</w:t>
            </w: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3.38 %</w:t>
            </w:r>
          </w:p>
        </w:tc>
      </w:tr>
      <w:tr>
        <w:trPr>
          <w:trHeight w:val="248"/>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in salaries and employee benefits was primarily a result of a $1.0 million increase in salaries, insurance,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as a result of a 14.94% increase in headcount between June 30, 2021 and June 30, 2022, combined with a $0.6 million increase in commissions and bonuses from the three months ended June 30, 2021 to the three months ended June 30, 2022. These increases were partially offset by a $0.9 million increase in deferred loan origination costs between the three months ended June 30, 2022 and the three months ended June 30, 2021.</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Data processing and software increased, primarily due to: (i) increased usage of our digital banking platform; (ii)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volumes related to the increased number of loan and deposit accounts; and (iii) an increased number of licenses required for new users on our loan origination and documentation system.</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Professional services decreased, primarily as a result of expenses recognized during the three months ended June 30, 2021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increased audit, consulting, and legal costs incurred to support corporate organizational matters leading up to the IPO. These expenses did not recur during the three months ended June 30, 2022.</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Advertising and promotional. </w:t>
      </w:r>
      <w:r>
        <w:rPr>
          <w:rFonts w:ascii="Times New Roman" w:cs="Times New Roman" w:eastAsia="Times New Roman" w:hAnsi="Times New Roman"/>
          <w:sz w:val="18"/>
          <w:szCs w:val="18"/>
          <w:color w:val="auto"/>
        </w:rPr>
        <w:t>The increase in advertising and promotional was primarily related to increases in business development, marketing,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sponsorship expenses due to more in-person participation in events held during the three months ended June 30, 2022, as compared to the three months ended June 30, 2021.</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Loan-related expenses. </w:t>
      </w:r>
      <w:r>
        <w:rPr>
          <w:rFonts w:ascii="Times New Roman" w:cs="Times New Roman" w:eastAsia="Times New Roman" w:hAnsi="Times New Roman"/>
          <w:sz w:val="18"/>
          <w:szCs w:val="18"/>
          <w:color w:val="auto"/>
        </w:rPr>
        <w:t>Loan-related expenses increased, primarily due to increased expenses for legal services, environmental reports, UCC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inspections to support increased loan production.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Six months ended June 30, 2022 compared to six months ended June 30, 2021</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480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53"/>
        </w:trPr>
        <w:tc>
          <w:tcPr>
            <w:tcW w:w="6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details the components of non-interest expense for the periods indicated.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2"/>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16.52 %</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and equipment</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15.81 %</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18.58 %</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 insurance</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90.34 %</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Loan-related expenses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49.22 %</w:t>
            </w: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22.76 %</w:t>
            </w:r>
          </w:p>
        </w:tc>
      </w:tr>
      <w:tr>
        <w:trPr>
          <w:trHeight w:val="248"/>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in salaries and employee benefits was primarily a result of a $2.0 million increase in salaries and overtime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 14.94% increase in headcount between June 30, 2021 and June 30, 2022, combined with a $0.9 million increase in commissions from the six months ended June 30, 2021 to the six months ended June 30, 2022. These increases were partially offset by a $1.6 million increase in deferred loan origination costs from the six months ended June 30, 2021 to the six months ended June 30, 2022.</w:t>
      </w:r>
    </w:p>
    <w:p>
      <w:pPr>
        <w:spacing w:after="0" w:line="20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Occupancy and equipment. </w:t>
      </w:r>
      <w:r>
        <w:rPr>
          <w:rFonts w:ascii="Times New Roman" w:cs="Times New Roman" w:eastAsia="Times New Roman" w:hAnsi="Times New Roman"/>
          <w:sz w:val="18"/>
          <w:szCs w:val="18"/>
          <w:color w:val="auto"/>
        </w:rPr>
        <w:t>The increase in occupancy and equipment was primarily the result of an overall increase in depreciation recognized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furniture, fixtures, and equipment that was purchased to support the 14.94% increase in headcount described above, combined with an overall increase in occupancy expenses year-over-year.</w:t>
      </w:r>
    </w:p>
    <w:p>
      <w:pPr>
        <w:spacing w:after="0" w:line="194"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The increase in data processing and software was primarily due to: (i) increased usage of our digital banking platform;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transaction volumes related to the increased number of loan and deposit accounts; and (iii) an increased number of licenses required for new users on our loan origination and documentation system.</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Professional services</w:t>
      </w:r>
      <w:r>
        <w:rPr>
          <w:rFonts w:ascii="Times New Roman" w:cs="Times New Roman" w:eastAsia="Times New Roman" w:hAnsi="Times New Roman"/>
          <w:sz w:val="18"/>
          <w:szCs w:val="18"/>
          <w:color w:val="auto"/>
        </w:rPr>
        <w:t>. Professional services decreased, primarily as a result of expenses recognized during the six months ended June 30, 2021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increased audit, consulting, and legal costs incurred to support corporate organizational matters leading up to the IPO, which did not recur during the six months ended June 30, 2022.</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Advertising and promotional</w:t>
      </w:r>
      <w:r>
        <w:rPr>
          <w:rFonts w:ascii="Times New Roman" w:cs="Times New Roman" w:eastAsia="Times New Roman" w:hAnsi="Times New Roman"/>
          <w:sz w:val="18"/>
          <w:szCs w:val="18"/>
          <w:color w:val="auto"/>
        </w:rPr>
        <w:t>. The increase in advertising and promotional was primarily related to increases in business development, marketing,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sponsorship expenses due to more in-person participation at events held during the six months ended June 30, 2022, as compared to the six months ended June 30, 2021.</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Loan-related expenses. </w:t>
      </w:r>
      <w:r>
        <w:rPr>
          <w:rFonts w:ascii="Times New Roman" w:cs="Times New Roman" w:eastAsia="Times New Roman" w:hAnsi="Times New Roman"/>
          <w:sz w:val="18"/>
          <w:szCs w:val="18"/>
          <w:color w:val="auto"/>
        </w:rPr>
        <w:t>The increase in loan-related expenses was primarily related to an overall net increase in loan expenses incurred to support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in the six months ended June 30, 2022, as compared to the six months ended June 30, 2021, primarily due to increased expenses for legal services, UCC fees, and inspections.</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The increase in other operating expenses was primarily due to a $0.5 million increase in travel expenses related to attendance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events, conferences, and other business-related travel during the six months ended June 30, 2022, compared to the six months ended June 30,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terminated its status as a “Subchapter S” corporation effective May 5, 2021, in connection with the Company’s IPO</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became a C Corporation. Prior to that date, as an S Corporation, the Company had no U.S. federal income tax expense. The provision recorded for the three and six months ended June 30, 2022 yielded effective tax rates of 29.07% and 28.09%, respectively. Refer to the section entitled “—Pro Forma C Corporation Income Tax Expense” below for a discussion on what the Company’s income tax expense and net income would have been had the Company been taxed as a C Corporation during the three and six months ended June 30,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June 30, 2022 compared to three months ended June 30, 2021</w:t>
      </w:r>
    </w:p>
    <w:p>
      <w:pPr>
        <w:spacing w:after="0" w:line="2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provision for income taxes increased by $3.3 million, or 455.86%, to $4.1 million for the three months ended June 30, 2022, as compared to $0.7 million for the three months ended June 30, 2021. This increase is due to the change in the effective tax rate from 6.95% for the three months ended June 30, 2021 to 29.07% for the three months ended June 30, 2022. This increase was partially offset by a $4.6 million reduction to the provision for income taxes relating to the adjustment of net deferred tax assets due to the termination of the Company's S Corporation status during the three months ended June 30, 2021, which did not recur during the three months ended June 30, 2022, .</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Six months ended June 30, 2022 compared to six months ended June 30, 2021</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the six months ended June 30, 2022 increased by $6.6 million, or 593.55%, to $7.7 million, as compared to $1.1 million during the six months ended June 30, 2021. This increase is due to the change in the effective tax rate from 5.26% for the six months ended June 30, 2021 to 28.09% for the six months ended June 30, 2022. This increase was partially offset by a $4.6 million reduction to the provision for income taxes, which did not recur during the six months ended June 30, 2022, relating to the adjustment of the net deferred tax assets due to the termination of the Company's S Corporation status during the six months ended June 30,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C Corporation Income Tax Expense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Company’s status as a Subchapter S Corporation prior to May 5, 2021, no U.S. federal income tax expense was recorded for a portion of the three and six months ended June 30, 2021. Had the Company been taxed as a C Corporation and paid U.S. federal income tax for the entirety of those periods, the combined statutory income tax rate would have been 29.56%. For the three and six months ended June 30, 2021, the pro forma statutory rate reflects a U.S. federal income tax rate of 21.00% and a California state income tax rate of 8.56%, after adjustment for the federal tax benefit, on corporate taxable income. Had the Company been subject to U.S. federal income tax for the entirety of the three and six months ended June 30, 2021, on a statutory income tax rate pro forma basis, the provision for combined federal and state income tax would have been $3.1 million and $6.3 million, respectively. As a result of the foregoing factors, the Company’s pro forma net income (after U.S. federal and California state income tax) would have been $7.4 million and $14.9 million for the three and six months ended June 30, 2021,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compares our financial condition as of June 30, 2022 to our financial condition as of December 31, 2021. The following table summarizes selected components of our balance sheet as of June 30, 2022 and December 31, 2021.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9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2,836,071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2,556,761</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270,758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425,329</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153,753</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2,380,511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1,934,460</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2,285,890</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Subordinated notes,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235,046</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total assets were $2.8 billion, an increase of $279.3 million from $2.6 billion at December 31, 2021, primarily due to increases in cash and cash equivalents and loans held for investment, as discussed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cash and cash equivalents were $270.8 million at June 30, 2022, a decrease of $154.6 million from $425.3 million at December 31, 2021. The decrease in cash and cash equivalents was primarily a result of loans originated for sale of $37.0 million, loan originations and advances, net of principal collected, of $436.2 million, and cash distributions of $10.1 million during the six months ended June 30, 2022. These decreases were partially offset by net income recognized of $19.8 million, proceeds from sale of loans of $25.7 million, an increase in deposits of $215.4 million, and cash received from an FHLB advance of $60.0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 portfolio is primarily comprised of guaranteed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securities held-to-maturity and available-for-sale amounted to $126.9 million at June 30, 2022 and $153.8 million at December 31, 2021, representing a decrease of $26.9 million. The decrease was primarily due to an unrealized loss (tax effected) on securities of $12.7 million, primarily in our mortgage-backed and municipal securities portfolios, resulting in decreases to each of those portfolios of $11.8 million and $7.8 million, respectively. This unrealized loss was recognized as a result of interest rate hikes that occurred during the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value of our investment portfolio as of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69"/>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4"/>
                <w:szCs w:val="14"/>
                <w:color w:val="auto"/>
              </w:rPr>
            </w:pPr>
          </w:p>
        </w:tc>
        <w:tc>
          <w:tcPr>
            <w:tcW w:w="126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43"/>
        </w:trPr>
        <w:tc>
          <w:tcPr>
            <w:tcW w:w="49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(at fair value):</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13.36 %</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53.02 %</w:t>
            </w: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available-for-sale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96.79 %</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 (at amortized cost):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of our securities by their stated maturities, as well as the weighted average yields for each maturity range, as of June 30,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 in one year</w:t>
            </w:r>
          </w:p>
        </w:tc>
        <w:tc>
          <w:tcPr>
            <w:tcW w:w="80" w:type="dxa"/>
            <w:vAlign w:val="bottom"/>
          </w:tcPr>
          <w:p>
            <w:pPr>
              <w:spacing w:after="0"/>
              <w:rPr>
                <w:sz w:val="13"/>
                <w:szCs w:val="13"/>
                <w:color w:val="auto"/>
              </w:rPr>
            </w:pPr>
          </w:p>
        </w:tc>
        <w:tc>
          <w:tcPr>
            <w:tcW w:w="1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 after one</w:t>
            </w:r>
          </w:p>
        </w:tc>
        <w:tc>
          <w:tcPr>
            <w:tcW w:w="100" w:type="dxa"/>
            <w:vAlign w:val="bottom"/>
          </w:tcPr>
          <w:p>
            <w:pPr>
              <w:spacing w:after="0"/>
              <w:rPr>
                <w:sz w:val="13"/>
                <w:szCs w:val="13"/>
                <w:color w:val="auto"/>
              </w:rPr>
            </w:pPr>
          </w:p>
        </w:tc>
        <w:tc>
          <w:tcPr>
            <w:tcW w:w="1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 after five</w:t>
            </w:r>
          </w:p>
        </w:tc>
        <w:tc>
          <w:tcPr>
            <w:tcW w:w="100" w:type="dxa"/>
            <w:vAlign w:val="bottom"/>
          </w:tcPr>
          <w:p>
            <w:pPr>
              <w:spacing w:after="0"/>
              <w:rPr>
                <w:sz w:val="13"/>
                <w:szCs w:val="13"/>
                <w:color w:val="auto"/>
              </w:rPr>
            </w:pPr>
          </w:p>
        </w:tc>
        <w:tc>
          <w:tcPr>
            <w:tcW w:w="178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Due after ten years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gridSpan w:val="3"/>
            <w:vMerge w:val="restart"/>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80" w:type="dxa"/>
            <w:vAlign w:val="bottom"/>
          </w:tcPr>
          <w:p>
            <w:pPr>
              <w:spacing w:after="0"/>
              <w:rPr>
                <w:sz w:val="16"/>
                <w:szCs w:val="16"/>
                <w:color w:val="auto"/>
              </w:rPr>
            </w:pPr>
          </w:p>
        </w:tc>
        <w:tc>
          <w:tcPr>
            <w:tcW w:w="18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through five years</w:t>
            </w:r>
          </w:p>
        </w:tc>
        <w:tc>
          <w:tcPr>
            <w:tcW w:w="100" w:type="dxa"/>
            <w:vAlign w:val="bottom"/>
          </w:tcPr>
          <w:p>
            <w:pPr>
              <w:spacing w:after="0"/>
              <w:rPr>
                <w:sz w:val="16"/>
                <w:szCs w:val="16"/>
                <w:color w:val="auto"/>
              </w:rPr>
            </w:pPr>
          </w:p>
        </w:tc>
        <w:tc>
          <w:tcPr>
            <w:tcW w:w="18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years through ten years</w:t>
            </w:r>
          </w:p>
        </w:tc>
        <w:tc>
          <w:tcPr>
            <w:tcW w:w="100" w:type="dxa"/>
            <w:vAlign w:val="bottom"/>
          </w:tcPr>
          <w:p>
            <w:pPr>
              <w:spacing w:after="0"/>
              <w:rPr>
                <w:sz w:val="16"/>
                <w:szCs w:val="16"/>
                <w:color w:val="auto"/>
              </w:rPr>
            </w:pPr>
          </w:p>
        </w:tc>
        <w:tc>
          <w:tcPr>
            <w:tcW w:w="17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Avg</w:t>
            </w: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Avg</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1"/>
              </w:rPr>
              <w:t>Avg</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Avg</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Avg</w:t>
            </w:r>
          </w:p>
        </w:tc>
        <w:tc>
          <w:tcPr>
            <w:tcW w:w="0" w:type="dxa"/>
            <w:vAlign w:val="bottom"/>
          </w:tcPr>
          <w:p>
            <w:pPr>
              <w:spacing w:after="0"/>
              <w:rPr>
                <w:sz w:val="1"/>
                <w:szCs w:val="1"/>
                <w:color w:val="auto"/>
              </w:rPr>
            </w:pPr>
          </w:p>
        </w:tc>
      </w:tr>
      <w:tr>
        <w:trPr>
          <w:trHeight w:val="198"/>
        </w:trPr>
        <w:tc>
          <w:tcPr>
            <w:tcW w:w="1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5"/>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government agencies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Mortgage-backed</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66,074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66,076</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0" w:type="dxa"/>
            <w:vAlign w:val="bottom"/>
          </w:tcPr>
          <w:p>
            <w:pPr>
              <w:spacing w:after="0"/>
              <w:rPr>
                <w:sz w:val="1"/>
                <w:szCs w:val="1"/>
                <w:color w:val="auto"/>
              </w:rPr>
            </w:pPr>
          </w:p>
        </w:tc>
      </w:tr>
      <w:tr>
        <w:trPr>
          <w:trHeight w:val="16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Obligations of states and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political subdivisions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32,768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Collateralized mortgage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obligations</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193"/>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1,780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23"/>
        </w:trPr>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available-for-sale</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2.80 %</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111,907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122,426</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Held-to-maturity:</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Obligations of states and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political subdivisions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0" w:type="dxa"/>
            <w:vAlign w:val="bottom"/>
          </w:tcPr>
          <w:p>
            <w:pPr>
              <w:spacing w:after="0"/>
              <w:rPr>
                <w:sz w:val="1"/>
                <w:szCs w:val="1"/>
                <w:color w:val="auto"/>
              </w:rPr>
            </w:pPr>
          </w:p>
        </w:tc>
      </w:tr>
      <w:tr>
        <w:trPr>
          <w:trHeight w:val="23"/>
        </w:trPr>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4,022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113,232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126,903</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of our securities by their stated maturities, as well as the weighted average yields for each maturity range, as of December 31,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 in one year</w:t>
            </w:r>
          </w:p>
        </w:tc>
        <w:tc>
          <w:tcPr>
            <w:tcW w:w="80" w:type="dxa"/>
            <w:vAlign w:val="bottom"/>
          </w:tcPr>
          <w:p>
            <w:pPr>
              <w:spacing w:after="0"/>
              <w:rPr>
                <w:sz w:val="13"/>
                <w:szCs w:val="13"/>
                <w:color w:val="auto"/>
              </w:rPr>
            </w:pPr>
          </w:p>
        </w:tc>
        <w:tc>
          <w:tcPr>
            <w:tcW w:w="18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Due after one</w:t>
            </w:r>
          </w:p>
        </w:tc>
        <w:tc>
          <w:tcPr>
            <w:tcW w:w="80" w:type="dxa"/>
            <w:vAlign w:val="bottom"/>
          </w:tcPr>
          <w:p>
            <w:pPr>
              <w:spacing w:after="0"/>
              <w:rPr>
                <w:sz w:val="13"/>
                <w:szCs w:val="13"/>
                <w:color w:val="auto"/>
              </w:rPr>
            </w:pPr>
          </w:p>
        </w:tc>
        <w:tc>
          <w:tcPr>
            <w:tcW w:w="1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 after five</w:t>
            </w:r>
          </w:p>
        </w:tc>
        <w:tc>
          <w:tcPr>
            <w:tcW w:w="100" w:type="dxa"/>
            <w:vAlign w:val="bottom"/>
          </w:tcPr>
          <w:p>
            <w:pPr>
              <w:spacing w:after="0"/>
              <w:rPr>
                <w:sz w:val="13"/>
                <w:szCs w:val="13"/>
                <w:color w:val="auto"/>
              </w:rPr>
            </w:pPr>
          </w:p>
        </w:tc>
        <w:tc>
          <w:tcPr>
            <w:tcW w:w="180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Due after ten years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gridSpan w:val="3"/>
            <w:vMerge w:val="restart"/>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80" w:type="dxa"/>
            <w:vAlign w:val="bottom"/>
          </w:tcPr>
          <w:p>
            <w:pPr>
              <w:spacing w:after="0"/>
              <w:rPr>
                <w:sz w:val="16"/>
                <w:szCs w:val="16"/>
                <w:color w:val="auto"/>
              </w:rPr>
            </w:pPr>
          </w:p>
        </w:tc>
        <w:tc>
          <w:tcPr>
            <w:tcW w:w="18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through five years</w:t>
            </w:r>
          </w:p>
        </w:tc>
        <w:tc>
          <w:tcPr>
            <w:tcW w:w="80" w:type="dxa"/>
            <w:vAlign w:val="bottom"/>
          </w:tcPr>
          <w:p>
            <w:pPr>
              <w:spacing w:after="0"/>
              <w:rPr>
                <w:sz w:val="16"/>
                <w:szCs w:val="16"/>
                <w:color w:val="auto"/>
              </w:rPr>
            </w:pPr>
          </w:p>
        </w:tc>
        <w:tc>
          <w:tcPr>
            <w:tcW w:w="18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 through ten years</w:t>
            </w:r>
          </w:p>
        </w:tc>
        <w:tc>
          <w:tcPr>
            <w:tcW w:w="100" w:type="dxa"/>
            <w:vAlign w:val="bottom"/>
          </w:tcPr>
          <w:p>
            <w:pPr>
              <w:spacing w:after="0"/>
              <w:rPr>
                <w:sz w:val="16"/>
                <w:szCs w:val="16"/>
                <w:color w:val="auto"/>
              </w:rPr>
            </w:pPr>
          </w:p>
        </w:tc>
        <w:tc>
          <w:tcPr>
            <w:tcW w:w="18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Avg</w:t>
            </w: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Avg</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Avg</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Avg</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Avg</w:t>
            </w:r>
          </w:p>
        </w:tc>
        <w:tc>
          <w:tcPr>
            <w:tcW w:w="0" w:type="dxa"/>
            <w:vAlign w:val="bottom"/>
          </w:tcPr>
          <w:p>
            <w:pPr>
              <w:spacing w:after="0"/>
              <w:rPr>
                <w:sz w:val="1"/>
                <w:szCs w:val="1"/>
                <w:color w:val="auto"/>
              </w:rPr>
            </w:pPr>
          </w:p>
        </w:tc>
      </w:tr>
      <w:tr>
        <w:trPr>
          <w:trHeight w:val="198"/>
        </w:trPr>
        <w:tc>
          <w:tcPr>
            <w:tcW w:w="1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8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8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01"/>
        </w:trPr>
        <w:tc>
          <w:tcPr>
            <w:tcW w:w="1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government agencies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0.69 %</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0.43 %</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880" w:type="dxa"/>
            <w:vAlign w:val="bottom"/>
            <w:gridSpan w:val="2"/>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Mortgage-backed</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81,510</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81,513</w:t>
            </w: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8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Obligations of states and</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522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2.80 %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40,867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45,137</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0" w:type="dxa"/>
            <w:vAlign w:val="bottom"/>
          </w:tcPr>
          <w:p>
            <w:pPr>
              <w:spacing w:after="0"/>
              <w:rPr>
                <w:sz w:val="1"/>
                <w:szCs w:val="1"/>
                <w:color w:val="auto"/>
              </w:rPr>
            </w:pPr>
          </w:p>
        </w:tc>
      </w:tr>
      <w:tr>
        <w:trPr>
          <w:trHeight w:val="193"/>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political subdivisions</w:t>
            </w: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8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Collateralized mortgage</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obligations</w:t>
            </w: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23"/>
        </w:trPr>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available-for-sale</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137,194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148,807</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Held-to-maturity:</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8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Obligations of states and</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951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60" w:type="dxa"/>
            <w:vAlign w:val="bottom"/>
            <w:vMerge w:val="restart"/>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0" w:type="dxa"/>
            <w:vAlign w:val="bottom"/>
          </w:tcPr>
          <w:p>
            <w:pPr>
              <w:spacing w:after="0"/>
              <w:rPr>
                <w:sz w:val="1"/>
                <w:szCs w:val="1"/>
                <w:color w:val="auto"/>
              </w:rPr>
            </w:pPr>
          </w:p>
        </w:tc>
      </w:tr>
      <w:tr>
        <w:trPr>
          <w:trHeight w:val="193"/>
        </w:trPr>
        <w:tc>
          <w:tcPr>
            <w:tcW w:w="18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political subdivisions</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CCEEFF"/>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CCEEFF"/>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4,999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137,194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153,753</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fair value related to securities as of June 30, 2022 and December 31, 2021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0" w:type="dxa"/>
            <w:vAlign w:val="bottom"/>
          </w:tcPr>
          <w:p>
            <w:pPr>
              <w:spacing w:after="0"/>
              <w:rPr>
                <w:sz w:val="1"/>
                <w:szCs w:val="1"/>
                <w:color w:val="auto"/>
              </w:rPr>
            </w:pPr>
          </w:p>
        </w:tc>
      </w:tr>
      <w:tr>
        <w:trPr>
          <w:trHeight w:val="257"/>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66,076</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0" w:type="dxa"/>
            <w:vAlign w:val="bottom"/>
          </w:tcPr>
          <w:p>
            <w:pPr>
              <w:spacing w:after="0"/>
              <w:rPr>
                <w:sz w:val="1"/>
                <w:szCs w:val="1"/>
                <w:color w:val="auto"/>
              </w:rPr>
            </w:pPr>
          </w:p>
        </w:tc>
      </w:tr>
      <w:tr>
        <w:trPr>
          <w:trHeight w:val="25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available-for-sale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122,426</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81,513</w:t>
            </w:r>
          </w:p>
        </w:tc>
        <w:tc>
          <w:tcPr>
            <w:tcW w:w="0" w:type="dxa"/>
            <w:vAlign w:val="bottom"/>
          </w:tcPr>
          <w:p>
            <w:pPr>
              <w:spacing w:after="0"/>
              <w:rPr>
                <w:sz w:val="1"/>
                <w:szCs w:val="1"/>
                <w:color w:val="auto"/>
              </w:rPr>
            </w:pPr>
          </w:p>
        </w:tc>
      </w:tr>
      <w:tr>
        <w:trPr>
          <w:trHeight w:val="25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5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75"/>
        </w:trPr>
        <w:tc>
          <w:tcPr>
            <w:tcW w:w="50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unrealized losses on securities are primarily attributable to interest rate changes, rather than the marketability of the securities or the issuer’s ability to honor redemption of the obligations, as a majority of the securities with unrealized losses are obligations of or guaranteed by agencies sponsored by the U.S. government. We have adequate liquidity and the ability and intent to hold these securities to maturity, resulting in full recovery of the indicated impairment. Accordingly, none of the unrealized losses on these securities have been determined to be other than temporary.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loan portfolio is our largest class of earning assets and typically provides higher yields than other types of earning assets. Associated with the higher yields is an inherent amount of credit risk, which we attempt to mitigate with strong underwriting. As of June 30, 2022 and December 31, 2021, our total loans amounted to $2.4 billion and $1.9 billion, respectively. The following table presents the balance and associated percentage of each major product type within our portfolio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50"/>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5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Loans</w:t>
            </w:r>
          </w:p>
        </w:tc>
      </w:tr>
      <w:tr>
        <w:trPr>
          <w:trHeight w:val="25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2,036,559</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85.02 %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1,586,232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81.48 %</w:t>
            </w: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0.38 %</w:t>
            </w: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0.38 %</w:t>
            </w: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Farmland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63"/>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137,062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7.03 %</w:t>
            </w: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PPP</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9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57"/>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0.88 %</w:t>
            </w:r>
          </w:p>
        </w:tc>
      </w:tr>
      <w:tr>
        <w:trPr>
          <w:trHeight w:val="25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 gross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2,382,275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99.46 %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1,936,066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99.45 %</w:t>
            </w:r>
          </w:p>
        </w:tc>
      </w:tr>
      <w:tr>
        <w:trPr>
          <w:trHeight w:val="277"/>
        </w:trPr>
        <w:tc>
          <w:tcPr>
            <w:tcW w:w="4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7"/>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0.55 %</w:t>
            </w:r>
          </w:p>
        </w:tc>
      </w:tr>
      <w:tr>
        <w:trPr>
          <w:trHeight w:val="256"/>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loans, gross</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2,395,260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1,946,737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loan fees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57"/>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loans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2,393,496</w:t>
            </w:r>
          </w:p>
        </w:tc>
        <w:tc>
          <w:tcPr>
            <w:tcW w:w="2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1,945,131</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real estate and construction real estate loans consist of loans secured by single-family and multifamily residential properties, which are both owner-occupied and investor owned.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present the commercial real estate loan balance, associated percentage of commercial real estate concentrations by collateral type, estimated real estate collateral values, and related loan-to-value (“LTV”) ranges as of the dates indicated. Collateral values and LTVs included in the table below reflect real estate collateral and do not include personal property collateral. Revolving lines of credit with zero balance and 0.00% LTV are excluded from this table. Collateral values are determined at origination using third-party real estate appraisals or evaluations. Updated appraisals, which are included in the table below, are obtained for loans that are downgraded to watch or substandard. Loans over $1.0 million are reviewed annually, at which time an internal assessment of collateral values is completed.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7"/>
                <w:szCs w:val="17"/>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176"/>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Loan Balance</w:t>
            </w:r>
          </w:p>
        </w:tc>
        <w:tc>
          <w:tcPr>
            <w:tcW w:w="120" w:type="dxa"/>
            <w:vAlign w:val="bottom"/>
            <w:vMerge w:val="restart"/>
          </w:tcPr>
          <w:p>
            <w:pPr>
              <w:spacing w:after="0"/>
              <w:rPr>
                <w:sz w:val="15"/>
                <w:szCs w:val="15"/>
                <w:color w:val="auto"/>
              </w:rPr>
            </w:pPr>
          </w:p>
        </w:tc>
        <w:tc>
          <w:tcPr>
            <w:tcW w:w="16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Real Estate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LTV</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LTV</w:t>
            </w:r>
          </w:p>
        </w:tc>
        <w:tc>
          <w:tcPr>
            <w:tcW w:w="0" w:type="dxa"/>
            <w:vAlign w:val="bottom"/>
          </w:tcPr>
          <w:p>
            <w:pPr>
              <w:spacing w:after="0"/>
              <w:rPr>
                <w:sz w:val="1"/>
                <w:szCs w:val="1"/>
                <w:color w:val="auto"/>
              </w:rPr>
            </w:pPr>
          </w:p>
        </w:tc>
      </w:tr>
      <w:tr>
        <w:trPr>
          <w:trHeight w:val="25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747,123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1,230,952</w:t>
            </w:r>
          </w:p>
        </w:tc>
        <w:tc>
          <w:tcPr>
            <w:tcW w:w="10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197,420</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363,899</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175,535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373,351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162,421</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380,163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311,287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Faith-based</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142,901</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384,535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Mini storage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255,085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327,442</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680,152</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2,036,559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3,979,424</w:t>
            </w:r>
          </w:p>
        </w:tc>
        <w:tc>
          <w:tcPr>
            <w:tcW w:w="10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153.40 %</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518,910</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849,269</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307,376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152,412</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350,953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318,875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134,728</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294,367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Faith-based</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272,383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 storage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85,712</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Mixed use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200,121</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473,952</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1,586,232</w:t>
            </w:r>
          </w:p>
        </w:tc>
        <w:tc>
          <w:tcPr>
            <w:tcW w:w="12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3,182,946</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94.97 %</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340" w:right="500" w:hanging="332"/>
        <w:spacing w:after="0" w:line="235" w:lineRule="auto"/>
        <w:tabs>
          <w:tab w:leader="none" w:pos="331"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Types of collateral in the “all other types” category are those that individually make up less than 5.00% commercial real estate concentration and include hospitality properties, auto dealerships, car washes, assisted living communities, country clubs, gas stations/convenience stores, medical offices, special purpose properties, mortuaries, restaurants, and schools.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LTV of impaired, collateral dependent loans was approximately 86.33% at June 30, 2022 and approximately 70.67% at December 31, 2021.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several years, we have experienced significant growth in our loan portfolio, although the relative composition of the portfolio has not changed significantly (when PPP loans are excluded). Our primary focus remains commercial real estate lending (including commercial, commercial land and development, and commercial construction), which constitutes 88.91% of loans held for investment at June 30, 2022. Commercial secured lending (consisting primarily of SBA 7(a) loans under $350,000) represents 5.72% of loans held for investment at June 30, 2022. We sell the guaranteed portion of all SBA 7(a) loans, excluding PPP loans, in the secondary market and will continue to do so as long as market conditions continue to be favorable.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that our commercial real estate loan concentration is significant within our balance sheet. Commercial real estate loan balances as a percentage of risk-based capital were 710.21% and 577.92% as of June 30, 2022 and December 31, 2021, respectively. We have established internal concentration limits in the loan portfolio for commercial real estate loans by sector (e.g., manufactured home communities, self-storage, hospitality, etc.). All loan sectors were within our established limits as of June 30, 2022. Additionally, our loans are geographically concentrated with borrowers and collateral properties primarily in California.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contractual maturities of our loan portfolio as of June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Due in 1</w:t>
            </w:r>
          </w:p>
        </w:tc>
        <w:tc>
          <w:tcPr>
            <w:tcW w:w="18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Due after 1</w:t>
            </w:r>
          </w:p>
        </w:tc>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Due after 5</w:t>
            </w:r>
          </w:p>
        </w:tc>
        <w:tc>
          <w:tcPr>
            <w:tcW w:w="20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through</w:t>
            </w:r>
          </w:p>
        </w:tc>
        <w:tc>
          <w:tcPr>
            <w:tcW w:w="160" w:type="dxa"/>
            <w:vAlign w:val="bottom"/>
          </w:tcPr>
          <w:p>
            <w:pPr>
              <w:spacing w:after="0"/>
              <w:rPr>
                <w:sz w:val="15"/>
                <w:szCs w:val="15"/>
                <w:color w:val="auto"/>
              </w:rPr>
            </w:pPr>
          </w:p>
        </w:tc>
        <w:tc>
          <w:tcPr>
            <w:tcW w:w="15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years through</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1,730,927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2,036,559</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70,404</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0" w:type="dxa"/>
            <w:vAlign w:val="bottom"/>
          </w:tcPr>
          <w:p>
            <w:pPr>
              <w:spacing w:after="0"/>
              <w:rPr>
                <w:sz w:val="1"/>
                <w:szCs w:val="1"/>
                <w:color w:val="auto"/>
              </w:rPr>
            </w:pPr>
          </w:p>
        </w:tc>
      </w:tr>
      <w:tr>
        <w:trPr>
          <w:trHeight w:val="25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149,140</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0" w:type="dxa"/>
            <w:vAlign w:val="bottom"/>
          </w:tcPr>
          <w:p>
            <w:pPr>
              <w:spacing w:after="0"/>
              <w:rPr>
                <w:sz w:val="1"/>
                <w:szCs w:val="1"/>
                <w:color w:val="auto"/>
              </w:rPr>
            </w:pPr>
          </w:p>
        </w:tc>
      </w:tr>
      <w:tr>
        <w:trPr>
          <w:trHeight w:val="281"/>
        </w:trPr>
        <w:tc>
          <w:tcPr>
            <w:tcW w:w="36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301,833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1,946,789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2,395,260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contractual maturities of our loan portfolio as of December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Due in 1</w:t>
            </w:r>
          </w:p>
        </w:tc>
        <w:tc>
          <w:tcPr>
            <w:tcW w:w="18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Due after 1</w:t>
            </w: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Due after 5</w:t>
            </w:r>
          </w:p>
        </w:tc>
        <w:tc>
          <w:tcPr>
            <w:tcW w:w="200" w:type="dxa"/>
            <w:vAlign w:val="bottom"/>
          </w:tcPr>
          <w:p>
            <w:pPr>
              <w:spacing w:after="0"/>
              <w:rPr>
                <w:sz w:val="18"/>
                <w:szCs w:val="18"/>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through</w:t>
            </w:r>
          </w:p>
        </w:tc>
        <w:tc>
          <w:tcPr>
            <w:tcW w:w="160" w:type="dxa"/>
            <w:vAlign w:val="bottom"/>
          </w:tcPr>
          <w:p>
            <w:pPr>
              <w:spacing w:after="0"/>
              <w:rPr>
                <w:sz w:val="15"/>
                <w:szCs w:val="15"/>
                <w:color w:val="auto"/>
              </w:rPr>
            </w:pPr>
          </w:p>
        </w:tc>
        <w:tc>
          <w:tcPr>
            <w:tcW w:w="14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years through</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6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1,343,367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0" w:type="dxa"/>
            <w:vAlign w:val="bottom"/>
          </w:tcPr>
          <w:p>
            <w:pPr>
              <w:spacing w:after="0"/>
              <w:rPr>
                <w:sz w:val="1"/>
                <w:szCs w:val="1"/>
                <w:color w:val="auto"/>
              </w:rPr>
            </w:pPr>
          </w:p>
        </w:tc>
      </w:tr>
      <w:tr>
        <w:trPr>
          <w:trHeight w:val="25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147,733</w:t>
            </w: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0" w:type="dxa"/>
            <w:vAlign w:val="bottom"/>
          </w:tcPr>
          <w:p>
            <w:pPr>
              <w:spacing w:after="0"/>
              <w:rPr>
                <w:sz w:val="1"/>
                <w:szCs w:val="1"/>
                <w:color w:val="auto"/>
              </w:rPr>
            </w:pPr>
          </w:p>
        </w:tc>
      </w:tr>
      <w:tr>
        <w:trPr>
          <w:trHeight w:val="25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0" w:type="dxa"/>
            <w:vAlign w:val="bottom"/>
          </w:tcPr>
          <w:p>
            <w:pPr>
              <w:spacing w:after="0"/>
              <w:rPr>
                <w:sz w:val="1"/>
                <w:szCs w:val="1"/>
                <w:color w:val="auto"/>
              </w:rPr>
            </w:pPr>
          </w:p>
        </w:tc>
      </w:tr>
      <w:tr>
        <w:trPr>
          <w:trHeight w:val="282"/>
        </w:trPr>
        <w:tc>
          <w:tcPr>
            <w:tcW w:w="37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1,548,199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1,946,737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sensitivity to interest rate changes of our loan portfolio as of June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Fixed</w:t>
            </w:r>
          </w:p>
        </w:tc>
        <w:tc>
          <w:tcPr>
            <w:tcW w:w="28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Floating or</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center"/>
              <w:ind w:right="4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280" w:type="dxa"/>
            <w:vAlign w:val="bottom"/>
          </w:tcPr>
          <w:p>
            <w:pPr>
              <w:spacing w:after="0"/>
              <w:rPr>
                <w:sz w:val="15"/>
                <w:szCs w:val="15"/>
                <w:color w:val="auto"/>
              </w:rPr>
            </w:pPr>
          </w:p>
        </w:tc>
        <w:tc>
          <w:tcPr>
            <w:tcW w:w="162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Adjustable</w:t>
            </w:r>
          </w:p>
        </w:tc>
        <w:tc>
          <w:tcPr>
            <w:tcW w:w="400" w:type="dxa"/>
            <w:vAlign w:val="bottom"/>
          </w:tcPr>
          <w:p>
            <w:pPr>
              <w:spacing w:after="0"/>
              <w:rPr>
                <w:sz w:val="15"/>
                <w:szCs w:val="15"/>
                <w:color w:val="auto"/>
              </w:rPr>
            </w:pPr>
          </w:p>
        </w:tc>
        <w:tc>
          <w:tcPr>
            <w:tcW w:w="14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Rates</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517,542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1,519,017</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2,036,559</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70,404</w:t>
            </w:r>
          </w:p>
        </w:tc>
        <w:tc>
          <w:tcPr>
            <w:tcW w:w="0" w:type="dxa"/>
            <w:vAlign w:val="bottom"/>
          </w:tcPr>
          <w:p>
            <w:pPr>
              <w:spacing w:after="0"/>
              <w:rPr>
                <w:sz w:val="1"/>
                <w:szCs w:val="1"/>
                <w:color w:val="auto"/>
              </w:rPr>
            </w:pPr>
          </w:p>
        </w:tc>
      </w:tr>
      <w:tr>
        <w:trPr>
          <w:trHeight w:val="257"/>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5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0" w:type="dxa"/>
            <w:vAlign w:val="bottom"/>
          </w:tcPr>
          <w:p>
            <w:pPr>
              <w:spacing w:after="0"/>
              <w:rPr>
                <w:sz w:val="1"/>
                <w:szCs w:val="1"/>
                <w:color w:val="auto"/>
              </w:rPr>
            </w:pPr>
          </w:p>
        </w:tc>
      </w:tr>
      <w:tr>
        <w:trPr>
          <w:trHeight w:val="257"/>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0" w:type="dxa"/>
            <w:vAlign w:val="bottom"/>
          </w:tcPr>
          <w:p>
            <w:pPr>
              <w:spacing w:after="0"/>
              <w:rPr>
                <w:sz w:val="1"/>
                <w:szCs w:val="1"/>
                <w:color w:val="auto"/>
              </w:rPr>
            </w:pP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149,140</w:t>
            </w: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0" w:type="dxa"/>
            <w:vAlign w:val="bottom"/>
          </w:tcPr>
          <w:p>
            <w:pPr>
              <w:spacing w:after="0"/>
              <w:rPr>
                <w:sz w:val="1"/>
                <w:szCs w:val="1"/>
                <w:color w:val="auto"/>
              </w:rPr>
            </w:pPr>
          </w:p>
        </w:tc>
      </w:tr>
      <w:tr>
        <w:trPr>
          <w:trHeight w:val="256"/>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3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0" w:type="dxa"/>
            <w:vAlign w:val="bottom"/>
          </w:tcPr>
          <w:p>
            <w:pPr>
              <w:spacing w:after="0"/>
              <w:rPr>
                <w:sz w:val="1"/>
                <w:szCs w:val="1"/>
                <w:color w:val="auto"/>
              </w:rPr>
            </w:pPr>
          </w:p>
        </w:tc>
      </w:tr>
      <w:tr>
        <w:trPr>
          <w:trHeight w:val="275"/>
        </w:trPr>
        <w:tc>
          <w:tcPr>
            <w:tcW w:w="56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606,636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2,395,260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sensitivity to interest rate changes of our loan portfolio as of December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Fixed</w:t>
            </w:r>
          </w:p>
        </w:tc>
        <w:tc>
          <w:tcPr>
            <w:tcW w:w="28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Floating or</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center"/>
              <w:ind w:right="4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280" w:type="dxa"/>
            <w:vAlign w:val="bottom"/>
          </w:tcPr>
          <w:p>
            <w:pPr>
              <w:spacing w:after="0"/>
              <w:rPr>
                <w:sz w:val="15"/>
                <w:szCs w:val="15"/>
                <w:color w:val="auto"/>
              </w:rPr>
            </w:pPr>
          </w:p>
        </w:tc>
        <w:tc>
          <w:tcPr>
            <w:tcW w:w="162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Adjustable</w:t>
            </w:r>
          </w:p>
        </w:tc>
        <w:tc>
          <w:tcPr>
            <w:tcW w:w="400" w:type="dxa"/>
            <w:vAlign w:val="bottom"/>
          </w:tcPr>
          <w:p>
            <w:pPr>
              <w:spacing w:after="0"/>
              <w:rPr>
                <w:sz w:val="15"/>
                <w:szCs w:val="15"/>
                <w:color w:val="auto"/>
              </w:rPr>
            </w:pPr>
          </w:p>
        </w:tc>
        <w:tc>
          <w:tcPr>
            <w:tcW w:w="14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5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Rates</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394,648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1,191,584</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0" w:type="dxa"/>
            <w:vAlign w:val="bottom"/>
          </w:tcPr>
          <w:p>
            <w:pPr>
              <w:spacing w:after="0"/>
              <w:rPr>
                <w:sz w:val="1"/>
                <w:szCs w:val="1"/>
                <w:color w:val="auto"/>
              </w:rPr>
            </w:pP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147,733</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0" w:type="dxa"/>
            <w:vAlign w:val="bottom"/>
          </w:tcPr>
          <w:p>
            <w:pPr>
              <w:spacing w:after="0"/>
              <w:rPr>
                <w:sz w:val="1"/>
                <w:szCs w:val="1"/>
                <w:color w:val="auto"/>
              </w:rPr>
            </w:pP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0" w:type="dxa"/>
            <w:vAlign w:val="bottom"/>
          </w:tcPr>
          <w:p>
            <w:pPr>
              <w:spacing w:after="0"/>
              <w:rPr>
                <w:sz w:val="1"/>
                <w:szCs w:val="1"/>
                <w:color w:val="auto"/>
              </w:rPr>
            </w:pPr>
          </w:p>
        </w:tc>
      </w:tr>
      <w:tr>
        <w:trPr>
          <w:trHeight w:val="282"/>
        </w:trPr>
        <w:tc>
          <w:tcPr>
            <w:tcW w:w="56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495,678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1,451,059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1,946,737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loan losses.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loan losses. We periodically employ the 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Troubled Debt Restructurings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a loan to be a TDR when we have granted a concession and the borrower is experiencing financial difficulty. In order to determine whether a borrower is experiencing financial difficulty, an evaluation is performed of the probability that the borrower will be in payment default on any of its debt in the foreseeable future without the modification. This evaluation is performed under our internal underwriting policy. A TDR loan generally is kept on non-accrual status until, among other criteria, the borrower has paid for six consecutive months with no payment defaults, at which time the TDR may be placed back on accrual status.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Deferments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CARES Act, as amended by the Consolidated Appropriations Act, specified that COVID-19-related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modifications (e.g., up to six months) such as payment deferrals, fee waivers, extensions of repayment terms, or delays in payment that are insignificant. We elected to apply these temporary accounting provisions to loans under payment relief beginning in March 2020. As of June 30, 2022, two borrowing relationships with two loans totaling $0.1 million were in a COVID-19 deferment period, and four loans totaling $12.1 million had been in a COVID-19 deferment period in the first quarter of 2022 but were not in such deferment as of June 30, 2022. None of the loans that received COVID-19 deferments in the second quarter of 2022 had the principal portion deferred to the respective maturity of the loan. We accrue and recognize interest income on loans under payment relief based on the original contractual interest rates. When payments resume at the end of the relief period, the payments will generally be applied to accrued interest due until accrued interest is fully paid.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SBA 7(a) Payments Made Under the CARES Act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1112 of the CARES Act required the SBA to make payments on new and existing 7(a) loans for up to six months. The Consolidated Appropriations Act amended this section of the CARES Act to extend the payment on 7(a) loans in existence on March 27, 2020, beginning on February 1, 2021, for up to eight or eleven months, depending on the borrower’s industry code, and to require the SBA to make up to three months of payments on new 7(a) loans approved between February 1, 2021 and September 30, 2021. These payments are not deferments but rather full payments of principal and interest that the borrower will not be responsible for in the future. In the first six months of 2022, the SBA made payments under this program on 29 of our SBA 7(a) loans, totaling $0.2 million in principal and interest. As of June 30, 2022, the principal outstanding on loans that received one or more of these payments under the CARES Act was $5.7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SBA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sold 41 and 91 SBA 7(a) loans, respectively, with government guaranteed portions totaling $14.0 million and $25.7 million, respectively. The Company received gross proceeds of $14.9 million and $27.5 million, respectively, on the loans sold during the three and six months ended June 30, 2022, resulting in the recognition of net gains on sale of $0.8 million and $1.7 million during the three and six months ended June 30, 2022, respectively. The Company did not sell any PPP loans during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our nonperforming and restructured assets and certain other related information as of the dates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76"/>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5"/>
                <w:szCs w:val="15"/>
                <w:color w:val="auto"/>
              </w:rPr>
            </w:pPr>
          </w:p>
        </w:tc>
        <w:tc>
          <w:tcPr>
            <w:tcW w:w="16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50"/>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63"/>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57"/>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non-accrual loans</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past due 90 days or more and still accruing:</w:t>
            </w: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loans past due and still accruing</w:t>
            </w:r>
          </w:p>
        </w:tc>
        <w:tc>
          <w:tcPr>
            <w:tcW w:w="3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32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owned</w:t>
            </w: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deferments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12,156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 TDRs (not included above)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period end nonperforming loans</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5,834.88 %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3,954.30 %</w:t>
            </w:r>
          </w:p>
        </w:tc>
        <w:tc>
          <w:tcPr>
            <w:tcW w:w="0" w:type="dxa"/>
            <w:vAlign w:val="bottom"/>
          </w:tcPr>
          <w:p>
            <w:pPr>
              <w:spacing w:after="0"/>
              <w:rPr>
                <w:sz w:val="1"/>
                <w:szCs w:val="1"/>
                <w:color w:val="auto"/>
              </w:rPr>
            </w:pPr>
          </w:p>
        </w:tc>
      </w:tr>
      <w:tr>
        <w:trPr>
          <w:trHeight w:val="257"/>
        </w:trPr>
        <w:tc>
          <w:tcPr>
            <w:tcW w:w="77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Nonperforming loans to loans held for investment</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56"/>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57"/>
        </w:trPr>
        <w:tc>
          <w:tcPr>
            <w:tcW w:w="77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Nonperforming loans plus performing TDRs to loans held for investment</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56"/>
        </w:trPr>
        <w:tc>
          <w:tcPr>
            <w:tcW w:w="77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COVID-19 deferments to loans held for investment</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540" w:right="5080" w:hanging="5532"/>
        <w:spacing w:after="0" w:line="904" w:lineRule="auto"/>
        <w:tabs>
          <w:tab w:leader="none" w:pos="329"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held for investment are equivalent to total loans outstanding at period end.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ratio of nonperforming loans to loans held for investment decreased from 0.03% as of December 31, 2021 to 0.02% as of June 30, 2022, primarily due to a decrease in nonperforming commercial secured loans and overall loan growth period-over-period.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ratio of the allowance for loan losses to nonperforming loans increased from 3,954.30% as of December 31, 2021 to 5,834.88% as of June 30, 2022. The increase was primarily due to an increase in the allowance for loan losses from December 31, 2021 to June 30, 2022 related to increased reserves based on loan growth and economic conditions during the six months ended June 30, 2022, combined with a decrease in commercial secured non-accrual loans from December 31, 2021 to June 30,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Problem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risk grading system for our loans to aid us in evaluating the overall credit quality of our real estate loan portfolio and assessing the adequacy of our allowance for loan losses. All loans are grouped into a risk category at the time of origination. Commercial real estate loans over $1.0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banking industry defines loans graded substandard or doubtful as “classified” loans. The following table shows our levels of classified loans as of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Watch</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2,020,665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2,036,559</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70,404</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26,246</w:t>
            </w:r>
          </w:p>
        </w:tc>
      </w:tr>
      <w:tr>
        <w:trPr>
          <w:trHeight w:val="25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50,434</w:t>
            </w:r>
          </w:p>
        </w:tc>
      </w:tr>
      <w:tr>
        <w:trPr>
          <w:trHeight w:val="25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136,155</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w:t>
            </w:r>
          </w:p>
        </w:tc>
      </w:tr>
      <w:tr>
        <w:trPr>
          <w:trHeight w:val="25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w:t>
            </w: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2,359,194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2,382,275</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137,062</w:t>
            </w:r>
          </w:p>
        </w:tc>
      </w:tr>
      <w:tr>
        <w:trPr>
          <w:trHeight w:val="25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r>
      <w:tr>
        <w:trPr>
          <w:trHeight w:val="256"/>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7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1,916,805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1,936,066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designated as watch and substandard, which are not considered adversely classified, increased to $23.1 million at June 30, 2022 from $19.3 million at December 31, 2021. Loans designated as watch increased while loans designated substandard decreased period-over-period, resulting in a decrease in the reserve overall since substandard loan designations are less favorable than watch designations, and therefore result in more significant reserves. There were no loans with doubtful risk grades at June 30, 2022 or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Loan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charged-off amounts, if any, are credited to the allowance for loan losses.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prevailing economic conditions. This evaluation is inherently subjective, as it requires estimates that are susceptible to significant revision as more information becomes available.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entire allowance for loan losses is available to absorb losses from any and all loans, the following table represents management’s allocation of our allowance for loan losses by loan category, and the percentage of the allowance for loan losses in each category, for the periods indicated.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the Company’s allowance for loan losses was $25.8 million, as compared to $23.2 million at December 31, 2021. The $2.6 million increase is due to a $3.2 million provision for loan losses recorded for the six months ended June 30, 2022, partially offset by net charge-offs of $0.7 million during the first six months of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allowance for loan losses by loan class as of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5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5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55.37 %</w:t>
            </w:r>
          </w:p>
        </w:tc>
      </w:tr>
      <w:tr>
        <w:trPr>
          <w:trHeight w:val="257"/>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r>
      <w:tr>
        <w:trPr>
          <w:trHeight w:val="257"/>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56"/>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r>
      <w:tr>
        <w:trPr>
          <w:trHeight w:val="257"/>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0.83 %</w:t>
            </w:r>
          </w:p>
        </w:tc>
      </w:tr>
      <w:tr>
        <w:trPr>
          <w:trHeight w:val="257"/>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Farmland</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r>
      <w:tr>
        <w:trPr>
          <w:trHeight w:val="257"/>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6"/>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28.77 %</w:t>
            </w:r>
          </w:p>
        </w:tc>
      </w:tr>
      <w:tr>
        <w:trPr>
          <w:trHeight w:val="257"/>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0.89 %</w:t>
            </w:r>
          </w:p>
        </w:tc>
      </w:tr>
      <w:tr>
        <w:trPr>
          <w:trHeight w:val="256"/>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PPP</w:t>
            </w:r>
          </w:p>
        </w:tc>
        <w:tc>
          <w:tcPr>
            <w:tcW w:w="2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r>
      <w:tr>
        <w:trPr>
          <w:trHeight w:val="256"/>
        </w:trPr>
        <w:tc>
          <w:tcPr>
            <w:tcW w:w="5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Unallocated</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4.78 %</w:t>
            </w:r>
          </w:p>
        </w:tc>
      </w:tr>
      <w:tr>
        <w:trPr>
          <w:trHeight w:val="250"/>
        </w:trPr>
        <w:tc>
          <w:tcPr>
            <w:tcW w:w="5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99.28 %</w:t>
            </w:r>
          </w:p>
        </w:tc>
      </w:tr>
      <w:tr>
        <w:trPr>
          <w:trHeight w:val="257"/>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0.72 %</w:t>
            </w:r>
          </w:p>
        </w:tc>
      </w:tr>
      <w:tr>
        <w:trPr>
          <w:trHeight w:val="275"/>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25,786</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allowance for loan losses to total loans held for investment was 1.08% at June 30, 2022, compared to 1.20% at December 31, 2021. Excluding</w:t>
      </w:r>
    </w:p>
    <w:p>
      <w:pPr>
        <w:spacing w:after="0" w:line="27" w:lineRule="exact"/>
        <w:rPr>
          <w:sz w:val="20"/>
          <w:szCs w:val="20"/>
          <w:color w:val="auto"/>
        </w:rPr>
      </w:pPr>
    </w:p>
    <w:p>
      <w:pPr>
        <w:jc w:val="both"/>
        <w:ind w:firstLine="8"/>
        <w:spacing w:after="0" w:line="253" w:lineRule="auto"/>
        <w:tabs>
          <w:tab w:leader="none" w:pos="3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the ratios of the allowance for loan losses to total loans held for investment were 1.08% and 1.22% at June 30, 2022 and December 31, 2021, respectively. See the section entitled “Non-GAAP Financial Measures” for a reconciliation of our non-GAAP financial measures to the most directly comparable GAAP financial measure. Non-accrual loans totaled $0.4 million, or 0.02% of total loans held for investment, at June 30, 2022, decreasing from $0.6 million, or 0.03% of total loans held for investment, at December 31,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activity within the allowance for loan losses as of and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00" w:type="dxa"/>
            <w:vAlign w:val="bottom"/>
          </w:tcPr>
          <w:p>
            <w:pPr>
              <w:spacing w:after="0"/>
              <w:rPr>
                <w:sz w:val="21"/>
                <w:szCs w:val="21"/>
                <w:color w:val="auto"/>
              </w:rPr>
            </w:pPr>
          </w:p>
        </w:tc>
        <w:tc>
          <w:tcPr>
            <w:tcW w:w="304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0" w:type="dxa"/>
            <w:vAlign w:val="bottom"/>
          </w:tcPr>
          <w:p>
            <w:pPr>
              <w:spacing w:after="0"/>
              <w:rPr>
                <w:sz w:val="1"/>
                <w:szCs w:val="1"/>
                <w:color w:val="auto"/>
              </w:rPr>
            </w:pPr>
          </w:p>
        </w:tc>
      </w:tr>
      <w:tr>
        <w:trPr>
          <w:trHeight w:val="18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100" w:type="dxa"/>
            <w:vAlign w:val="bottom"/>
          </w:tcPr>
          <w:p>
            <w:pPr>
              <w:spacing w:after="0"/>
              <w:rPr>
                <w:sz w:val="15"/>
                <w:szCs w:val="15"/>
                <w:color w:val="auto"/>
              </w:rPr>
            </w:pPr>
          </w:p>
        </w:tc>
        <w:tc>
          <w:tcPr>
            <w:tcW w:w="17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Loans Held</w:t>
            </w:r>
          </w:p>
        </w:tc>
        <w:tc>
          <w:tcPr>
            <w:tcW w:w="300" w:type="dxa"/>
            <w:vAlign w:val="bottom"/>
          </w:tcPr>
          <w:p>
            <w:pPr>
              <w:spacing w:after="0"/>
              <w:rPr>
                <w:sz w:val="15"/>
                <w:szCs w:val="15"/>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6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Loans Held</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loans held for investment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2,217,426</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1,575,243</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23,904</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22,271</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Farmland</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PPP</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charge-offs</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(368)</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25,786</w:t>
            </w: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22,153</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2,380,511</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1,585,462</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loans held for investment</w:t>
            </w:r>
          </w:p>
        </w:tc>
        <w:tc>
          <w:tcPr>
            <w:tcW w:w="2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and for the six months ended</w:t>
            </w: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00" w:type="dxa"/>
            <w:vAlign w:val="bottom"/>
          </w:tcPr>
          <w:p>
            <w:pPr>
              <w:spacing w:after="0"/>
              <w:rPr>
                <w:sz w:val="21"/>
                <w:szCs w:val="21"/>
                <w:color w:val="auto"/>
              </w:rPr>
            </w:pPr>
          </w:p>
        </w:tc>
        <w:tc>
          <w:tcPr>
            <w:tcW w:w="304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0" w:type="dxa"/>
            <w:vAlign w:val="bottom"/>
          </w:tcPr>
          <w:p>
            <w:pPr>
              <w:spacing w:after="0"/>
              <w:rPr>
                <w:sz w:val="1"/>
                <w:szCs w:val="1"/>
                <w:color w:val="auto"/>
              </w:rPr>
            </w:pPr>
          </w:p>
        </w:tc>
      </w:tr>
      <w:tr>
        <w:trPr>
          <w:trHeight w:val="18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100" w:type="dxa"/>
            <w:vAlign w:val="bottom"/>
          </w:tcPr>
          <w:p>
            <w:pPr>
              <w:spacing w:after="0"/>
              <w:rPr>
                <w:sz w:val="15"/>
                <w:szCs w:val="15"/>
                <w:color w:val="auto"/>
              </w:rPr>
            </w:pPr>
          </w:p>
        </w:tc>
        <w:tc>
          <w:tcPr>
            <w:tcW w:w="17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Loans Held</w:t>
            </w:r>
          </w:p>
        </w:tc>
        <w:tc>
          <w:tcPr>
            <w:tcW w:w="300" w:type="dxa"/>
            <w:vAlign w:val="bottom"/>
          </w:tcPr>
          <w:p>
            <w:pPr>
              <w:spacing w:after="0"/>
              <w:rPr>
                <w:sz w:val="15"/>
                <w:szCs w:val="15"/>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6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Loans Held</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loans held for investment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2,093,891</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1,549,580</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23,243</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22,189</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Farmland</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PPP</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charge-offs</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25,786</w:t>
            </w: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22,153</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2,380,511</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1,585,462</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loans held for investment</w:t>
            </w:r>
          </w:p>
        </w:tc>
        <w:tc>
          <w:tcPr>
            <w:tcW w:w="2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loan losses to loans held for investment decreased from 1.40% as of June 30, 2021 to 1.08% as of June 30, 2022. The decrease was primarily due to a 50.15% increase in loans held for investment period-over-period, while the allowance for loan losses increased by only 16.40% period-over-period. Increases in the allowance for loan losses as a result of overall loan growth were partially offset by a reduction in reserves related to loans designated as watch and substandard between June 30, 2021 and June 30,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charge-offs as a percent of average loans held for investment increased from 0.01% to 0.02% for the three months ended June 30, 2021 and June 30, 2022, respectively. The net charge-off rate related to the commercial secured portfolio remained stable at 0.01% for the three months ended June 30, 2021 and 2022, while the net charge-off rate related to the consumer and other portfolio increased to 0.01% period-over-period.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charge-offs as a percent of average loans held for investment increased from 0.02% to 0.03% for the six months ended June 30, 2021 and June 30, 2022, respectively. The net charge-off rate related to the commercial secured portfolio remained stable at 0.02% for the six months ended June 30, 2021 and 2022, while the net charge-off rate related to the consumer and other portfolio increased to 0.01% period-over-period.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2022, total liabilities increased by $281.2 million from $2.3 billion as of December 31, 2021 to $2.6 billion as of June 30, 2022. This increase was primarily due to an increase in total deposits of $215.4 million, comprised of increases of $103.9 million in non-interest-bearing deposits and $111.5 million in interest-bearing deposits, as well as an increase in FHLB advances of $60.0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96.10% of our total liabilities as of June 30, 2022, deposits are our primary source of funding for our business operations.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deposits increased by $215.4 million, or 9.42%, to $2.5 billion at June 30, 2022 from $2.3 billion at December 31, 2021. Deposit increases were primarily attributable to an increase in the number of new relationships, as well as normal fluctuations in some of our larger accounts. Non-interest-bearing deposits increased by $103.9 million from December 31, 2021 to $1.0 billion and represented 40.22% of total deposits at June 30, 2022, compared to 39.46% of total deposits at December 31, 2021. Our loan to deposit ratio was 95.69% at June 30, 2022, as compared to 85.09% at December 31, 2021. We intend to continue to operate our business with a loan to deposit ratio similar to these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deposit composition by average deposits and average rates paid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41"/>
        </w:trPr>
        <w:tc>
          <w:tcPr>
            <w:tcW w:w="2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 Paid</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Total Deposits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 Paid</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Total Deposits</w:t>
            </w:r>
          </w:p>
        </w:tc>
        <w:tc>
          <w:tcPr>
            <w:tcW w:w="0" w:type="dxa"/>
            <w:vAlign w:val="bottom"/>
          </w:tcPr>
          <w:p>
            <w:pPr>
              <w:spacing w:after="0"/>
              <w:rPr>
                <w:sz w:val="1"/>
                <w:szCs w:val="1"/>
                <w:color w:val="auto"/>
              </w:rPr>
            </w:pPr>
          </w:p>
        </w:tc>
      </w:tr>
      <w:tr>
        <w:trPr>
          <w:trHeight w:val="25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255,665</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150,732</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1,078,233</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1,024,895</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50.23 %</w:t>
            </w:r>
          </w:p>
        </w:tc>
        <w:tc>
          <w:tcPr>
            <w:tcW w:w="0" w:type="dxa"/>
            <w:vAlign w:val="bottom"/>
          </w:tcPr>
          <w:p>
            <w:pPr>
              <w:spacing w:after="0"/>
              <w:rPr>
                <w:sz w:val="1"/>
                <w:szCs w:val="1"/>
                <w:color w:val="auto"/>
              </w:rPr>
            </w:pPr>
          </w:p>
        </w:tc>
      </w:tr>
      <w:tr>
        <w:trPr>
          <w:trHeight w:val="263"/>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174,991</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36,741</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969,053</w:t>
            </w:r>
          </w:p>
        </w:tc>
        <w:tc>
          <w:tcPr>
            <w:tcW w:w="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827,992</w:t>
            </w:r>
          </w:p>
        </w:tc>
        <w:tc>
          <w:tcPr>
            <w:tcW w:w="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40.58 %</w:t>
            </w:r>
          </w:p>
        </w:tc>
        <w:tc>
          <w:tcPr>
            <w:tcW w:w="0" w:type="dxa"/>
            <w:vAlign w:val="bottom"/>
          </w:tcPr>
          <w:p>
            <w:pPr>
              <w:spacing w:after="0"/>
              <w:rPr>
                <w:sz w:val="1"/>
                <w:szCs w:val="1"/>
                <w:color w:val="auto"/>
              </w:rPr>
            </w:pPr>
          </w:p>
        </w:tc>
      </w:tr>
      <w:tr>
        <w:trPr>
          <w:trHeight w:val="282"/>
        </w:trPr>
        <w:tc>
          <w:tcPr>
            <w:tcW w:w="2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2,477,942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2,040,360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41"/>
        </w:trPr>
        <w:tc>
          <w:tcPr>
            <w:tcW w:w="2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 Paid</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Total Deposits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 Paid</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Total Deposits</w:t>
            </w:r>
          </w:p>
        </w:tc>
        <w:tc>
          <w:tcPr>
            <w:tcW w:w="0" w:type="dxa"/>
            <w:vAlign w:val="bottom"/>
          </w:tcPr>
          <w:p>
            <w:pPr>
              <w:spacing w:after="0"/>
              <w:rPr>
                <w:sz w:val="1"/>
                <w:szCs w:val="1"/>
                <w:color w:val="auto"/>
              </w:rPr>
            </w:pPr>
          </w:p>
        </w:tc>
      </w:tr>
      <w:tr>
        <w:trPr>
          <w:trHeight w:val="25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265,962</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152,694</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1,044,854</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976,844</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49.89 %</w:t>
            </w:r>
          </w:p>
        </w:tc>
        <w:tc>
          <w:tcPr>
            <w:tcW w:w="0" w:type="dxa"/>
            <w:vAlign w:val="bottom"/>
          </w:tcPr>
          <w:p>
            <w:pPr>
              <w:spacing w:after="0"/>
              <w:rPr>
                <w:sz w:val="1"/>
                <w:szCs w:val="1"/>
                <w:color w:val="auto"/>
              </w:rPr>
            </w:pPr>
          </w:p>
        </w:tc>
      </w:tr>
      <w:tr>
        <w:trPr>
          <w:trHeight w:val="263"/>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151,454</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41,430</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945,511</w:t>
            </w:r>
          </w:p>
        </w:tc>
        <w:tc>
          <w:tcPr>
            <w:tcW w:w="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786,955</w:t>
            </w:r>
          </w:p>
        </w:tc>
        <w:tc>
          <w:tcPr>
            <w:tcW w:w="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40.19 %</w:t>
            </w:r>
          </w:p>
        </w:tc>
        <w:tc>
          <w:tcPr>
            <w:tcW w:w="0" w:type="dxa"/>
            <w:vAlign w:val="bottom"/>
          </w:tcPr>
          <w:p>
            <w:pPr>
              <w:spacing w:after="0"/>
              <w:rPr>
                <w:sz w:val="1"/>
                <w:szCs w:val="1"/>
                <w:color w:val="auto"/>
              </w:rPr>
            </w:pPr>
          </w:p>
        </w:tc>
      </w:tr>
      <w:tr>
        <w:trPr>
          <w:trHeight w:val="281"/>
        </w:trPr>
        <w:tc>
          <w:tcPr>
            <w:tcW w:w="2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2,407,781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1,957,923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Uninsured deposits totaled $1.4 billion and $1.3 billion at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our 30 largest deposit relationships, each accounting for more than $10.0 million, totaled $966.1 million, or 38.62% of our total deposits. As of December 31, 2021, our 26 largest deposit relationships, each accounting for more than $10.0 million, totaled $912.7 million, or 39.93% of our total deposits. Overall, our large deposit relationships have been relatively consistent over time and have helped to continue to grow our deposit base. Our large deposit relationships are comprised of the following entity types as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5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424,483</w:t>
            </w:r>
          </w:p>
        </w:tc>
      </w:tr>
      <w:tr>
        <w:trPr>
          <w:trHeight w:val="25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Non-profits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181,080</w:t>
            </w:r>
          </w:p>
        </w:tc>
      </w:tr>
      <w:tr>
        <w:trPr>
          <w:trHeight w:val="257"/>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Businesses</w:t>
            </w:r>
          </w:p>
        </w:tc>
        <w:tc>
          <w:tcPr>
            <w:tcW w:w="2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294,005</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307,132</w:t>
            </w:r>
          </w:p>
        </w:tc>
      </w:tr>
      <w:tr>
        <w:trPr>
          <w:trHeight w:val="257"/>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966,099</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912,695</w:t>
            </w:r>
          </w:p>
        </w:tc>
      </w:tr>
      <w:tr>
        <w:trPr>
          <w:trHeight w:val="21"/>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largest single deposit relationship relates to a non-profit association that supports hospitals and health systems. The balances for this customer were $175.5 million, or 7.02% of total deposits, at June 30, 2022 and $155.0 million, or 6.78% of total deposits, at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maturity of time deposits as of June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60" w:type="dxa"/>
            <w:vAlign w:val="bottom"/>
          </w:tcPr>
          <w:p>
            <w:pPr>
              <w:spacing w:after="0"/>
              <w:rPr>
                <w:sz w:val="17"/>
                <w:szCs w:val="17"/>
                <w:color w:val="auto"/>
              </w:rPr>
            </w:pPr>
          </w:p>
        </w:tc>
        <w:tc>
          <w:tcPr>
            <w:tcW w:w="12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Uninsured</w:t>
            </w:r>
          </w:p>
        </w:tc>
        <w:tc>
          <w:tcPr>
            <w:tcW w:w="0" w:type="dxa"/>
            <w:vAlign w:val="bottom"/>
          </w:tcPr>
          <w:p>
            <w:pPr>
              <w:spacing w:after="0"/>
              <w:rPr>
                <w:sz w:val="1"/>
                <w:szCs w:val="1"/>
                <w:color w:val="auto"/>
              </w:rPr>
            </w:pPr>
          </w:p>
        </w:tc>
      </w:tr>
      <w:tr>
        <w:trPr>
          <w:trHeight w:val="241"/>
        </w:trPr>
        <w:tc>
          <w:tcPr>
            <w:tcW w:w="44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than $250,000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Portion</w:t>
            </w:r>
          </w:p>
        </w:tc>
        <w:tc>
          <w:tcPr>
            <w:tcW w:w="0" w:type="dxa"/>
            <w:vAlign w:val="bottom"/>
          </w:tcPr>
          <w:p>
            <w:pPr>
              <w:spacing w:after="0"/>
              <w:rPr>
                <w:sz w:val="1"/>
                <w:szCs w:val="1"/>
                <w:color w:val="auto"/>
              </w:rPr>
            </w:pPr>
          </w:p>
        </w:tc>
      </w:tr>
      <w:tr>
        <w:trPr>
          <w:trHeight w:val="252"/>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maturity:</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Three months or less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184,096</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178,751</w:t>
            </w:r>
          </w:p>
        </w:tc>
        <w:tc>
          <w:tcPr>
            <w:tcW w:w="0" w:type="dxa"/>
            <w:vAlign w:val="bottom"/>
          </w:tcPr>
          <w:p>
            <w:pPr>
              <w:spacing w:after="0"/>
              <w:rPr>
                <w:sz w:val="1"/>
                <w:szCs w:val="1"/>
                <w:color w:val="auto"/>
              </w:rPr>
            </w:pPr>
          </w:p>
        </w:tc>
      </w:tr>
      <w:tr>
        <w:trPr>
          <w:trHeight w:val="25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2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twelve months</w:t>
            </w: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5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187,628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204,006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184,128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FHLB Advances and Other Borrowings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utilize short-term collateralized FHLB borrowings to maintain adequate liquidity. There were borrowings of $60.0 million outstanding as of June 30, 2022 and no borrowings outstanding as of December 31, 2021.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2017 and 2019, we issued subordinated notes of $25.0 million and $3.8 million, respectively. This debt was issued to investors in private placement transactions. See Note 8, Long Term Debt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 The following table is a summary of our outstanding subordinated notes as of June 30,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 of Notes</w:t>
            </w:r>
          </w:p>
        </w:tc>
        <w:tc>
          <w:tcPr>
            <w:tcW w:w="8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Prepayment Right</w:t>
            </w:r>
          </w:p>
        </w:tc>
        <w:tc>
          <w:tcPr>
            <w:tcW w:w="10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r>
      <w:tr>
        <w:trPr>
          <w:trHeight w:val="256"/>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2017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28, 2022</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15, 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5175" cy="291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259" w:lineRule="exact"/>
        <w:rPr>
          <w:sz w:val="20"/>
          <w:szCs w:val="20"/>
          <w:color w:val="auto"/>
        </w:rPr>
      </w:pPr>
    </w:p>
    <w:p>
      <w:pPr>
        <w:ind w:left="180" w:right="680"/>
        <w:spacing w:after="0" w:line="282" w:lineRule="auto"/>
        <w:rPr>
          <w:sz w:val="20"/>
          <w:szCs w:val="20"/>
          <w:color w:val="auto"/>
        </w:rPr>
      </w:pPr>
      <w:r>
        <w:rPr>
          <w:rFonts w:ascii="Times New Roman" w:cs="Times New Roman" w:eastAsia="Times New Roman" w:hAnsi="Times New Roman"/>
          <w:sz w:val="18"/>
          <w:szCs w:val="18"/>
          <w:color w:val="auto"/>
        </w:rPr>
        <w:t>Fixed at 6.00% through September 15, 2022, then three-month London Inter-bank Offered Rate ("LIBOR") plus 404.4 basis points (6.04% as of June 30, 2022) through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15175"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23" w:lineRule="exact"/>
        <w:rPr>
          <w:sz w:val="20"/>
          <w:szCs w:val="20"/>
          <w:color w:val="auto"/>
        </w:rPr>
      </w:pPr>
    </w:p>
    <w:p>
      <w:pPr>
        <w:ind w:left="20"/>
        <w:spacing w:after="0"/>
        <w:tabs>
          <w:tab w:leader="none" w:pos="2560" w:val="left"/>
          <w:tab w:leader="none" w:pos="4720" w:val="left"/>
          <w:tab w:leader="none" w:pos="6320" w:val="left"/>
          <w:tab w:leader="none" w:pos="7220" w:val="left"/>
          <w:tab w:leader="none" w:pos="9420" w:val="left"/>
        </w:tabs>
        <w:rPr>
          <w:sz w:val="20"/>
          <w:szCs w:val="20"/>
          <w:color w:val="auto"/>
        </w:rPr>
      </w:pPr>
      <w:r>
        <w:rPr>
          <w:rFonts w:ascii="Times New Roman" w:cs="Times New Roman" w:eastAsia="Times New Roman" w:hAnsi="Times New Roman"/>
          <w:sz w:val="18"/>
          <w:szCs w:val="18"/>
          <w:color w:val="auto"/>
        </w:rPr>
        <w:t>Subordinated notes</w:t>
      </w:r>
      <w:r>
        <w:rPr>
          <w:sz w:val="20"/>
          <w:szCs w:val="20"/>
          <w:color w:val="auto"/>
        </w:rPr>
        <w:tab/>
      </w:r>
      <w:r>
        <w:rPr>
          <w:rFonts w:ascii="Times New Roman" w:cs="Times New Roman" w:eastAsia="Times New Roman" w:hAnsi="Times New Roman"/>
          <w:sz w:val="18"/>
          <w:szCs w:val="18"/>
          <w:color w:val="auto"/>
        </w:rPr>
        <w:t>November 2019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3,750</w:t>
      </w:r>
      <w:r>
        <w:rPr>
          <w:sz w:val="20"/>
          <w:szCs w:val="20"/>
          <w:color w:val="auto"/>
        </w:rPr>
        <w:tab/>
      </w:r>
      <w:r>
        <w:rPr>
          <w:rFonts w:ascii="Times New Roman" w:cs="Times New Roman" w:eastAsia="Times New Roman" w:hAnsi="Times New Roman"/>
          <w:sz w:val="18"/>
          <w:szCs w:val="18"/>
          <w:color w:val="auto"/>
        </w:rPr>
        <w:t>September 30, 2022</w:t>
      </w:r>
      <w:r>
        <w:rPr>
          <w:sz w:val="20"/>
          <w:szCs w:val="20"/>
          <w:color w:val="auto"/>
        </w:rPr>
        <w:tab/>
      </w:r>
      <w:r>
        <w:rPr>
          <w:rFonts w:ascii="Times New Roman" w:cs="Times New Roman" w:eastAsia="Times New Roman" w:hAnsi="Times New Roman"/>
          <w:sz w:val="17"/>
          <w:szCs w:val="17"/>
          <w:color w:val="auto"/>
        </w:rPr>
        <w:t>September 15,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1517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Fixed at 5.50% through September 15, 2022, then three-month LIBOR plus 354.4 basis points (5.54% as of June 30, 2022) through maturity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Shareholders’ equity totaled $233.2 million at June 30, 2022 and $235.0 million at December 31, 2021. The decrease in shareholders’ equity was primarily attributable to net income recognized of $19.8 million, offset by a net decline of $12.2 million in other comprehensive income and $10.1 million in cash distributions paid during the six months ended June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the liquidity of the Bank on a stand-alone basis pursuant to applicable guidance and policies.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credit, market, operational, legal, or reputational risks could also affect the Bank’s liquidity risk profile and are considered in the assessment of liquidity management.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corporation separate and apart from the Bank and, therefore, must provide for its own liquidity, including liquidity required to meet its debt service requirements on its subordinated debt.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sale of loans. Less commonly used sources of funding include borrowings from the Federal Reserve Bank of San Francisco discount window, draws on established federal funds lines from unaffiliated commercial banks, and the issuance of debt or equity securities. We believe we have ample liquidity resources to fund future growth and meet other cash needs as necessary.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officers and board of directors review our sources and potential uses of cash in connection with our annual budgeting process. Generally speaking, our principal funding source is cash from gathering of deposits, and our principal uses of cash include funding of loans, operating expenses,</w:t>
      </w: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and dividend payments, as described below. In 2021, we also had significant cash inflows as a result of our IPO. As of June 30, 2022, management believes the above-mentioned sources will provide adequate liquidity during the next twelve months for the Bank to meet its operating needs.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IPO</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7, 2021, we completed our IPO at a price of $20.00 per share. We raised approximately $111.2 million in net proceeds after deducting underwriting discounts and commissions of approximately $8.5 million and certain estimated offering expenses payable by us of approximately of $1.3 million. The net proceeds less $2.1 million in other related expenses, including audit fees, legal fees, listing fees, and other expenses totaled $109.1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had cash outflows of $436.2 million in loan originations and advances, net of principal collected, and $37.0 million in loans originated for sale.</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we enter into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June 30, 2022, total off-balance sheet commitments totaled $280.0 million. We expect to fund these commitments to the extent utilized primarily through the repayment of existing loans, deposit growth, and liquid assets.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are our primary source of funding for our business operations, and the cost of deposits has a significant impact on our net interest income and net interest margin.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deposits are primarily made up of money market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had significant cash inflows related to an increase in deposits of $215.4 million, primarily as a result of an increase in the number of new relationships and fluctuations in existing accounts.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Over the next twelve months, approximately $202.9 million of time deposits are expected to mature. As these time deposits mature, some of these deposits may not renew due to the competition in the Bank’s marketplace. However, based on our historical runoff experience, we expect the outflow will not be significant and can be replenished through our organic growth in deposits. We believe our emphasis on local deposits, combined with our liquid investment portfolio, provides a stable funding base.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investment securities totaled $126.9 million at June 30, 2022. At June 30, 2022, 52.07% and 29.29% of our investment portfolio consisted of mortgage-backed securities and obligations of states and political subdivisions,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$4.4 million from our securities for the remainder of 2022. In future periods, we expect to maintain approximately the same level of cash flows from our securities. Depending on market yield and our liquidity, we may purchase securities as a use of cash in our interest-earning asset portfolio.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we had cash proceeds from sales, maturities, calls, and prepayments of securities of $10.6 million, offset by cash outflows of $1.6 million related to investment securities purchased. Additionally, at June 30, 2022, securities available-for-sale totaled $122.4 million, of which $21.7 million have been pledged as collateral for borrowings and other commitments.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Contractual Obligations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estimated future obligations as of June 30, 2022 include both current and long-term obligations. Under our operating leases as discussed in Note 7, Leases, in the notes to our unaudited consolidated financial statements included in this Quarterly Report on Form 10-Q, we have a current obligation of $0.5 million and a long-term obligation of $4.5 million. We also have a current obligation of $188.8 million and a long-term obligation of $15.2 million related to time deposits, as discussed in Note 6, Interest-Bearing Deposits, in the notes to our unaudited consolidated financial statements included in this Quarterly Report on Form 10-Q. We have subordinated notes of $28.4 million, all of which are long-term obligations. Finally, we have one significant contract for core processing services. While the actual obligation is unknown and dependent on certain factors, including volume and activity, when using our 2021 average monthly expense extrapolated over the remaining life of the contract, we estimate that our current obligation under this contract is $1.1 million and our long-term obligation is zero until the contract is renewed.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FHLB Financing</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is a shareholder of the FHLB, which enables the Bank to have access to lower-cost FHLB financing when necessary. At June 30, 2022, the Bank had outstanding borrowings of $60.0 million and a total financing availability of $280.0 million, net of letters of credit issued of $545.5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use of liquidity for the Company is shareholder dividends. The Company paid dividends to its shareholders totaling $2.6 million during the three months ended June 30, 2022, and $10.1 million during the six months ended June 30, 2022, including a cash distribution in the amount of $4.9 million paid on March 17, 2022 to shareholders of record as of May 3, 2021, for the Company's final accumulated adjustments account payout, which is described in further detail in the Company’s Proxy Statement filed with the SEC and mailed to shareholders on April 6, 2022.</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2022 at a rate of $0.15 per share, which is the rate of each of our last four quarterly dividend payments, our average total dividend paid each quarter would be approximately $2.6 million based on the number of current outstanding shares if there are no increases or decreases in the number of shares, and given that unvested RSAs share equally in dividends with outstanding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Inflation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Historical Information</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 activities: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73"/>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w:t>
            </w:r>
          </w:p>
        </w:tc>
      </w:tr>
      <w:tr>
        <w:trPr>
          <w:trHeight w:val="23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(308,787)</w:t>
            </w: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(81,458)</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cash provided by operating activities decreased by $10.4 million for the six months ended June 30, 2022 as compared to the six months ended June 30, 2021, primarily due to increases in loans originated for sale and deferred taxes, partially offset by an increase in proceeds from sale of loans and the provision for loan losses. Various other, less material items made up the remainder of the change. Cash provided by operating activities is subject to variability period-over-period as a result of timing differences, including with respect to the collection of receivables and payments of interest expense, accounts payable, and bonuses.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increased by $308.8 million for the six months ended June 30, 2022 as compared to the six months ended June 30, 2021, primarily due to an increase in loan originations, net of repayments, and a decrease in proceeds from the sale of securities available-for-sale, partially offset by a decrease in purchases of securities available-for-sale.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decreased by $81.5 million for the six months ended June 30, 2022 as compared to the six months ended June 30, 2021, primarily from proceeds from issuance of stock during our IPO that occurred during the six months ended June 30, 2021, but did not recur during the six months ended June 30,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Adequacy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capital by tracking our level and quality of capital with consideration given to our overall financial condition, our asset quality, our level of allowance for loan losses, our geographic and industry concentrations, and other risk factors on our balance sheet, including interest rate sensitivity.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unaudited consolidated financial statements. As a bank holding company with less than $3.0 billion in total consolidated assets and that meets certain other criteria, we currently operate under the Small Bank Holding Company Policy Statement and, accordingly, are exempt from the Board of Governors of the Federal Reserve System’s generally applicable risk-based capital ratio and leverage ratio requirements. The Bank is subject to minimum risk-based and leverage capital requirements under federal regulations implementing the Basel III framework, and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June 30, 2022, both Bancorp and the Bank were in compliance with all applicable regulatory capital requirements, and the Bank qualified as “well-capitalized” under the prompt corrective action framework.</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capital adequacy ratios as of June 30, 2022 and December 31, 2021 for Bancorp and the Bank are presented in the following tables. As of June 30, 2022 and December 31, 2021, Bancorp’s Tier 2 capital included subordinated debt, which was not included at the Bank level.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 to be Well-</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6"/>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Required for 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Capitalized under Prompt</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6"/>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Corrective Action</w:t>
            </w:r>
          </w:p>
        </w:tc>
        <w:tc>
          <w:tcPr>
            <w:tcW w:w="0" w:type="dxa"/>
            <w:vAlign w:val="bottom"/>
          </w:tcPr>
          <w:p>
            <w:pPr>
              <w:spacing w:after="0"/>
              <w:rPr>
                <w:sz w:val="1"/>
                <w:szCs w:val="1"/>
                <w:color w:val="auto"/>
              </w:rPr>
            </w:pPr>
          </w:p>
        </w:tc>
      </w:tr>
      <w:tr>
        <w:trPr>
          <w:trHeight w:val="26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 for Bancorp</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Adequacy Purposes</w:t>
            </w:r>
            <w:r>
              <w:rPr>
                <w:rFonts w:ascii="Times New Roman" w:cs="Times New Roman" w:eastAsia="Times New Roman" w:hAnsi="Times New Roman"/>
                <w:sz w:val="23"/>
                <w:szCs w:val="23"/>
                <w:b w:val="1"/>
                <w:bCs w:val="1"/>
                <w:color w:val="auto"/>
                <w:vertAlign w:val="superscript"/>
              </w:rPr>
              <w:t>1</w:t>
            </w:r>
          </w:p>
        </w:tc>
        <w:tc>
          <w:tcPr>
            <w:tcW w:w="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Provisions</w:t>
            </w:r>
          </w:p>
        </w:tc>
        <w:tc>
          <w:tcPr>
            <w:tcW w:w="0" w:type="dxa"/>
            <w:vAlign w:val="bottom"/>
          </w:tcPr>
          <w:p>
            <w:pPr>
              <w:spacing w:after="0"/>
              <w:rPr>
                <w:sz w:val="1"/>
                <w:szCs w:val="1"/>
                <w:color w:val="auto"/>
              </w:rPr>
            </w:pPr>
          </w:p>
        </w:tc>
      </w:tr>
      <w:tr>
        <w:trPr>
          <w:trHeight w:val="24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56"/>
        </w:trPr>
        <w:tc>
          <w:tcPr>
            <w:tcW w:w="3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297,999</w:t>
            </w: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11.77 %</w:t>
            </w:r>
          </w:p>
        </w:tc>
        <w:tc>
          <w:tcPr>
            <w:tcW w:w="2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202,548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8.00 %</w:t>
            </w:r>
          </w:p>
        </w:tc>
        <w:tc>
          <w:tcPr>
            <w:tcW w:w="154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243,668</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151,976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6.00 %</w:t>
            </w:r>
          </w:p>
        </w:tc>
        <w:tc>
          <w:tcPr>
            <w:tcW w:w="1540" w:type="dxa"/>
            <w:vAlign w:val="bottom"/>
            <w:gridSpan w:val="5"/>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243,668</w:t>
            </w:r>
          </w:p>
        </w:tc>
        <w:tc>
          <w:tcPr>
            <w:tcW w:w="1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2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113,982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4.50 %</w:t>
            </w:r>
          </w:p>
        </w:tc>
        <w:tc>
          <w:tcPr>
            <w:tcW w:w="154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243,668</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8.81 %</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110,632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4.00 %</w:t>
            </w:r>
          </w:p>
        </w:tc>
        <w:tc>
          <w:tcPr>
            <w:tcW w:w="1540" w:type="dxa"/>
            <w:vAlign w:val="bottom"/>
            <w:gridSpan w:val="5"/>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285,128</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13.98 %</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163,177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8.00 %</w:t>
            </w:r>
          </w:p>
        </w:tc>
        <w:tc>
          <w:tcPr>
            <w:tcW w:w="1540" w:type="dxa"/>
            <w:vAlign w:val="bottom"/>
            <w:gridSpan w:val="5"/>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233,397</w:t>
            </w: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11.44 %</w:t>
            </w:r>
          </w:p>
        </w:tc>
        <w:tc>
          <w:tcPr>
            <w:tcW w:w="2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122,382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6.00 %</w:t>
            </w:r>
          </w:p>
        </w:tc>
        <w:tc>
          <w:tcPr>
            <w:tcW w:w="154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8"/>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233,397</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11.44 %</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91,787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4.50 %</w:t>
            </w:r>
          </w:p>
        </w:tc>
        <w:tc>
          <w:tcPr>
            <w:tcW w:w="1540" w:type="dxa"/>
            <w:vAlign w:val="bottom"/>
            <w:gridSpan w:val="5"/>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233,397</w:t>
            </w: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9.47 %</w:t>
            </w:r>
          </w:p>
        </w:tc>
        <w:tc>
          <w:tcPr>
            <w:tcW w:w="2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98,600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4.00 %</w:t>
            </w:r>
          </w:p>
        </w:tc>
        <w:tc>
          <w:tcPr>
            <w:tcW w:w="154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558"/>
        </w:trPr>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Ratio to be Well-</w:t>
            </w: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6"/>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Capitalized under Prompt</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6"/>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Required for 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6"/>
          </w:tcPr>
          <w:p>
            <w:pPr>
              <w:ind w:left="420"/>
              <w:spacing w:after="0" w:line="202" w:lineRule="exact"/>
              <w:rPr>
                <w:sz w:val="20"/>
                <w:szCs w:val="20"/>
                <w:color w:val="auto"/>
              </w:rPr>
            </w:pPr>
            <w:r>
              <w:rPr>
                <w:rFonts w:ascii="Times New Roman" w:cs="Times New Roman" w:eastAsia="Times New Roman" w:hAnsi="Times New Roman"/>
                <w:sz w:val="18"/>
                <w:szCs w:val="18"/>
                <w:b w:val="1"/>
                <w:bCs w:val="1"/>
                <w:color w:val="auto"/>
              </w:rPr>
              <w:t>Corrective Action</w:t>
            </w:r>
          </w:p>
        </w:tc>
        <w:tc>
          <w:tcPr>
            <w:tcW w:w="0" w:type="dxa"/>
            <w:vAlign w:val="bottom"/>
          </w:tcPr>
          <w:p>
            <w:pPr>
              <w:spacing w:after="0"/>
              <w:rPr>
                <w:sz w:val="1"/>
                <w:szCs w:val="1"/>
                <w:color w:val="auto"/>
              </w:rPr>
            </w:pPr>
          </w:p>
        </w:tc>
      </w:tr>
      <w:tr>
        <w:trPr>
          <w:trHeight w:val="25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 for the Bank</w:t>
            </w: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Adequacy Purposes</w:t>
            </w: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Provisions</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spacing w:after="0"/>
              <w:rPr>
                <w:sz w:val="21"/>
                <w:szCs w:val="21"/>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gridSpan w:val="3"/>
          </w:tcPr>
          <w:p>
            <w:pPr>
              <w:spacing w:after="0"/>
              <w:rPr>
                <w:sz w:val="21"/>
                <w:szCs w:val="21"/>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0" w:type="dxa"/>
            <w:vAlign w:val="bottom"/>
          </w:tcPr>
          <w:p>
            <w:pPr>
              <w:spacing w:after="0"/>
              <w:rPr>
                <w:sz w:val="1"/>
                <w:szCs w:val="1"/>
                <w:color w:val="auto"/>
              </w:rPr>
            </w:pPr>
          </w:p>
        </w:tc>
      </w:tr>
      <w:tr>
        <w:trPr>
          <w:trHeight w:val="256"/>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8.00 %</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253,117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10.00 %</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151,817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6.00 %</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202,423</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8.00 %</w:t>
            </w: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4.50 %</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164,468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6.50 %</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4.00 %</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138,194</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5.00 %</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8.00 %</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203,848</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10.00 %</w:t>
            </w:r>
          </w:p>
        </w:tc>
        <w:tc>
          <w:tcPr>
            <w:tcW w:w="0" w:type="dxa"/>
            <w:vAlign w:val="bottom"/>
          </w:tcPr>
          <w:p>
            <w:pPr>
              <w:spacing w:after="0"/>
              <w:rPr>
                <w:sz w:val="1"/>
                <w:szCs w:val="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6.00 %</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163,078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8.00 %</w:t>
            </w:r>
          </w:p>
        </w:tc>
        <w:tc>
          <w:tcPr>
            <w:tcW w:w="0" w:type="dxa"/>
            <w:vAlign w:val="bottom"/>
          </w:tcPr>
          <w:p>
            <w:pPr>
              <w:spacing w:after="0"/>
              <w:rPr>
                <w:sz w:val="1"/>
                <w:szCs w:val="1"/>
                <w:color w:val="auto"/>
              </w:rPr>
            </w:pPr>
          </w:p>
        </w:tc>
      </w:tr>
      <w:tr>
        <w:trPr>
          <w:trHeight w:val="218"/>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4.50 %</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132,501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6.50 %</w:t>
            </w:r>
          </w:p>
        </w:tc>
        <w:tc>
          <w:tcPr>
            <w:tcW w:w="0" w:type="dxa"/>
            <w:vAlign w:val="bottom"/>
          </w:tcPr>
          <w:p>
            <w:pPr>
              <w:spacing w:after="0"/>
              <w:rPr>
                <w:sz w:val="1"/>
                <w:szCs w:val="1"/>
                <w:color w:val="auto"/>
              </w:rPr>
            </w:pPr>
          </w:p>
        </w:tc>
      </w:tr>
      <w:tr>
        <w:trPr>
          <w:trHeight w:val="2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4.00 %</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123,193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5.00 %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right="640" w:hanging="332"/>
        <w:spacing w:after="0" w:line="229" w:lineRule="auto"/>
        <w:tabs>
          <w:tab w:leader="none" w:pos="331"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Presented as if Bancorp were subject to Basel III capital requirements. The Company operates under the Small Bank Holding Company Policy Statement and therefore is not currently subject to generally applicable capital adequacy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case may be, in the most directly comparable measure calculated and presented in accordance with GAAP in our consolidated statements of income, balance sheets, statements of shareholders’ equity, or statements of cash flows.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Allowance for loan losses to total loans held for investment, excluding PPP loans, is defined as allowance for loan losses, divided by total loans held for investment less PPP loans. The most directly comparable GAAP financial measure is allowance for loan losses to total loans held for investment.</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Average loans held for investment and sale, excluding PPP loans, is defined as the daily average loans held for investment and sale, excluding the daily average PPP loans, and includes both performing and nonperforming loans. The most directly comparable GAAP measure is average loans held for investment and sale.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 yield, excluding PPP loans, is defined as the daily average loan yield, excluding PPP loans, and includes both performing and nonperforming loans. The most directly comparable GAAP financial measure is average loan yield.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reconciliation table provides a more detailed analysis of these non-GAAP financial measures, along with their most directly comparable financial measures calculated in accordance with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loan losses to total loans held for investment, excluding PPP loans</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(numerator)</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23,243</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2,380,511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1,934,460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PPP loans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22,124</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loans held for investment, excluding PPP loans (denominator)</w:t>
            </w: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2,380,511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1,912,336</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total loans held for investment, excluding PPP loans</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loans held for investment and sale, excluding PPP</w:t>
            </w:r>
          </w:p>
        </w:tc>
        <w:tc>
          <w:tcPr>
            <w:tcW w:w="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56"/>
        </w:trPr>
        <w:tc>
          <w:tcPr>
            <w:tcW w:w="50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3"/>
                <w:szCs w:val="13"/>
                <w:color w:val="auto"/>
              </w:rPr>
            </w:pPr>
          </w:p>
        </w:tc>
        <w:tc>
          <w:tcPr>
            <w:tcW w:w="120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175"/>
        </w:trPr>
        <w:tc>
          <w:tcPr>
            <w:tcW w:w="5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loans</w:t>
            </w: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Pr>
          <w:p>
            <w:pPr>
              <w:spacing w:after="0"/>
              <w:rPr>
                <w:sz w:val="21"/>
                <w:szCs w:val="21"/>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loans held for investment and sale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2,227,215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2,102,382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1,552,364</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average PPP loans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158,568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167,362</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loans held for investment and sale, excluding PPP loans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2,226,788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1,419,870</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2,097,741</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1,385,002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0" w:type="dxa"/>
            <w:vAlign w:val="bottom"/>
          </w:tcPr>
          <w:p>
            <w:pPr>
              <w:spacing w:after="0"/>
              <w:rPr>
                <w:sz w:val="20"/>
                <w:szCs w:val="20"/>
                <w:color w:val="auto"/>
              </w:rPr>
            </w:pPr>
          </w:p>
        </w:tc>
        <w:tc>
          <w:tcPr>
            <w:tcW w:w="29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169"/>
        </w:trPr>
        <w:tc>
          <w:tcPr>
            <w:tcW w:w="46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Average loan yield, excluding PPP loans</w:t>
            </w:r>
          </w:p>
        </w:tc>
        <w:tc>
          <w:tcPr>
            <w:tcW w:w="2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r>
      <w:tr>
        <w:trPr>
          <w:trHeight w:val="24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fee income on loans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37,239</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 and fee income on PPP loans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1,771</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4,172</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fee income on loans, excluding PPP loans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33,067</w:t>
            </w:r>
          </w:p>
        </w:tc>
      </w:tr>
      <w:tr>
        <w:trPr>
          <w:trHeight w:val="211"/>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interest and fee income on loans, excluding PPP</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6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(numerator)</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99,537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67,605</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93,361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66,682</w:t>
            </w:r>
          </w:p>
        </w:tc>
      </w:tr>
      <w:tr>
        <w:trPr>
          <w:trHeight w:val="210"/>
        </w:trPr>
        <w:tc>
          <w:tcPr>
            <w:tcW w:w="4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loans held for investment and sale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2,227,215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1,578,438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2,102,382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1,552,364</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PPP loans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158,568</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167,362</w:t>
            </w:r>
          </w:p>
        </w:tc>
      </w:tr>
      <w:tr>
        <w:trPr>
          <w:trHeight w:val="156"/>
        </w:trPr>
        <w:tc>
          <w:tcPr>
            <w:tcW w:w="46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Average loans held for investment and sale, excluding PPP</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4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(denominator)</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2,226,788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1,419,870</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2,097,741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1,385,002</w:t>
            </w:r>
          </w:p>
        </w:tc>
      </w:tr>
      <w:tr>
        <w:trPr>
          <w:trHeight w:val="22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loan yield, excluding PPP loans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Legislative and Regulatory Developments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21, 2022, the FDIC issued a proposed rule to increase initial base deposit insurance assessment rates for insured depository institutions by two basis points, beginning with the first quarterly assessment period of 2023. The proposed assessment rate schedules would remain in effect unless and until the reserve ratio of the Deposit Insurance Fund meets or exceeds two percent. If the proposed rule is finalized as proposed, the FDIC insurance costs of insured depository institutions, including the Bank, would generally increase.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2022, the federal banking agencies issued a proposed rule that would substantially revise how they evaluate an insured depository institution’s record of satisfying the credit needs of its entire community, including low- and moderate-income individuals and neighborhoods, under the Community Reinvestment Act. Management is evaluating the potential impact of the proposed rule on the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as of June 30, 2022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Rule 13a-15(f) under the Exchange Act) that occurred during the three months ended June 30, 2022 that has materially affected, or is reasonably likely to materially affect, such controls.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of the Company’s Annual report on Form 10-K for the year ended December 31, 2021, previously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8320" w:firstLine="8"/>
        <w:spacing w:after="0" w:line="498" w:lineRule="auto"/>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references to filings previously made with the SEC.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80" w:type="dxa"/>
            <w:vAlign w:val="bottom"/>
          </w:tcPr>
          <w:p>
            <w:pPr>
              <w:spacing w:after="0"/>
              <w:rPr>
                <w:sz w:val="21"/>
                <w:szCs w:val="21"/>
                <w:color w:val="auto"/>
              </w:rPr>
            </w:pPr>
          </w:p>
        </w:tc>
      </w:tr>
      <w:tr>
        <w:trPr>
          <w:trHeight w:val="194"/>
        </w:trPr>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12"/>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02"/>
        </w:trPr>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4900" w:type="dxa"/>
            <w:vAlign w:val="bottom"/>
            <w:gridSpan w:val="15"/>
          </w:tcPr>
          <w:p>
            <w:pPr>
              <w:spacing w:after="0" w:line="20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Articles of Incorporation of Five Star</w:t>
              </w:r>
            </w:hyperlink>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001-40379</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June 17, 2021</w:t>
            </w:r>
          </w:p>
        </w:tc>
        <w:tc>
          <w:tcPr>
            <w:tcW w:w="1180" w:type="dxa"/>
            <w:vAlign w:val="bottom"/>
          </w:tcPr>
          <w:p>
            <w:pPr>
              <w:spacing w:after="0"/>
              <w:rPr>
                <w:sz w:val="17"/>
                <w:szCs w:val="17"/>
                <w:color w:val="auto"/>
              </w:rPr>
            </w:pPr>
          </w:p>
        </w:tc>
      </w:tr>
      <w:tr>
        <w:trPr>
          <w:trHeight w:val="183"/>
        </w:trPr>
        <w:tc>
          <w:tcPr>
            <w:tcW w:w="1020" w:type="dxa"/>
            <w:vAlign w:val="bottom"/>
          </w:tcPr>
          <w:p>
            <w:pPr>
              <w:spacing w:after="0"/>
              <w:rPr>
                <w:sz w:val="15"/>
                <w:szCs w:val="15"/>
                <w:color w:val="auto"/>
              </w:rPr>
            </w:pPr>
          </w:p>
        </w:tc>
        <w:tc>
          <w:tcPr>
            <w:tcW w:w="62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Bancorp</w:t>
              </w:r>
            </w:hyperlink>
          </w:p>
        </w:tc>
        <w:tc>
          <w:tcPr>
            <w:tcW w:w="378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4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Amended and Restated Bylaws of Five Star Bancorp</w:t>
            </w:r>
          </w:p>
        </w:tc>
        <w:tc>
          <w:tcPr>
            <w:tcW w:w="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41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Form of Common Stock Certificate of Five Star Bancorp</w:t>
              </w:r>
            </w:hyperlink>
          </w:p>
        </w:tc>
        <w:tc>
          <w:tcPr>
            <w:tcW w:w="780" w:type="dxa"/>
            <w:vAlign w:val="bottom"/>
            <w:gridSpan w:val="9"/>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333-255143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26, 2021</w:t>
            </w:r>
          </w:p>
        </w:tc>
        <w:tc>
          <w:tcPr>
            <w:tcW w:w="1180" w:type="dxa"/>
            <w:vAlign w:val="bottom"/>
          </w:tcPr>
          <w:p>
            <w:pPr>
              <w:spacing w:after="0"/>
              <w:rPr>
                <w:sz w:val="20"/>
                <w:szCs w:val="20"/>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4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48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140" w:type="dxa"/>
            <w:vAlign w:val="bottom"/>
            <w:tcBorders>
              <w:top w:val="single" w:sz="8" w:color="0000FF"/>
            </w:tcBorders>
            <w:gridSpan w:val="3"/>
          </w:tcPr>
          <w:p>
            <w:pPr>
              <w:spacing w:after="0"/>
              <w:rPr>
                <w:sz w:val="17"/>
                <w:szCs w:val="17"/>
                <w:color w:val="auto"/>
              </w:rPr>
            </w:pPr>
          </w:p>
        </w:tc>
        <w:tc>
          <w:tcPr>
            <w:tcW w:w="70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42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140" w:type="dxa"/>
            <w:vAlign w:val="bottom"/>
            <w:tcBorders>
              <w:top w:val="single" w:sz="8" w:color="0000FF"/>
            </w:tcBorders>
            <w:gridSpan w:val="3"/>
          </w:tcPr>
          <w:p>
            <w:pPr>
              <w:spacing w:after="0"/>
              <w:rPr>
                <w:sz w:val="17"/>
                <w:szCs w:val="17"/>
                <w:color w:val="auto"/>
              </w:rPr>
            </w:pPr>
          </w:p>
        </w:tc>
        <w:tc>
          <w:tcPr>
            <w:tcW w:w="70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5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w:t>
            </w:r>
          </w:p>
        </w:tc>
        <w:tc>
          <w:tcPr>
            <w:tcW w:w="400" w:type="dxa"/>
            <w:vAlign w:val="bottom"/>
            <w:gridSpan w:val="3"/>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0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76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4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w:t>
            </w:r>
          </w:p>
        </w:tc>
        <w:tc>
          <w:tcPr>
            <w:tcW w:w="460" w:type="dxa"/>
            <w:vAlign w:val="bottom"/>
            <w:gridSpan w:val="5"/>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0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by Section 906 of the Sarbanes-Oxley</w:t>
            </w: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58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3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4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4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Interactive Data</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2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1020" w:type="dxa"/>
            <w:vAlign w:val="bottom"/>
          </w:tcPr>
          <w:p>
            <w:pPr>
              <w:spacing w:after="0"/>
              <w:rPr>
                <w:sz w:val="20"/>
                <w:szCs w:val="20"/>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document in Exhibit 101)</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 Star Bancorp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11, 2022</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Beckwith</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Beckwith</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11, 2022</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Luck</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Luck</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8"/>
        </w:trPr>
        <w:tc>
          <w:tcPr>
            <w:tcW w:w="3480" w:type="dxa"/>
            <w:vAlign w:val="bottom"/>
          </w:tcPr>
          <w:p>
            <w:pPr>
              <w:spacing w:after="0"/>
              <w:rPr>
                <w:sz w:val="24"/>
                <w:szCs w:val="24"/>
                <w:color w:val="auto"/>
              </w:rPr>
            </w:pPr>
          </w:p>
        </w:tc>
        <w:tc>
          <w:tcPr>
            <w:tcW w:w="18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82</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4" w:name="page85"/>
    <w:bookmarkEnd w:id="84"/>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FIVE STAR BANCORP</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on May 19, 2022)</w:t>
      </w:r>
    </w:p>
    <w:p>
      <w:pPr>
        <w:spacing w:after="0" w:line="200" w:lineRule="exact"/>
        <w:rPr>
          <w:sz w:val="20"/>
          <w:szCs w:val="20"/>
          <w:color w:val="auto"/>
        </w:rPr>
      </w:pPr>
    </w:p>
    <w:p>
      <w:pPr>
        <w:spacing w:after="0" w:line="3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u w:val="single" w:color="auto"/>
          <w:color w:val="auto"/>
        </w:rPr>
        <w:t>Offices</w:t>
      </w:r>
    </w:p>
    <w:p>
      <w:pPr>
        <w:spacing w:after="0" w:line="17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Principal Office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principal executive office of the corporation is hereby located at such place as the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(the “Board”) shall determine. The Board is hereby granted full power and authority to change said principal executive office from one location to another.</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Other Offices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business offices may, at any time, be established by the Board at such other places as it deems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w:t>
      </w:r>
    </w:p>
    <w:p>
      <w:pPr>
        <w:spacing w:after="0" w:line="36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Meetings of Shareholders</w:t>
      </w:r>
    </w:p>
    <w:p>
      <w:pPr>
        <w:spacing w:after="0" w:line="179"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2.1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Place of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Meetings of shareholders may be held at such place within or outside the state of California,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no place, as designated by the Board, or by means of remote communication. In the absence of any such designation, shareholders’ meetings shall be held at the principal executive office of the corporation.</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Annual Meeting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The annual meeting of shareholders shall be held for the election of directors on a date and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designated by the Board. The date so designated shall be within fifteen months after the last annual meeting. At such meeting, directors shall be elected, and any other proper business within the power of the shareholders may be transacted. The Board may postpone, reschedule or cancel any annual meeting.</w:t>
      </w:r>
    </w:p>
    <w:p>
      <w:pPr>
        <w:spacing w:after="0" w:line="15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To the extent permitted by applicable law, nominations of persons for election to the Board and the proposal of business to be considered by the shareholders may be made at a meeting of shareholders: (i) pursuant to the corporation’s notice of meeting of shareholders (with respect to business other than nominations); (ii) brought specifically by or at the direction of the Board; or (iii) by any shareholder of the corporation who was a shareholder of record at the time of giving the shareholder’s notice provided in the following paragraph, who is entitled to vote at the meeting and who complied with the notice procedures set forth in this Section 2.2. For the avoidance of doubt, clause (iii) above shall be the exclusive means for a shareholder to make nominations and submit other business (other than matters properly included in the corporation’s notice of meeting of shareholders and proxy statement under Rule 14a-8 under the Securities Exchange Act of 1934, as amended, and the rules and regulations thereunder (the “1934 Act”)) before an annual meeting of shareholders.</w:t>
      </w:r>
    </w:p>
    <w:p>
      <w:pPr>
        <w:sectPr>
          <w:pgSz w:w="11900" w:h="16838" w:orient="portrait"/>
          <w:cols w:equalWidth="0" w:num="1">
            <w:col w:w="11240"/>
          </w:cols>
          <w:pgMar w:left="320" w:top="1440" w:right="339" w:bottom="1440" w:gutter="0" w:footer="0" w:header="0"/>
        </w:sectPr>
      </w:pPr>
    </w:p>
    <w:bookmarkStart w:id="85" w:name="page86"/>
    <w:bookmarkEnd w:id="85"/>
    <w:p>
      <w:pPr>
        <w:jc w:val="both"/>
        <w:ind w:firstLine="332"/>
        <w:spacing w:after="0" w:line="255" w:lineRule="auto"/>
        <w:tabs>
          <w:tab w:leader="none" w:pos="65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 annual meeting of the shareholders, only such business shall be conducted as is a proper matter for shareholder action under California law and as shall have been properly brought before the meeting in accordance with the procedures below.</w:t>
      </w:r>
    </w:p>
    <w:p>
      <w:pPr>
        <w:spacing w:after="0" w:line="134" w:lineRule="exact"/>
        <w:rPr>
          <w:rFonts w:ascii="Times New Roman" w:cs="Times New Roman" w:eastAsia="Times New Roman" w:hAnsi="Times New Roman"/>
          <w:sz w:val="21"/>
          <w:szCs w:val="21"/>
          <w:color w:val="auto"/>
        </w:rPr>
      </w:pPr>
    </w:p>
    <w:p>
      <w:pPr>
        <w:jc w:val="both"/>
        <w:ind w:firstLine="656"/>
        <w:spacing w:after="0" w:line="208" w:lineRule="auto"/>
        <w:tabs>
          <w:tab w:leader="none" w:pos="94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nominations for the election to the Board to be properly brought before an annual meeting by a shareholder pursuant to clause (iii) of Section 2.2(a) of these bylaws, the shareholder must deliver written notice to the secretary at the principal executive offices of the corporation on a timely basis as set forth in Section 2.2(b)(iii) and must update and supplement such written notice on a timely basis as set forth in Section 2.2(c). Such shareholder’s notice shall set forth: (A) as to each nominee such shareholder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a statement that such nominee agrees to tender an irrevocable resignation to the secretary, to be effective upon (x) such person’s failure to receive the required vote for re-election in any uncontested election at which such person would face re-election and (y) acceptance of such resignation by the Board and (6)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(including such person’s written consent to being named as a nominee and to serving as a director if elected); and (B) the information required by Section 2.2(b)(iv). The corporation may require any proposed nominee to furnish such other information as it may reasonably require to determine the eligibility of such proposed nominee to serve as an independent director of the corporation or that could be material to a reasonable shareholder’s understanding of the independence, or lack thereof, of such proposed nominee.</w:t>
      </w:r>
    </w:p>
    <w:p>
      <w:pPr>
        <w:spacing w:after="0" w:line="160" w:lineRule="exact"/>
        <w:rPr>
          <w:rFonts w:ascii="Times New Roman" w:cs="Times New Roman" w:eastAsia="Times New Roman" w:hAnsi="Times New Roman"/>
          <w:sz w:val="22"/>
          <w:szCs w:val="22"/>
          <w:color w:val="auto"/>
        </w:rPr>
      </w:pPr>
    </w:p>
    <w:p>
      <w:pPr>
        <w:jc w:val="both"/>
        <w:ind w:firstLine="656"/>
        <w:spacing w:after="0" w:line="211" w:lineRule="auto"/>
        <w:tabs>
          <w:tab w:leader="none" w:pos="96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proposals sought to be included in the corporation’s proxy materials pursuant to Rule 14a-8 under the 1934 Act, for business other than nominations for the election to the Board of Directors to be properly brought before an annual meeting by a shareholder pursuant to clause (iii) of Section 2.2(a) of these bylaws, the shareholder must deliver written notice to the secretary at the principal executive offices of the corporation on a timely basis as set forth in Section 2.2(b)(iii), and must update and supplement such written notice on a timely basis as set forth in Section 2.2(c). Such shareholder’s notice shall set forth: (A) as to each matter such shareholder proposes to bring before the meeting, a brief description of the business desired to be brought before the meeting, the reasons for conducting such business at the meeting, and any material interest in such business of any Proponent (as defined below) (including any anticipated benefit of such business to any Proponent other than solely as a result of its ownership of the corporation’s capital stock, that is material to any Proponent individually, or to the Proponents in the aggregate); and (B) the information required by Section 2.2(b)(iv).</w:t>
      </w:r>
    </w:p>
    <w:p>
      <w:pPr>
        <w:spacing w:after="0" w:line="151" w:lineRule="exact"/>
        <w:rPr>
          <w:rFonts w:ascii="Times New Roman" w:cs="Times New Roman" w:eastAsia="Times New Roman" w:hAnsi="Times New Roman"/>
          <w:sz w:val="22"/>
          <w:szCs w:val="22"/>
          <w:color w:val="auto"/>
        </w:rPr>
      </w:pPr>
    </w:p>
    <w:p>
      <w:pPr>
        <w:jc w:val="both"/>
        <w:ind w:firstLine="656"/>
        <w:spacing w:after="0" w:line="211" w:lineRule="auto"/>
        <w:tabs>
          <w:tab w:leader="none" w:pos="104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timely, the written notice required by Section 2.2(b)(i) or 2.2(b)(ii) must be received by the secretary at the principal executive offices of the corporation not later than the close of business on the 90th day nor earlier than the close of business on the 120th day prior to the first anniversary of the preceding year’s annual meeting; provided that, subject to the last sentence of this Section 2.2(b)(iii), in the event that the date of the annual meeting is advanced more than 30 days prior to or delayed by more than 30 days after the anniversary of the preceding year’s annual meeting, notice by the shareholder to be timely must be so received (A) not earlier than the close of business on the 120th day prior to such annual meeting and (B) not later than the close of business on the later of the 90th day prior to such annual meeting or the tenth day following the day on which public announcement of the date of such meeting is first made. In no event shall an adjournment or a postponement of an annual meeting for which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86" w:name="page87"/>
    <w:bookmarkEnd w:id="86"/>
    <w:p>
      <w:pPr>
        <w:spacing w:after="0" w:line="236" w:lineRule="auto"/>
        <w:rPr>
          <w:sz w:val="20"/>
          <w:szCs w:val="20"/>
          <w:color w:val="auto"/>
        </w:rPr>
      </w:pPr>
      <w:r>
        <w:rPr>
          <w:rFonts w:ascii="Times New Roman" w:cs="Times New Roman" w:eastAsia="Times New Roman" w:hAnsi="Times New Roman"/>
          <w:sz w:val="22"/>
          <w:szCs w:val="22"/>
          <w:color w:val="auto"/>
        </w:rPr>
        <w:t>has been given, or the public announcement thereof has been made, commence a new time period for the giving of a shareholder’s notice as described above.</w:t>
      </w:r>
    </w:p>
    <w:p>
      <w:pPr>
        <w:spacing w:after="0" w:line="150" w:lineRule="exact"/>
        <w:rPr>
          <w:sz w:val="20"/>
          <w:szCs w:val="20"/>
          <w:color w:val="auto"/>
        </w:rPr>
      </w:pPr>
    </w:p>
    <w:p>
      <w:pPr>
        <w:jc w:val="both"/>
        <w:ind w:firstLine="656"/>
        <w:spacing w:after="0" w:line="220" w:lineRule="auto"/>
        <w:tabs>
          <w:tab w:leader="none" w:pos="1022"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written notice required by Section 2.2(b)(i) or 2.2(b)(ii) shall also set forth, as of the date of the notice and as to the shareholder giving the notice and the beneficial owner, if any, on whose behalf the nomination or proposal is made (each, a “Proponent” and collectively, the “Proponents”): (A) the name and address of each Proponent, as they appear on the corporation’s books; (B) the class, series and number of shares of the corporation that are owned beneficially and of record by each Proponent;</w:t>
      </w:r>
    </w:p>
    <w:p>
      <w:pPr>
        <w:spacing w:after="0" w:line="2" w:lineRule="exact"/>
        <w:rPr>
          <w:rFonts w:ascii="Times New Roman" w:cs="Times New Roman" w:eastAsia="Times New Roman" w:hAnsi="Times New Roman"/>
          <w:sz w:val="21"/>
          <w:szCs w:val="21"/>
          <w:color w:val="auto"/>
        </w:rPr>
      </w:pPr>
    </w:p>
    <w:p>
      <w:pPr>
        <w:jc w:val="both"/>
        <w:ind w:firstLine="8"/>
        <w:spacing w:after="0" w:line="208" w:lineRule="auto"/>
        <w:tabs>
          <w:tab w:leader="none" w:pos="34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2.2(b)(i)) or to propose the business that is specified in the notice (with respect to a notice under Section 2.2(b)(ii)); (E) a representation as to whether the Proponents intend to deliver a proxy statement and form of proxy to holders of a sufficient number of holders of the corporation’s voting shares to elect such nominee or nominees (with respect to a notice under Section 2.2(b)(i)) or to carry such proposal (with respect to a notice under Section 2.2(b)(ii)); (F) to the extent known by any Proponent, the name and address of any other shareholder supporting the proposal on the date of such shareholder’s notice; and (G) a description of all Derivative Transactions (as defined below) by each Proponent during the previous twelve month period, including the date of the transactions and the class, series and number of securities involved in, and the material economic terms of, such Derivative Transactions.</w:t>
      </w:r>
    </w:p>
    <w:p>
      <w:pPr>
        <w:spacing w:after="0" w:line="149" w:lineRule="exact"/>
        <w:rPr>
          <w:rFonts w:ascii="Times New Roman" w:cs="Times New Roman" w:eastAsia="Times New Roman" w:hAnsi="Times New Roman"/>
          <w:sz w:val="22"/>
          <w:szCs w:val="22"/>
          <w:color w:val="auto"/>
        </w:rPr>
      </w:pPr>
    </w:p>
    <w:p>
      <w:pPr>
        <w:jc w:val="both"/>
        <w:ind w:firstLine="332"/>
        <w:spacing w:after="0" w:line="211" w:lineRule="auto"/>
        <w:tabs>
          <w:tab w:leader="none" w:pos="62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shareholder providing written notice required by Section 2.2(b)(i) or 2.2(b)(ii) shall update and supplement such notice in writing, if necessary, so that the information provided or required to be provided in such notice is true and correct in all material respects as of (i) the record date for the meeting and (ii) the date that is five business days prior to the meeting and, in the event of any adjournment or postponement thereof, five business days prior to such adjourned or postponed meeting. In the case of an update and supplement pursuant to clause (i) of this Section 2.2(c), such update and supplement shall be received by the secretary at the principal executive offices of the corporation not later than five business days after the record date for the meeting. In the case of an update and supplement pursuant to clause (ii) of this Section 2.2(c),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151" w:lineRule="exact"/>
        <w:rPr>
          <w:rFonts w:ascii="Times New Roman" w:cs="Times New Roman" w:eastAsia="Times New Roman" w:hAnsi="Times New Roman"/>
          <w:sz w:val="22"/>
          <w:szCs w:val="22"/>
          <w:color w:val="auto"/>
        </w:rPr>
      </w:pPr>
    </w:p>
    <w:p>
      <w:pPr>
        <w:jc w:val="both"/>
        <w:ind w:firstLine="332"/>
        <w:spacing w:after="0" w:line="212" w:lineRule="auto"/>
        <w:tabs>
          <w:tab w:leader="none" w:pos="64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Section 2.2(b)(iii) to the contrary, in the event that the number of directors of the Board of the corporation is increased and there is no public announcement of the appointment of a director, or, if no appointment was made, of the vacancy, made by the corporation at least ten days before the last day a shareholder may deliver a notice of nomination in accordance with Section 2.2(b)(iii), a shareholder’s notice required by this Section 2.2 and which complies with the requirements in Section 2.2(b)(i), other than the timing requirements in Section 2.2(b)(iii),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56" w:lineRule="exact"/>
        <w:rPr>
          <w:rFonts w:ascii="Times New Roman" w:cs="Times New Roman" w:eastAsia="Times New Roman" w:hAnsi="Times New Roman"/>
          <w:sz w:val="22"/>
          <w:szCs w:val="22"/>
          <w:color w:val="auto"/>
        </w:rPr>
      </w:pPr>
    </w:p>
    <w:p>
      <w:pPr>
        <w:ind w:firstLine="332"/>
        <w:spacing w:after="0" w:line="236" w:lineRule="auto"/>
        <w:tabs>
          <w:tab w:leader="none" w:pos="62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shall not be eligible for election as a director unless the person is nominated either in accordance with clause (ii) of Section 2.2(a), or in accordance with clause (iii)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87" w:name="page88"/>
    <w:bookmarkEnd w:id="87"/>
    <w:p>
      <w:pPr>
        <w:jc w:val="both"/>
        <w:spacing w:after="0" w:line="215" w:lineRule="auto"/>
        <w:rPr>
          <w:sz w:val="20"/>
          <w:szCs w:val="20"/>
          <w:color w:val="auto"/>
        </w:rPr>
      </w:pPr>
      <w:r>
        <w:rPr>
          <w:rFonts w:ascii="Times New Roman" w:cs="Times New Roman" w:eastAsia="Times New Roman" w:hAnsi="Times New Roman"/>
          <w:sz w:val="22"/>
          <w:szCs w:val="22"/>
          <w:color w:val="auto"/>
        </w:rPr>
        <w:t>Section 2.2(a).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2.2(b)(iv)(D) and 2.2(b)(iv)(E), to declare that such proposal or nomination shall not be presented for shareholder action at the meeting and shall be disregarded, notwithstanding that proxies in respect of such nominations or such business may have been solicited or received.</w:t>
      </w:r>
    </w:p>
    <w:p>
      <w:pPr>
        <w:spacing w:after="0" w:line="152" w:lineRule="exact"/>
        <w:rPr>
          <w:sz w:val="20"/>
          <w:szCs w:val="20"/>
          <w:color w:val="auto"/>
        </w:rPr>
      </w:pPr>
    </w:p>
    <w:p>
      <w:pPr>
        <w:jc w:val="both"/>
        <w:ind w:firstLine="332"/>
        <w:spacing w:after="0" w:line="215" w:lineRule="auto"/>
        <w:tabs>
          <w:tab w:leader="none" w:pos="59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2.2, in order to include information with respect to a shareholder proposal in the proxy statement and form of proxy for a shareholders’ meeting, a shareholder must also comply with all applicable requirements of the 1934 Act. Nothing in these bylaws shall be deemed to affect any rights of shareholders to request inclusion of proposals in the corporation’s proxy statement pursuant to Rule 14a-8 under the 1934 Act; provided that any references in these bylaws to the 1934 Act are not intended to and shall not limit the requirements applicable to proposals and/or nominations to be considered pursuant to Section 2.2(a)(iii) of these bylaws.</w:t>
      </w:r>
    </w:p>
    <w:p>
      <w:pPr>
        <w:spacing w:after="0" w:line="152"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2.2,</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94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“affiliates” and “associates” shall have the meanings set forth in Rule 405 under the Securities Act of 1933, as amended, and Rule 12b-2 under the 1934 Act.</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97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“Derivative Transaction” means any agreement, arrangement, interest or understanding entered into by, or on behalf or for the benefit of, any Proponent or any of its affiliates or associates, whether record or beneficial:</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68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which is derived in whole or in part from the value of any class or series of shares or other securities of the corporation,</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641"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otherwise provides any direct or indirect opportunity to gain or share in any gain derived from a change in the value of securities of the corporation,</w:t>
      </w:r>
    </w:p>
    <w:p>
      <w:pPr>
        <w:spacing w:after="0" w:line="150"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or intent of which is to mitigate loss, manage risk or benefit of security value or price changes, or</w:t>
      </w:r>
    </w:p>
    <w:p>
      <w:pPr>
        <w:spacing w:after="0" w:line="179" w:lineRule="exact"/>
        <w:rPr>
          <w:rFonts w:ascii="Times New Roman" w:cs="Times New Roman" w:eastAsia="Times New Roman" w:hAnsi="Times New Roman"/>
          <w:sz w:val="22"/>
          <w:szCs w:val="22"/>
          <w:color w:val="auto"/>
        </w:rPr>
      </w:pPr>
    </w:p>
    <w:p>
      <w:pPr>
        <w:jc w:val="both"/>
        <w:ind w:firstLine="1304"/>
        <w:spacing w:after="0" w:line="224" w:lineRule="auto"/>
        <w:tabs>
          <w:tab w:leader="none" w:pos="1672"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02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announcement” shall mean disclosure in a press release reported by the Dow Jones News Service, Associated Press or comparable national news service or in a document publicly filed by the corporation with the United States Securities and Exchange Commission (the “SEC”) pursuant to Section 13, 14 or 15(d) of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88" w:name="page89"/>
    <w:bookmarkEnd w:id="88"/>
    <w:p>
      <w:pPr>
        <w:jc w:val="both"/>
        <w:spacing w:after="0" w:line="211" w:lineRule="auto"/>
        <w:rPr>
          <w:sz w:val="20"/>
          <w:szCs w:val="20"/>
          <w:color w:val="auto"/>
        </w:rPr>
      </w:pPr>
      <w:r>
        <w:rPr>
          <w:rFonts w:ascii="Times New Roman" w:cs="Times New Roman" w:eastAsia="Times New Roman" w:hAnsi="Times New Roman"/>
          <w:sz w:val="22"/>
          <w:szCs w:val="22"/>
          <w:b w:val="1"/>
          <w:bCs w:val="1"/>
          <w:u w:val="single" w:color="auto"/>
          <w:color w:val="auto"/>
        </w:rPr>
        <w:t>Section 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Special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Special meetings of the shareholders may be called at any time by the Board, the chairperson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the president, or by the holders of shares entitled to cast not less than ten percent of the votes at such meeting. If a special meeting is called by any person or persons other than the Board, the request shall be in writing, specifying the time and place of such meeting and the general nature of the business proposed to be transacted, and shall be delivered personally or by registered mail to the chairperson of the Board, the president, any vice president or the secretary of the corporation. The officer receiving the request shall cause notice to be promptly given to the shareholders entitled to vote that a meeting will be held at a time requested by the person or persons calling the meeting, not less than 35 nor more than 60 days after receipt of the request. If the notice is not given within 20 days after receipt of the request, the person or persons requesting the meeting may give the notice. Nothing in this paragraph shall be construed as limiting, fixing or affecting the time when a meeting of shareholders called by action of the Board may be held.</w:t>
      </w:r>
    </w:p>
    <w:p>
      <w:pPr>
        <w:spacing w:after="0" w:line="15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b w:val="1"/>
          <w:bCs w:val="1"/>
          <w:u w:val="single" w:color="auto"/>
          <w:color w:val="auto"/>
        </w:rPr>
        <w:t>Section 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Notice of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notice, in accordance with Section 2.5, of each annual or special meeting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shareholders shall be given not less than ten nor more than 60 days before the date of the meeting to each shareholder entitled to vote thereat. Such notice shall state the place, date and hour of the meeting and (a) in the case of a special meeting, the general nature of the business to be transacted, and no other business may be transacted, or (b) in the case of the annual meeting, those matters which the Board, at the time of the mailing of the notice, intends to present for action by the shareholders, but, subject to the provisions of applicable law, any proper matter may be presented at the meeting for such action. The notice of any meeting at which directors are to be elected shall include the names of nominees intended at the time of the notice to be presented by the Board for election.</w:t>
      </w:r>
    </w:p>
    <w:p>
      <w:pPr>
        <w:spacing w:after="0" w:line="15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If action is proposed to be taken at any meeting for approval of (a) a contract or transaction in which a director has a direct or indirect financial interest, pursuant to Section 310 of the California Corporations Code, as amended (the “Code”), (b) an amendment of the articles of incorporation, pursuant to Section 902 of the Code, (c) a reorganization of the corporation, pursuant to Section 1201 of the Code, (d) a voluntary dissolution of the corporation, pursuant to Section 1900 of the Code, or (e) a distribution in dissolution other than in accordance with the rights of outstanding preferred shares, pursuant to Section 2007 of the Code, the notice shall also state the general nature of that proposal.</w:t>
      </w:r>
    </w:p>
    <w:p>
      <w:pPr>
        <w:spacing w:after="0" w:line="148"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b w:val="1"/>
          <w:bCs w:val="1"/>
          <w:u w:val="single" w:color="auto"/>
          <w:color w:val="auto"/>
        </w:rPr>
        <w:t>Section 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Manner of Giving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of a shareholders’ meeting shall be given either in writing or by electronic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transmission. If mailed, notice is given when deposited in the United States mail, postage prepaid, directed to the shareholder at the shareholder’s address as it appears on the records of the corporation. If sent via electronic transmission, notice is given as of the sending time recorded at the time of transmission. Notice of the time, place, if any, and purpose of any meeting of shareholders (to the extent required) may be waived in writing, signed by the person entitled to notice thereof, or by electronic transmission by such person, either before or after such meeting, and will be waived by any shareholder by his or her attendance thereat in person, by remote communication, if applicable, or by proxy, except when the shareholder attends a meeting for the express purpose of objecting, at the beginning of the meeting, to the transaction of any business because the meeting is not lawfully called or convened. Any shareholder so waiving notice of such meeting shall be bound by the proceedings of any such meeting in all respects as if due notice thereof had been given.</w:t>
      </w:r>
    </w:p>
    <w:p>
      <w:pPr>
        <w:spacing w:after="0" w:line="15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Section 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Quorum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majority of the shares entitled to vote represented in person or by proxy, shall constitute a quorum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meeting of shareholders. The shareholders present at a duly called or held meeting at which a quorum is present may continue to transact business until adjournment notwithstanding the withdrawal of enough shareholders to leave less than a quorum, if any action taken (other than adjournment) is approved by at least a majority of the shares required to constitute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89" w:name="page90"/>
    <w:bookmarkEnd w:id="89"/>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2.7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Adjourned Meeting and Notice 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shareholders’ meeting, whether or not a quorum is present,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adjourned from time to time, either by the chairperson of the meeting or by the vote of a majority of the shares represented either in person or by proxy at the meeting. At the adjourned meeting, the corporation may transact any business that might have been transacted at the original meeting.</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When any meeting of shareholders, either annual or special, is adjourned to another time or place, notice need not be given of the adjourned meeting if the time and place are announced at the meeting at which the adjournment is taken. However, when any shareholders’ meeting is adjourned for more than 45 days from the date set for the original meeting, or, if after adjournment a new record date is fixed for the adjourned meeting, notice of the adjourned meeting shall be given to each shareholder of record entitled to vote at the meeting.</w:t>
      </w:r>
    </w:p>
    <w:p>
      <w:pPr>
        <w:spacing w:after="0" w:line="14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u w:val="single" w:color="auto"/>
          <w:color w:val="auto"/>
        </w:rPr>
        <w:t>Section 2.8</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Voting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shareholders entitled to notice of any meeting or to vote at any such meeting shall be only persons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whose name shares stand on the stock records of the corporation as of the record date determined in accordance with Section 2.9. Every person entitled to vote shall have the right to do so either in person, by remote communication, if applicable, or by an agent or agents authorized by a proxy granted in accordance with Section 2.12. An agent so appointed need not be a shareholder.</w:t>
      </w:r>
    </w:p>
    <w:p>
      <w:pPr>
        <w:spacing w:after="0" w:line="15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Voting of shares of the corporation shall in all cases be subject to the provisions of Sections 700 through 711, inclusive, of the Code.</w:t>
      </w:r>
    </w:p>
    <w:p>
      <w:pPr>
        <w:spacing w:after="0" w:line="15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On any matter any shareholder may vote part of the shares in favor of the proposal and refrain from voting the remaining shares or vote them against the proposal (other than the election of directors), but, if the shareholder fails to specify the number of shares which the shareholder is voting affirmatively, it will be conclusively presumed that the shareholder’s approving vote is with respect to all shares that the shareholder is entitled to vote. If a quorum is present, the affirmative vote of the majority of the shares represented at the meeting and entitled to vote on any matter (which shares voting affirmatively shall also constitute at least a majority of the required quorum), other than the election of directors, shall be the act of the shareholders, unless the vote of a greater number or voting by classes is required by the Code or by the articles of incorporation.</w:t>
      </w:r>
    </w:p>
    <w:p>
      <w:pPr>
        <w:spacing w:after="0" w:line="15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Shareholders are prohibited from cumulating their votes in any election of directors of the corporation. In any election of directors, the candidates receiving the highest number of affirmative votes of the shares entitled to be voted for them, up to the number of directors to be elected, shall be elected. Votes against the director and votes withheld shall have no legal effect.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2.9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Record Date</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jc w:val="both"/>
        <w:ind w:left="660" w:hanging="652"/>
        <w:spacing w:after="0" w:line="211" w:lineRule="auto"/>
        <w:tabs>
          <w:tab w:leader="none" w:pos="65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fix, in advance, a record date for the determination of the shareholders entitled to notice of any meeting or to vote or entitled to give written consent to corporate action without a meeting. The record date so fixed shall be not more than 60 days nor less than ten days prior to the date of the meeting. When a record date is so fixed, only shareholders of record on that date are entitled to notice of and to vote at the meeting or to give written consent to corporate action without a meeting, as the case may be, notwithstanding any transfer of shares on the books of the corporation after the record date. A record date for a meeting of shareholders shall apply to any adjournment of the meeting unless the Board fixes a new record date for the adjourned meeting. The Board shall fix a new record date if the meeting is adjourned for more than 45 days. If no record date is fixed by the Board, (i) the record date for determining shareholders entitled to notice of or to vote at a meeting of shareholders shall be at the close of business on the business day preceding the day on which notice of the meeting is given or, if notice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1" w:right="339" w:bottom="1440" w:gutter="0" w:footer="0" w:header="0"/>
        </w:sectPr>
      </w:pPr>
    </w:p>
    <w:bookmarkStart w:id="90" w:name="page91"/>
    <w:bookmarkEnd w:id="90"/>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waived, the close of business on the business day preceding the day on which the meeting is held, and (ii) the record date for determining shareholders entitled to give consent pursuant to Section 2.11, when no prior action by the Board has been taken, shall be the day on which the first written consent is given.</w:t>
      </w:r>
    </w:p>
    <w:p>
      <w:pPr>
        <w:spacing w:after="0" w:line="152" w:lineRule="exact"/>
        <w:rPr>
          <w:sz w:val="20"/>
          <w:szCs w:val="20"/>
          <w:color w:val="auto"/>
        </w:rPr>
      </w:pPr>
    </w:p>
    <w:p>
      <w:pPr>
        <w:jc w:val="both"/>
        <w:ind w:left="660" w:hanging="652"/>
        <w:spacing w:after="0" w:line="212" w:lineRule="auto"/>
        <w:tabs>
          <w:tab w:leader="none" w:pos="65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fix, in advance, a record date for the determination of the shareholders entitled to receive payment of any dividend or other distribution, or allotment of any rights, or to exercise any rights in respect of any other lawful action. The record date so fixed shall be not more than 60 days prior to any such action. When a record date is so fixed, only shareholders of record on that date are entitled to receive the dividend, distribution, or allotment of rights, or to exercise rights, as the case may be, notwithstanding any transfer of shares on the books of the corporation after the record date. If no record date is fixed by the Board, the record date for determining shareholders for any such purpose shall be at the close of business on the day on which the Board adopts the resolution relating thereto, or the 60th day prior to the date of such other action, whichever is later.</w:t>
      </w:r>
    </w:p>
    <w:p>
      <w:pPr>
        <w:spacing w:after="0" w:line="15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b w:val="1"/>
          <w:bCs w:val="1"/>
          <w:u w:val="single" w:color="auto"/>
          <w:color w:val="auto"/>
        </w:rPr>
        <w:t>Section 2.10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Consent of Absentees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transactions of any meeting of shareholders, however called and noticed, and wherever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are as valid as though had at a meeting duly held after regular call and notice, if a quorum is present either in person or by proxy, and if, either before or after the meeting, each of the persons entitled to vote, who was not present in person or by proxy, signs a written waiver of notice, or a consent to the holding of the meeting or an approval of the minutes thereof. All such waivers, consents or approvals shall be filed with the corporate records or made a part of the minutes of the meeting. Attendance of a person at a meeting shall constitute a waiver of notice of and presence at such meeting, except when the person objects, at the beginning of the meeting, to the transaction of any business because the meeting is not lawfully called or convened and except that attendance at a meeting is not a waiver of any right to object to the consideration of matters required by the Code to be included in the notice but not so included, if such objection is expressly made at the meeting. Neither the business to be transacted at, nor the purpose of, any regular or special meeting of shareholders need be specified in any written waiver of notice, consent to the holding of the meeting or approval of the minutes of the meeting, except that if action is taken or proposed to be taken for approval of any of those matters specified in the second paragraph of Section 2.4, the waiver of notice, consent or approval shall state the general nature of the proposal.</w:t>
      </w:r>
    </w:p>
    <w:p>
      <w:pPr>
        <w:spacing w:after="0" w:line="146"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b w:val="1"/>
          <w:bCs w:val="1"/>
          <w:u w:val="single" w:color="auto"/>
          <w:color w:val="auto"/>
        </w:rPr>
        <w:t>Section 2.11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Action by Written Consent Without a Meeting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Section 603 of the Code, any action which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at any annual or special meeting of shareholders may be taken without a meeting and without prior notice if a consent in writing, setting forth the action so taken, is signed by the holders of the outstanding shares, or their proxies, having not less than the minimum number of votes that would be necessary to authorize or take such action at a meeting at which all shares entitled to vote thereon were present and voted. All such consents shall be filed with the secretary of the corporation and shall be maintained in the corporate records; provided that (a) unless the consents of all shareholders entitled to vote have been solicited in writing, notice of any shareholder approval without a meeting by less than unanimous consent shall be given, as provided by Section 603(b) of the Code, and (b) in the case of election of directors, such a consent shall be effective only if signed by the holders of all outstanding shares entitled to vote for the election of directors; provided that subject to applicable law, a director may be elected at any time to fill a vacancy on the Board that has not been filled by the directors, by the written consent of the holders of a majority of the outstanding shares entitled to vote for the election of directors. Any written consent may be revoked by a writing received by the secretary of the corporation prior to the time that written consents of the number of shares required to authorize the proposed action have been filed with the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91" w:name="page92"/>
    <w:bookmarkEnd w:id="91"/>
    <w:p>
      <w:pPr>
        <w:jc w:val="both"/>
        <w:spacing w:after="0" w:line="221" w:lineRule="auto"/>
        <w:rPr>
          <w:sz w:val="20"/>
          <w:szCs w:val="20"/>
          <w:color w:val="auto"/>
        </w:rPr>
      </w:pPr>
      <w:r>
        <w:rPr>
          <w:rFonts w:ascii="Times New Roman" w:cs="Times New Roman" w:eastAsia="Times New Roman" w:hAnsi="Times New Roman"/>
          <w:sz w:val="21"/>
          <w:szCs w:val="21"/>
          <w:b w:val="1"/>
          <w:bCs w:val="1"/>
          <w:u w:val="single" w:color="auto"/>
          <w:color w:val="auto"/>
        </w:rPr>
        <w:t>Section 2.12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Proxies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Every person entitled to vote shares or execute written consents has the right to do so either in person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one or more persons authorized by a written proxy executed and dated by such shareholder and filed with the secretary of the corporation prior to the convening of any meeting of the shareholders at which any such proxy is to be used or prior to the use of such written consent. A validly executed proxy which does not state that it is irrevocable continues in full force and effect unless:</w:t>
      </w:r>
    </w:p>
    <w:p>
      <w:pPr>
        <w:spacing w:after="0" w:line="3" w:lineRule="exact"/>
        <w:rPr>
          <w:sz w:val="20"/>
          <w:szCs w:val="20"/>
          <w:color w:val="auto"/>
        </w:rPr>
      </w:pPr>
    </w:p>
    <w:p>
      <w:pPr>
        <w:jc w:val="both"/>
        <w:ind w:firstLine="8"/>
        <w:spacing w:after="0" w:line="211" w:lineRule="auto"/>
        <w:tabs>
          <w:tab w:leader="none" w:pos="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revoked by the person executing it prior to the vote pursuant thereto, by a writing delivered to the corporation stating that the proxy is revoked or by a subsequent proxy executed by the person executing the prior proxy and presented to the meeting, or as to any meeting of shareholders, by attendance at such meeting and voting in person by the person executing the proxy; or (b) written notice of the death or incapacity of the maker of the proxy is received by the corporation before the vote pursuant thereto is counted; provided that no proxy shall be valid after the expiration of 11 months from the date of its execution unless otherwise provided in the proxy.</w:t>
      </w:r>
    </w:p>
    <w:p>
      <w:pPr>
        <w:spacing w:after="0" w:line="15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u w:val="single" w:color="auto"/>
          <w:color w:val="auto"/>
        </w:rPr>
        <w:t>Section 2.13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Inspectors of Election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advance of any meeting of shareholders, the Board may appoint any persons 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nominees for office as inspectors of election to act at such meeting and any adjournment thereof. If no inspectors of election are so appointed, or if any persons so appointed fail to appear or refuse to act, the chairperson of any such meeting may, and on the request of any shareholder or shareholder’s proxy shall, appoint inspectors of election at the meeting. The number of inspectors shall be either one or three. If inspectors are appointed at a meeting on the request of one or more shareholders or proxies, the holders of a majority of shares or their proxies present shall determine whether one or three inspectors are to be appointed.</w:t>
      </w:r>
    </w:p>
    <w:p>
      <w:pPr>
        <w:spacing w:after="0" w:line="15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The duties of such inspectors shall be as prescribed by Section 707(b) of the Code and shall include: determining the number of shares outstanding and the voting power of each; determining the shares represented at the meeting; determining the existence of a quorum; determining the authenticity, validity and the effect of proxies; receiving votes, ballots or consents; hearing and determining all challenges and questions in any way arising in connection with the right to vote; counting and tabulating all votes or consents; determining when the polls shall close; determining the result; and doing such acts as may be proper to conduct the election or vote with fairness to all shareholders. If there are three inspectors of election, the decision, act or certificate of a majority is effective in all respects as the decision, act or certificate of all. In the event that any person appointed as an inspector fails to appear or fails or refuses to act, the vacancy may, and on the request of any shareholder or a shareholder’s proxy shall, be filled by appointment by the Board in advance of the meeting, or at the meeting by the chairperson of the Board.</w:t>
      </w:r>
    </w:p>
    <w:p>
      <w:pPr>
        <w:spacing w:after="0" w:line="14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u w:val="single" w:color="auto"/>
          <w:color w:val="auto"/>
        </w:rPr>
        <w:t>Section 2.14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Conduct of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president shall preside at all meetings of the shareholders and shall conduct each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in a businesslike and fair manner, but shall not be obligated to follow any technical, formal or parliamentary rules or principles of procedure. The presiding officer’s rulings on procedural matters shall be conclusive and binding on all shareholders, unless at the time of ruling a request for a vote is made to the shareholders entitled to vote and represented in person or by proxy at the meeting, in which case the decision of a majority of such shares shall be conclusive and binding on all shareholders. Without limiting the generality of the foregoing, the presiding officer shall have all the powers usually vested in the presiding officer of a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1" w:right="339" w:bottom="1440" w:gutter="0" w:footer="0" w:header="0"/>
        </w:sectPr>
      </w:pPr>
    </w:p>
    <w:bookmarkStart w:id="92" w:name="page93"/>
    <w:bookmarkEnd w:id="92"/>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u w:val="single" w:color="auto"/>
          <w:color w:val="auto"/>
        </w:rPr>
        <w:t>Directors</w:t>
      </w:r>
    </w:p>
    <w:p>
      <w:pPr>
        <w:spacing w:after="0" w:line="17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b w:val="1"/>
          <w:bCs w:val="1"/>
          <w:u w:val="single" w:color="auto"/>
          <w:color w:val="auto"/>
        </w:rPr>
        <w:t>Section 3.1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Powers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provisions of the Code and any limitations in the articles of incorporation and these bylaws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relating to actions required to be approved by the shareholders or by the outstanding shares, the business and affairs of the corporation shall be managed and all corporate powers shall be exercised by or under the direction of the Board. The Board may delegate the management of the day-to-day operations of the business of the corporation to an officer, agent or other person provided that the business and affairs of the corporation shall be managed and all corporate powers shall be exercised under the ultimate direction of the Board. Without prejudice to such general powers, but subject to the same limitations, it is hereby expressly declared that the Board shall have the following powers in addition to the other powers enumerated in these bylaws:</w:t>
      </w:r>
    </w:p>
    <w:p>
      <w:pPr>
        <w:spacing w:after="0" w:line="154" w:lineRule="exact"/>
        <w:rPr>
          <w:sz w:val="20"/>
          <w:szCs w:val="20"/>
          <w:color w:val="auto"/>
        </w:rPr>
      </w:pPr>
    </w:p>
    <w:p>
      <w:pPr>
        <w:jc w:val="both"/>
        <w:ind w:left="660" w:hanging="652"/>
        <w:spacing w:after="0" w:line="225" w:lineRule="auto"/>
        <w:tabs>
          <w:tab w:leader="none" w:pos="65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and remove all the other officers, agents and employees of the corporation, prescribe any qualifications, powers and duties for them that are consistent with law, the articles of incorporation or these bylaws, fix their compensation, and require from them security for faithful service;</w:t>
      </w:r>
    </w:p>
    <w:p>
      <w:pPr>
        <w:spacing w:after="0" w:line="152" w:lineRule="exact"/>
        <w:rPr>
          <w:rFonts w:ascii="Times New Roman" w:cs="Times New Roman" w:eastAsia="Times New Roman" w:hAnsi="Times New Roman"/>
          <w:sz w:val="22"/>
          <w:szCs w:val="22"/>
          <w:color w:val="auto"/>
        </w:rPr>
      </w:pPr>
    </w:p>
    <w:p>
      <w:pPr>
        <w:ind w:left="660" w:hanging="652"/>
        <w:spacing w:after="0" w:line="236" w:lineRule="auto"/>
        <w:tabs>
          <w:tab w:leader="none" w:pos="65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conduct, manage and control the affairs and business of the corporation and to make such rules and regulations therefor not inconsistent with law, the articles of incorporation or these bylaws, as they may deem best;</w:t>
      </w:r>
    </w:p>
    <w:p>
      <w:pPr>
        <w:spacing w:after="0" w:line="150" w:lineRule="exact"/>
        <w:rPr>
          <w:rFonts w:ascii="Times New Roman" w:cs="Times New Roman" w:eastAsia="Times New Roman" w:hAnsi="Times New Roman"/>
          <w:sz w:val="22"/>
          <w:szCs w:val="22"/>
          <w:color w:val="auto"/>
        </w:rPr>
      </w:pPr>
    </w:p>
    <w:p>
      <w:pPr>
        <w:ind w:left="660" w:hanging="652"/>
        <w:spacing w:after="0" w:line="236" w:lineRule="auto"/>
        <w:tabs>
          <w:tab w:leader="none" w:pos="65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adopt, make and use a corporate seal, to prescribe the forms of certificates of stock, and to alter the form of such seal and of such certificates from time to time as in their judgment they may deem best;</w:t>
      </w:r>
    </w:p>
    <w:p>
      <w:pPr>
        <w:spacing w:after="0" w:line="150" w:lineRule="exact"/>
        <w:rPr>
          <w:rFonts w:ascii="Times New Roman" w:cs="Times New Roman" w:eastAsia="Times New Roman" w:hAnsi="Times New Roman"/>
          <w:sz w:val="22"/>
          <w:szCs w:val="22"/>
          <w:color w:val="auto"/>
        </w:rPr>
      </w:pPr>
    </w:p>
    <w:p>
      <w:pPr>
        <w:ind w:left="660" w:hanging="652"/>
        <w:spacing w:after="0" w:line="236" w:lineRule="auto"/>
        <w:tabs>
          <w:tab w:leader="none" w:pos="65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the issuance of shares of stock of the corporation from time to time, upon such terms and for such consideration as may be lawful;</w:t>
      </w:r>
    </w:p>
    <w:p>
      <w:pPr>
        <w:spacing w:after="0" w:line="150"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5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borrow money and incur indebtedness for the purposes of the corporation, and to cause to be executed and delivered therefor, in the corporate name, promissory and capital notes, bonds, debentures, deeds of trust, mortgages, pledges, hypothecations or other evidences of debt and securities therefor and any agreements pertaining thereto;</w:t>
      </w:r>
    </w:p>
    <w:p>
      <w:pPr>
        <w:spacing w:after="0" w:line="152" w:lineRule="exact"/>
        <w:rPr>
          <w:rFonts w:ascii="Times New Roman" w:cs="Times New Roman" w:eastAsia="Times New Roman" w:hAnsi="Times New Roman"/>
          <w:sz w:val="22"/>
          <w:szCs w:val="22"/>
          <w:color w:val="auto"/>
        </w:rPr>
      </w:pPr>
    </w:p>
    <w:p>
      <w:pPr>
        <w:ind w:left="660" w:hanging="652"/>
        <w:spacing w:after="0" w:line="236" w:lineRule="auto"/>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the manner in which and the person or persons by whom any or all of the checks, drafts, notes, contracts and other corporate instruments shall be executed;</w:t>
      </w:r>
    </w:p>
    <w:p>
      <w:pPr>
        <w:spacing w:after="0" w:line="150"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5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appoint and designate, by resolution adopted by a majority of the authorized number of directors, one or more committees, each consisting of two or more directors, including the appointment of alternate members of any committee who may replace any absent member at any meeting of the committee;</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5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the compensation of directors for their services as such and may provide for the payment or reimbursement of any or all expenses reasonably incurred by them in attending meetings of the Board or of any committee of the Board or in the performance of their other duties as directors;</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change the principal executive and principal office for the transaction of the business of the corporation from one location to another as provided in Section 1.1 hereof; to fix and locate from time to time one or more subsidiary offices of the corporation within or outside of the State of California, as provided in Section 1.2 hereof; to designate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22"/>
          <w:szCs w:val="22"/>
          <w:color w:val="auto"/>
        </w:rPr>
        <w:t>place within or outside of the State of California for the holding of any shareholders’ meeting or meetings; and</w:t>
      </w:r>
    </w:p>
    <w:p>
      <w:pPr>
        <w:spacing w:after="0" w:line="179" w:lineRule="exact"/>
        <w:rPr>
          <w:sz w:val="20"/>
          <w:szCs w:val="20"/>
          <w:color w:val="auto"/>
        </w:rPr>
      </w:pPr>
    </w:p>
    <w:p>
      <w:pPr>
        <w:ind w:left="660" w:hanging="652"/>
        <w:spacing w:after="0" w:line="236" w:lineRule="auto"/>
        <w:tabs>
          <w:tab w:leader="none" w:pos="6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to do and perform every act or thing whatever that may pertain to or be authorized by the board of directors of a corporation incorporated under the laws of the State of California.</w:t>
      </w:r>
    </w:p>
    <w:p>
      <w:pPr>
        <w:spacing w:after="0" w:line="14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b w:val="1"/>
          <w:bCs w:val="1"/>
          <w:u w:val="single" w:color="auto"/>
          <w:color w:val="auto"/>
        </w:rPr>
        <w:t>Section 3.2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Number and Qualification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authorized number of directors of the corporation shall not be 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nine nor more than seventeen, until this range is changed by an amendment of the articles of incorporation or by a bylaw amending this Section 3.2 duly adopted by the vote or written consent of holders of a majority of the outstanding shares entitled to vote. The exact number of directors shall be fixed from time to time within the range specified in the articles of incorporation or in this Section 3.2: (i) by a resolution duly adopted by the Board or the vote of a majority of the shares entitled to vote represented at a duly held meeting of shareholders at which a quorum is present, or by the written consent of the holders of a majority of the outstanding shares entitled to vote; (ii) by a bylaw or amendment thereof duly adopted by the Board; or (iii) by approval of the shareholders (as defined in Section 153 of the Code).</w:t>
      </w:r>
    </w:p>
    <w:p>
      <w:pPr>
        <w:spacing w:after="0" w:line="14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3.3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Nominations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Nominations for election of members of the Board may be made by the Board or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of any outstanding class of capital stock of the corporation entitled to vote for the election of directors. Nominations for election of members of the Board may be made at an annual meeting of shareholders in accordance with Section 2.2.</w:t>
      </w:r>
    </w:p>
    <w:p>
      <w:pPr>
        <w:spacing w:after="0" w:line="14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u w:val="single" w:color="auto"/>
          <w:color w:val="auto"/>
        </w:rPr>
        <w:t>Section 3.4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Election and Term of Office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directors shall be elected at each annual meeting of shareholders, but if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meeting is not held or the directors are not elected thereat, the directors may be elected at any special meeting of shareholders held for that purpose. Each director shall hold office until the next annual meeting and until a successor has been elected and qualified. Notwithstanding the rule stated herein that directors shall be elected annually, each director continuing to serve as such at the time of an annual or special meeting of the shareholders shall nevertheless continue as a director until the expiration of the term to which he or she was previously elected by the shareholders, or until his or her earlier prior death, resignation or removal.</w:t>
      </w:r>
    </w:p>
    <w:p>
      <w:pPr>
        <w:spacing w:after="0" w:line="14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b w:val="1"/>
          <w:bCs w:val="1"/>
          <w:u w:val="single" w:color="auto"/>
          <w:color w:val="auto"/>
        </w:rPr>
        <w:t>Section 3.5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Vacancies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Vacancies on the Board, except for a vacancy created by the removal of a director, may be filled by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majority of the remaining directors, though less than a quorum, or by a sole remaining director, and each director so elected shall hold office until the next annual meeting and until such director’s successor has been elected and qualified. A vacancy on the Board created by the removal of a director may only be filled by the vote of a majority of the shares entitled to vote represented at a duly held meeting at which a quorum is present, or by the written consent of the holders of all of the outstanding shares.</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shareholders may elect a director or directors at any time to fill any vacancy or vacancies not filled by the directors. Any such election by written consent other than to fill a vacancy created by removal requires the consent of a majority of the outstanding shares entitled to vote.</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Any director may resign effective upon giving written notice to the chairperson of the Board, the president, secretary, or the Board, unless the notice specifies a later time for the effectiveness of such resignation. If the Board accepts the resignation of a director tendered to take effect at a future time, the Board or the shareholders shall have power to elect a successor to take office when the resignation is to become effective.</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vacancy or vacancies on the Board shall be deemed to exist in case of the death, resignation or removal of any director, or if the authorized number of directors is increased, or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94" w:name="page95"/>
    <w:bookmarkEnd w:id="94"/>
    <w:p>
      <w:pPr>
        <w:jc w:val="both"/>
        <w:spacing w:after="0" w:line="236" w:lineRule="auto"/>
        <w:rPr>
          <w:sz w:val="20"/>
          <w:szCs w:val="20"/>
          <w:color w:val="auto"/>
        </w:rPr>
      </w:pPr>
      <w:r>
        <w:rPr>
          <w:rFonts w:ascii="Times New Roman" w:cs="Times New Roman" w:eastAsia="Times New Roman" w:hAnsi="Times New Roman"/>
          <w:sz w:val="22"/>
          <w:szCs w:val="22"/>
          <w:color w:val="auto"/>
        </w:rPr>
        <w:t>shareholders fail, at any annual or special meeting of shareholders at which any director or directors are elected, to elect the full authorized number of directors to be voted for at that meeting.</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Board may declare vacant the office of a director who has been declared of unsound mind by an order of court or convicted of a felony.</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reduction of the authorized number of directors shall have the effect of removing any director prior to the expiration of the director’s term of office.</w:t>
      </w:r>
    </w:p>
    <w:p>
      <w:pPr>
        <w:spacing w:after="0" w:line="14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b w:val="1"/>
          <w:bCs w:val="1"/>
          <w:u w:val="single" w:color="auto"/>
          <w:color w:val="auto"/>
        </w:rPr>
        <w:t>Section 3.6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Place of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Regular or special meetings of the Board shall be held at any place within or outside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California which has been designated in the notice of meeting or if there is no notice, at the principal executive office of the corporation, or at a place or no place, as designated by resolution of the Board or by the written consent of all members of the Board, or may be held by means of remote communication. Any regular or special meeting is valid wherever held (including by means of remote communication) if held upon written consent of all members of the Board given either before or after the meeting and filed with the secretary of the corporation.</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3.7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Regular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following each annual meeting of shareholders, the Board shall hold a regular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for the purpose of organization, any desired election of officers and the transaction of other business. Notice of this meeting shall not be required.</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Other regular meetings of the Board shall be held from time to time by resolution of the Board or by written consent of all members of the Board. In the absence of such designation, regular meetings shall be held at the principal executive offices of the corporation. Special meetings of the Board may be held either at a place so designated, within the State of California, or at the principal executive office. There shall be no required notice period for any regular meeting of the Board.</w:t>
      </w:r>
    </w:p>
    <w:p>
      <w:pPr>
        <w:spacing w:after="0" w:line="14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3.8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Special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Special meetings of the Board for any purpose or purposes may be called at any time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chairperson of the Board, the Lead Independent Director (as defined below) (if appointed), the president, any vice president, the secretary or by any two directors.</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person or persons calling a special meeting of the Board shall, at least 24 hours before the meeting, give notice thereof by any usual means of communication. Such notice may be communicated, without limitation, in person; by telephone, facsimile, or other electronic transmission; by mail or private carrier; or in the manner and to the extent permitted by applicable law.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Special meetings may be held without notice by the waiver of notice by the directors.</w:t>
      </w:r>
    </w:p>
    <w:p>
      <w:pPr>
        <w:spacing w:after="0" w:line="17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b w:val="1"/>
          <w:bCs w:val="1"/>
          <w:u w:val="single" w:color="auto"/>
          <w:color w:val="auto"/>
        </w:rPr>
        <w:t>Section 3.9</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Quorum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majority of the authorized number of directors constitutes a quorum of the Board for the transaction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except to adjourn as hereinafter provided. Every act or decision done or made by a majority of the directors present at a meeting duly held at which a quorum is present shall be regarded as the act of the Board, unless a greater number be required by the articles of incorporation and subject to the provisions of Section 310 of the Code (as to approval of contracts or transactions in which a director has a direct or indirect material financial interest) and Section 317(e) of the Code (as to indemnification of directors). A meeting at which a quorum is initially present may continue to transact business notwithstanding the withdrawal of directors, if any action taken is approved by at least a majority of the required quorum for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95" w:name="page96"/>
    <w:bookmarkEnd w:id="95"/>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3.10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Participation in Meetings by Remote Communication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of the Board may participate in a meeting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use of a conference telephone or similar communications equipment or other means of remote communication not prohibited by applicable law, so long as all members participating in such meeting can hear one another. Participation in a meeting pursuant to this Section 3.10 constitutes presence in person at such meeting.</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3.11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Waiver of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of a meeting need not be given to any director who signs a waiver of notice or a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holding the meeting or an approval of the minutes of the meeting, whether before or after the meeting, or who attends the meeting without protesting, before the meeting or at its commencement, the lack of notice to such director. All such waivers, consents or approvals shall be filed with the corporate records or made a part of the minutes of the meeting.</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3.12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Adjournment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majority of the directors present, whether or not a quorum is present, may adjourn any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to another time and/or place. Notice of the time and/or place of holding an adjourned meeting need not be given, unless the meeting is adjourned for more than twenty-four hours, in which case notice of the time and place shall be given before the time of the adjourned meeting to the directors who were not present at the time of the adjournment.</w:t>
      </w:r>
    </w:p>
    <w:p>
      <w:pPr>
        <w:spacing w:after="0" w:line="14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Section 3.13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Action Without Meeting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action required or permitted to be taken at any meeting of the Board or a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committee thereof by the Board or such duly authorized committee thereof may be taken without a meeting if all members of the Board or such committee shall consent in writing to such action. Such written consent or consents shall be filed with the minutes of the proceedings of the Board or committee, as the case may be. Such action by written consent shall have the same effect as a unanimous vote of the board.</w:t>
      </w:r>
    </w:p>
    <w:p>
      <w:pPr>
        <w:spacing w:after="0" w:line="14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3.14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Fees and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and members of committees shall be entitled to such compensation, if any,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services, and such reimbursement for expenses, as may be fixed or determined by the Board. This Section 3.14 shall not be construed to preclude any director from serving the corporation in any other capacity as an officer, agent, employee or otherwise, and receiving compensation for those services.</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3.15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Rights of Inspection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Every director of the corporation shall have the right at any reasonable time to inspect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 all books, records and documents of the corporation and to inspect the physical properties of the corporation and also of its subsidiary corporations, domestic or foreign. Such inspection by a director may be made in person or by agent or attorney, and the right of inspection includes the right to copy and make extracts.</w:t>
      </w:r>
    </w:p>
    <w:p>
      <w:pPr>
        <w:spacing w:after="0" w:line="14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3.16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Removal of Director without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any limitation imposed by applicable law, the Board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director or directors may be removed with or without cause by the affirmative vote of the holders of at least 66 2/3 percent of the then-outstanding shares of capital stock of the corporation entitled to vote generally at an election of directors.</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3.17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Chairperson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chairperson of the Board, if appointed and when present, shall preside at all meetings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and exercise and perform such other powers and duties as may be assigned from time to time by the Board.</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3.18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Vice Chairperson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vice chairperson of the Board, if appointed and when present, shall, in the absence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chairperson of the Board, preside at all meetings of the Board and shareholders and exercise and perform such other powers and duties as may be assigned from time to time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1" w:right="339" w:bottom="1440" w:gutter="0" w:footer="0" w:header="0"/>
        </w:sectPr>
      </w:pPr>
    </w:p>
    <w:bookmarkStart w:id="96" w:name="page97"/>
    <w:bookmarkEnd w:id="96"/>
    <w:p>
      <w:pPr>
        <w:jc w:val="both"/>
        <w:spacing w:after="0" w:line="211" w:lineRule="auto"/>
        <w:rPr>
          <w:sz w:val="20"/>
          <w:szCs w:val="20"/>
          <w:color w:val="auto"/>
        </w:rPr>
      </w:pPr>
      <w:r>
        <w:rPr>
          <w:rFonts w:ascii="Times New Roman" w:cs="Times New Roman" w:eastAsia="Times New Roman" w:hAnsi="Times New Roman"/>
          <w:sz w:val="22"/>
          <w:szCs w:val="22"/>
          <w:b w:val="1"/>
          <w:bCs w:val="1"/>
          <w:u w:val="single" w:color="auto"/>
          <w:color w:val="auto"/>
        </w:rPr>
        <w:t>Section 3.19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Lead Independent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chairperson of the Board, or if the chairperson is not an independent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director, one of the independent directors, may be designated by the independent members of the Board as lead independent director annually or until replaced by such members of the Board (“Lead Independent Director”), but such election shall not be required. The Lead Independent Director may be removed as Lead Independent Director by vote of a majority of the independent members of the Board. </w:t>
      </w:r>
      <w:r>
        <w:rPr>
          <w:rFonts w:ascii="Times New Roman" w:cs="Times New Roman" w:eastAsia="Times New Roman" w:hAnsi="Times New Roman"/>
          <w:sz w:val="17"/>
          <w:szCs w:val="17"/>
          <w:color w:val="auto"/>
        </w:rPr>
        <w:t>I</w:t>
      </w:r>
      <w:r>
        <w:rPr>
          <w:rFonts w:ascii="Times New Roman" w:cs="Times New Roman" w:eastAsia="Times New Roman" w:hAnsi="Times New Roman"/>
          <w:sz w:val="22"/>
          <w:szCs w:val="22"/>
          <w:color w:val="auto"/>
        </w:rPr>
        <w:t>f appointed, the Lead Independent Director will serve as chairperson of Board meetings in the absence of both the chairperson and the vice chairperson of the Board or otherwise at their request, preside over meetings of the independent directors, and perform such other duties as may be established or delegated by the Board from time to time. For purposes of this Section, “independent” has the meaning set forth in the Nasdaq Stock Market listing rules, unless the corporation’s common stock ceases to be listed on the Nasdaq Stock Market and is listed on another exchange, in which case such exchange’s definition of “independent” shall apply.</w:t>
      </w: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17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4.1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officers of the corporation shall be a president, a secretary and a chief financial officer.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may also have, at the discretion of the Board, a chairperson of the Board, a vice chairperson of the Board, one or more vice presidents, one or more assistant secretaries, one or more assistant financial officers and such other officers as may be elected or appointed in accordance with the provisions of Section 4.3.</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4.2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Appointment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officers of the corporation, except such officers as may be appointed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Section 4.3 or Section 4.5, shall be chosen by, and shall serve at the pleasure of, the Board, and shall hold their respective offices until their resignation, removal or other disqualification from service, or until their respective successors shall be appointed, subject to the rights, if any, of an officer under any contract of employment.</w:t>
      </w:r>
    </w:p>
    <w:p>
      <w:pPr>
        <w:spacing w:after="0" w:line="14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4.3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Subordinate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may appoint, or may empower the president to appoint, such other officers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of the corporation may require, each to hold office for such period, have such authority and perform such duties as are provided in these bylaws or as the Board may from time to time determine.</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4.4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Removal and Resignation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rights, if any, of an officer under any contract of employment, any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removed, either with or without cause, by the Board at any time, or by any officer upon whom such power of removal may be conferred by the Board.</w:t>
      </w:r>
    </w:p>
    <w:p>
      <w:pPr>
        <w:spacing w:after="0" w:line="15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Any officer may resign at any time by giving written notice to the Board or to the president, or to the secretary of the corporation without prejudice to the rights, if any, of the corporation under any contract to which the officer is a party. Any such resignation shall take effect at the date of the receipt of such notice by the Board or by the president, or by the secretary of the corporation, or at any later time specified therein; and, unless otherwise specified therein, the acceptance of such resignation shall not be necessary to make it effective.</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4.5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Vacancies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vacancy in any office because of death, resignation, removal, disqualification or any other cause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filled in the manner prescribed in these bylaws for regular appointment to such office.</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4.6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President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such powers, if any, as may be given by the Board to the chairperson of the Board, if there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such an officer, the president is the general manager and chief executive officer of the corporation and has, subject to the control of the Board,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1" w:right="339" w:bottom="1440" w:gutter="0" w:footer="0" w:header="0"/>
        </w:sectPr>
      </w:pPr>
    </w:p>
    <w:bookmarkStart w:id="97" w:name="page98"/>
    <w:bookmarkEnd w:id="97"/>
    <w:p>
      <w:pPr>
        <w:jc w:val="both"/>
        <w:spacing w:after="0" w:line="220" w:lineRule="auto"/>
        <w:rPr>
          <w:sz w:val="20"/>
          <w:szCs w:val="20"/>
          <w:color w:val="auto"/>
        </w:rPr>
      </w:pPr>
      <w:r>
        <w:rPr>
          <w:rFonts w:ascii="Times New Roman" w:cs="Times New Roman" w:eastAsia="Times New Roman" w:hAnsi="Times New Roman"/>
          <w:sz w:val="22"/>
          <w:szCs w:val="22"/>
          <w:color w:val="auto"/>
        </w:rPr>
        <w:t>supervision, direction and control of the business and affairs of the corporation. The president shall preside at all meetings of the shareholders and in the absence of both the chairperson of the Board and the vice chairperson, or if there be none, at all meetings of the Board. The president has the general powers and duties of management usually vested in the office of president and chief executive officer of a corporation and such other powers and duties as may be prescribed by the Board.</w:t>
      </w:r>
    </w:p>
    <w:p>
      <w:pPr>
        <w:spacing w:after="0" w:line="14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Section 4.7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Vice President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absence or disability of the president, the vice presidents in order of their rank as fixed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or, if not ranked, the vice president designated by the Board,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these bylaws, the Board, the president or the chairperson of the Board.</w:t>
      </w:r>
    </w:p>
    <w:p>
      <w:pPr>
        <w:spacing w:after="0" w:line="147"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Section 4.8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Secretary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secretary shall keep or cause to be kept, at the principal executive office or such other place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may order, a book of minutes of all meetings of shareholders, the Board and its committees, with the time and place of holding, whether regular or special, and, if special, how authorized, the notice or waivers of notice thereof given, the names of those present at the Board and committee meetings, the number of shares present or represented at shareholders’ meetings, and the proceedings thereof.</w:t>
      </w:r>
    </w:p>
    <w:p>
      <w:pPr>
        <w:spacing w:after="0" w:line="15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secretary shall keep, or cause to be kept, a copy of these bylaws of the corporation at the principal executive office or business office in accordance with Section 213 of the Code. The secretary shall keep, or cause to be kept, at the principal executive office or at the office of the corporation’s transfer agent or registrar, if one is appointed, a record of its shareholders, or a duplicate record of its shareholders, giving the names and addresses of all shareholders and the number and class of shares held by each.</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secretary shall give, or cause to be given, notice of all the meetings of the shareholders, of the Board and of any committees thereof required by these bylaws or by law to be given, shall keep the seal of the corporation in safe custody, and shall have such other powers and perform such other duties as may be prescribed by the Board.</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4.9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Assistant Secretary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assistant secretary or the assistant secretaries, in the order of their seniority, shall,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absence or disability of the secretary, or in the event of such officer’s refusal to act, perform the duties and exercise the powers of the secretary and shall have such additional powers and discharge such duties as may be assigned from time to time by the president or by the Board.</w:t>
      </w:r>
    </w:p>
    <w:p>
      <w:pPr>
        <w:spacing w:after="0" w:line="14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Section 4.10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Chief Financial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chief financial officer shall keep and maintain, or cause to be kept and maintained,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adequate and correct books and records of the properties and financial and business transactions of the corporation, including accounts of its assets, liabilities, receipts, disbursements, gains, losses, capital, retained earnings and shares, and shall send or cause to be sent to the shareholders of the corporation such financial statements and reports that by law or these bylaws are required to be sent to them. The books of account shall at all times be open to inspection by any director of the corporation.</w:t>
      </w:r>
    </w:p>
    <w:p>
      <w:pPr>
        <w:spacing w:after="0" w:line="15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chief financial officer shall deposit all monies and other valuables in the name and to the credit of the corporation with such depositories as may be designated by the Board. The chief financial officer shall disburse the funds of the corporation as may be ordered by the Board, shall render to the president and directors, whenever they request it, an account of all transactions engaged in as chief financial officer and of the financial condition of the corporation, and shall have such other powers and perform such other duties as may be prescribed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98" w:name="page99"/>
    <w:bookmarkEnd w:id="98"/>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4.11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Assistant Financial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assistant financial officer or the assistant financial officers, in the order of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seniority, shall, in the absence or disability of the chief financial officer, or in the event of such officer’s refusal to act, perform the duties and exercise the powers of the chief financial officer, and shall have such additional powers and discharge such duties as may be assigned from time to time by the president or by the Board.</w:t>
      </w:r>
    </w:p>
    <w:p>
      <w:pPr>
        <w:spacing w:after="0" w:line="14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4.12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Salaries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salaries of the officers shall be fixed from time to time by the Board or a duly authorized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and no officer shall be prevented from receiving such salary by reason of the fact that such officer is also a director of the corporation.</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4.13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Officers Holding More Than One Office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one person may hold any number of offices of the corporation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 time unless specifically prohibited therefrom by law.</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4.14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Inability to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case of absence or inability to act of any officer of the corporation and of any person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to act in his or her place, the Board may from time to time delegate the powers or duties of such officer to any other officer, or any director or other person whom it may select.</w:t>
      </w: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u w:val="single" w:color="auto"/>
          <w:color w:val="auto"/>
        </w:rPr>
        <w:t>Committees</w:t>
      </w:r>
    </w:p>
    <w:p>
      <w:pPr>
        <w:spacing w:after="0" w:line="17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Section 5.1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Committees of Directors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may, by resolution adopted by a majority of the authorized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designate one or more committees, each consisting of two or more directors, to serve at the pleasure of the Board. The Board may designate one or more directors as alternate members of any committees, who may replace any absent member at any meeting of the committee. Any committee, to the extent provided in the resolution of the Board, shall have all the authority of the Board, except with respect to:</w:t>
      </w:r>
    </w:p>
    <w:p>
      <w:pPr>
        <w:spacing w:after="0" w:line="151" w:lineRule="exact"/>
        <w:rPr>
          <w:sz w:val="20"/>
          <w:szCs w:val="20"/>
          <w:color w:val="auto"/>
        </w:rPr>
      </w:pPr>
    </w:p>
    <w:p>
      <w:pPr>
        <w:ind w:left="660" w:hanging="652"/>
        <w:spacing w:after="0" w:line="236" w:lineRule="auto"/>
        <w:tabs>
          <w:tab w:leader="none" w:pos="65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of any action which, under the Code, also requires shareholders’ approval or approval of the outstanding shares;</w:t>
      </w:r>
    </w:p>
    <w:p>
      <w:pPr>
        <w:spacing w:after="0" w:line="150"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filling of vacancies on the Board or in any committee;</w:t>
      </w:r>
    </w:p>
    <w:p>
      <w:pPr>
        <w:spacing w:after="0" w:line="179"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fixing of compensation of the directors for serving on the Board or on any committee;</w:t>
      </w:r>
    </w:p>
    <w:p>
      <w:pPr>
        <w:spacing w:after="0" w:line="179"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 or repeal of bylaws or the adoption of new bylaws;</w:t>
      </w:r>
    </w:p>
    <w:p>
      <w:pPr>
        <w:spacing w:after="0" w:line="179"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 or repeal of any resolution of the Board which by its express terms is not so amendable or reparable;</w:t>
      </w:r>
    </w:p>
    <w:p>
      <w:pPr>
        <w:spacing w:after="0" w:line="17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appointment of committees of the Board or the members thereof;</w:t>
      </w:r>
    </w:p>
    <w:p>
      <w:pPr>
        <w:spacing w:after="0" w:line="179" w:lineRule="exact"/>
        <w:rPr>
          <w:rFonts w:ascii="Times New Roman" w:cs="Times New Roman" w:eastAsia="Times New Roman" w:hAnsi="Times New Roman"/>
          <w:sz w:val="22"/>
          <w:szCs w:val="22"/>
          <w:color w:val="auto"/>
        </w:rPr>
      </w:pPr>
    </w:p>
    <w:p>
      <w:pPr>
        <w:ind w:left="660" w:hanging="652"/>
        <w:spacing w:after="0" w:line="236" w:lineRule="auto"/>
        <w:tabs>
          <w:tab w:leader="none" w:pos="61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distribution to the shareholders of the corporation, except at a rate or in a periodic amount or within a price range determined by the Board; or</w:t>
      </w:r>
    </w:p>
    <w:p>
      <w:pPr>
        <w:spacing w:after="0" w:line="150"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appointment of any other committees of the Board or the members of these committees.</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b w:val="1"/>
          <w:bCs w:val="1"/>
          <w:u w:val="single" w:color="auto"/>
          <w:color w:val="auto"/>
        </w:rPr>
        <w:t>Section 5.2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Meetings and Action of Committees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Meetings and action of committees shall be governed by, and held and taken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accordance with, the provisions of Article III of these bylaws, with such changes in the context of those bylaws as are necessary to substitute the committee and its members for the Board and its members, except that the time of regular meetings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1" w:right="339" w:bottom="1440" w:gutter="0" w:footer="0" w:header="0"/>
        </w:sectPr>
      </w:pPr>
    </w:p>
    <w:bookmarkStart w:id="99" w:name="page100"/>
    <w:bookmarkEnd w:id="99"/>
    <w:p>
      <w:pPr>
        <w:spacing w:after="0" w:line="17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committees may be determined either by resolution of the Board or by resolution of the committee; special meetings of committees may also be called by resolution of the Board or by resolution of the committee; and notice of special meetings of committees shall also be given to all alternate members, who shall have the right to attend all meetings of the committee. The Board or a committee may adopt rules for the governance of the committee not inconsistent with the provisions of these bylaws.</w:t>
      </w:r>
    </w:p>
    <w:p>
      <w:pPr>
        <w:spacing w:after="0" w:line="3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6.1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use in this Article VI, certain terms are defined as follows:</w:t>
      </w:r>
    </w:p>
    <w:p>
      <w:pPr>
        <w:spacing w:after="0" w:line="183" w:lineRule="exact"/>
        <w:rPr>
          <w:sz w:val="20"/>
          <w:szCs w:val="20"/>
          <w:color w:val="auto"/>
        </w:rPr>
      </w:pPr>
    </w:p>
    <w:p>
      <w:pPr>
        <w:jc w:val="both"/>
        <w:ind w:left="660" w:hanging="652"/>
        <w:spacing w:after="0" w:line="213" w:lineRule="auto"/>
        <w:tabs>
          <w:tab w:leader="none" w:pos="65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A director, officer, employee or agent of the corporation or a person who is or was serving at the request of the corporation as a director, officer, employee or agent of another foreign or domestic corporation, partnership, joint venture, trust, or other enterprise (including service with respect to employee benefit plans and service on creditors’ committees with respect to any proceeding under the United States Bankruptcy Code of 1978, as amended, assignment for the benefit of creditors or other liquidation of assets of a debtor of the corporation), or a person who was a director, officer, employee or agent of a foreign or domestic corporation which was a predecessor corporation of the corporation or of another enterprise at the request of the predecessor corporation.</w:t>
      </w:r>
    </w:p>
    <w:p>
      <w:pPr>
        <w:spacing w:after="0" w:line="156" w:lineRule="exact"/>
        <w:rPr>
          <w:rFonts w:ascii="Times New Roman" w:cs="Times New Roman" w:eastAsia="Times New Roman" w:hAnsi="Times New Roman"/>
          <w:sz w:val="22"/>
          <w:szCs w:val="22"/>
          <w:color w:val="auto"/>
        </w:rPr>
      </w:pPr>
    </w:p>
    <w:p>
      <w:pPr>
        <w:jc w:val="both"/>
        <w:ind w:left="660" w:hanging="652"/>
        <w:spacing w:after="0" w:line="220" w:lineRule="auto"/>
        <w:tabs>
          <w:tab w:leader="none" w:pos="65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All expenses, liabilities, and losses including attorneys’ fees, judgments, fines, Employee Retirement Income Security Act excise taxes and penalties, amounts paid or to be paid in settlement, any interest, assessments, or other charges imposed thereon, and any federal, state, local, or foreign taxes imposed on any Agent as a result of the actual or deemed receipt of any payments under this Article.</w:t>
      </w:r>
    </w:p>
    <w:p>
      <w:pPr>
        <w:spacing w:after="0" w:line="152" w:lineRule="exact"/>
        <w:rPr>
          <w:rFonts w:ascii="Times New Roman" w:cs="Times New Roman" w:eastAsia="Times New Roman" w:hAnsi="Times New Roman"/>
          <w:sz w:val="22"/>
          <w:szCs w:val="22"/>
          <w:color w:val="auto"/>
        </w:rPr>
      </w:pPr>
    </w:p>
    <w:p>
      <w:pPr>
        <w:ind w:left="660" w:hanging="652"/>
        <w:spacing w:after="0" w:line="236" w:lineRule="auto"/>
        <w:tabs>
          <w:tab w:leader="none" w:pos="65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Any threatened, pending or completed action, suit or proceeding including any and all appeals, whether civil, criminal, administrative or investigative.</w:t>
      </w:r>
    </w:p>
    <w:p>
      <w:pPr>
        <w:spacing w:after="0" w:line="14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b w:val="1"/>
          <w:bCs w:val="1"/>
          <w:u w:val="single" w:color="auto"/>
          <w:color w:val="auto"/>
        </w:rPr>
        <w:t>Section 6.2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Right to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person who is or was a director or officer of the corporation (or was serving 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 of the corporation as a director or officer of another foreign or domestic corporation, partnership, joint venture, trust or other enterprise) including any current or former director or officer who was or is a party or is threatened to be made a party to or is involved (as a party, witness or otherwise) in any Proceeding, by reason of the fact that he or she, or a person of whom he or she is the legal representative, is or was an Agent, is entitled to indemnification. In such cases, such person shall be indemnified and held harmless by the corporation to the fullest extent authorized by law. The right to indemnification conferred in this Article VI shall be a contract right. It is the corporation’s intention that these bylaws provide indemnification in excess of that expressly permitted by Section 317 of the Code, as authorized by the corporation’s articles of incorporation.</w:t>
      </w:r>
    </w:p>
    <w:p>
      <w:pPr>
        <w:spacing w:after="0" w:line="14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u w:val="single" w:color="auto"/>
          <w:color w:val="auto"/>
        </w:rPr>
        <w:t>Section 6.3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Authority to Advance 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right to indemnification provided in Section 6.2 of these bylaws shall include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right to be paid, in advance of a Proceeding’s final disposition, expenses incurred in defending that Proceeding; provided that if required by the California General Corporation Law, as amended, the payment of expenses in advance of the final disposition of the Proceeding shall be made only upon delivery to the corporation of an undertaking by or on behalf of the person entitled to indemnification hereunder to repay such amount if it shall ultimately be determined that he or she is not entitled to be indemnified by the corporation as authorized under this Article VI or otherwise. The indemnified party’s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to reimburse the corporation for advances shall be unsecured and no interest shall be charged thereon.</w:t>
      </w:r>
    </w:p>
    <w:p>
      <w:pPr>
        <w:spacing w:after="0" w:line="17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b w:val="1"/>
          <w:bCs w:val="1"/>
          <w:u w:val="single" w:color="auto"/>
          <w:color w:val="auto"/>
        </w:rPr>
        <w:t>Section 6.4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Right of Claimant to Bring Suit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 claim under Section 6.2 or 6.3 of these bylaws is not paid in full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within 30 days after a written claim has been received by the corporation, the claimant may at any time thereafter bring suit against the corporation to recover the unpaid amount of the claim and, if successful in whole or in part, the claimant shall be entitled to be paid also the expenses (including attorneys’ fees) of prosecuting such claim. It shall be a defense to any such action (other than an action brought to enforce a claim for expenses incurred in defending a Proceeding in advance of its final disposition where the required undertaking has been tendered to the corporation) that the claimant has not met the standards of conduct that make it permissible under the California General Corporation Law for the corporation to indemnify the claimant for the amount claimed. The burden of proving such a defense shall be on the corporation. Neither the failure of the corporation (including its board of directors, independent legal counsel, or its shareholders) to have made a determination prior to the commencement of such action that the indemnification of the claimant is proper under the circumstances because he or she has met the applicable standard of conduct set forth in the California General Corporation Law, nor an actual determination by the corporation (including its board of directors, independent legal counsel, or its shareholders) that the claimant has not met such applicable standard of conduct, shall be a defense to the action or create a presumption that claimant has not already met the applicable standard of conduct.</w:t>
      </w:r>
    </w:p>
    <w:p>
      <w:pPr>
        <w:spacing w:after="0" w:line="15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b w:val="1"/>
          <w:bCs w:val="1"/>
          <w:u w:val="single" w:color="auto"/>
          <w:color w:val="auto"/>
        </w:rPr>
        <w:t>Section 6.5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Provisions Nonexclusive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rights conferred on any person by this Article V shall not be exclusive of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that such person may have or hereafter acquire under any statute, provision of the articles of incorporation, agreement, vote of shareholders or disinterested directors, or otherwise, both as to action in an official capacity and as to action in another capacity while holding such office. To the extent that any provision of the articles of incorporation, agreement, or vote of the shareholders or disinterested directors is inconsistent with these bylaws, the provision, agreement, or vote shall take precedence.</w:t>
      </w:r>
    </w:p>
    <w:p>
      <w:pPr>
        <w:spacing w:after="0" w:line="14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Section 6.6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Authority to Insure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may purchase and maintain insurance to protect itself and any Agent against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Loss asserted against or incurred by such person, whether or not the corporation would have the power to indemnify such Agent against such Loss under applicable law or the provisions of this Article VI. If the corporation owns all or a portion of the shares of the company issuing the insurance policy, the company and/or the policy must meet one of the two sets of conditions set forth in Section 317 of the Code.</w:t>
      </w:r>
    </w:p>
    <w:p>
      <w:pPr>
        <w:spacing w:after="0" w:line="14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6.7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Survival of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provided by this Article VI shall continue as to a person who is entitled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indemnified hereunder and has ceased to be an Agent and shall inure to the benefit of the heirs, executors, and administrators of such person.</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6.8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Settlement of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shall not be liable to indemnify any Agent under this Article VI for (a)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paid in settlement of any action or claim effected without the corporation’s written consent, which consent shall not be unreasonably withheld; or (b) any judicial award, if the corporation was not given a reasonable and timely opportunity, at its expense, to participate in the defense of such action.</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6.9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Effect of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repeal or modification of this Article VI shall not adversely affect any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protection of any Agent existing at the time of such amendment, repeal or modification.</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6.10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Subrogation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payment under this Article VI, the corporation shall be subrogated to the extent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to all of the rights of recovery of an Agent, who shall execute all papers required and shall do everything that may be necessary to secure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including the execution of such documents necessary to enable the corporation effectively to bring suit to enforce such rights.</w:t>
      </w:r>
    </w:p>
    <w:p>
      <w:pPr>
        <w:spacing w:after="0" w:line="17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 Duplication of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shall not be liable under this Article VI to make any payment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any claim made against an Agent to the extent such Agent has otherwise actually received payment (under any insurance policy, agreement, vote or otherwise) of the amounts otherwise indemnifiable hereunder.</w:t>
      </w:r>
    </w:p>
    <w:p>
      <w:pPr>
        <w:spacing w:after="0" w:line="36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7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u w:val="single" w:color="auto"/>
          <w:color w:val="auto"/>
        </w:rPr>
        <w:t>Other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7.1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Inspection of Corporate Records</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jc w:val="both"/>
        <w:ind w:left="660" w:hanging="652"/>
        <w:spacing w:after="0" w:line="220" w:lineRule="auto"/>
        <w:tabs>
          <w:tab w:leader="none" w:pos="65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shareholder or shareholders of the corporation holding at least five percent in the aggregate of the outstanding voting shares of the corporation or who hold at least one percent of the outstanding voting shares and have filed a Schedule 14B with the SEC relating to the election of directors of the corporation shall have an absolute right to do either or both of the following:</w:t>
      </w:r>
    </w:p>
    <w:p>
      <w:pPr>
        <w:spacing w:after="0" w:line="152" w:lineRule="exact"/>
        <w:rPr>
          <w:rFonts w:ascii="Times New Roman" w:cs="Times New Roman" w:eastAsia="Times New Roman" w:hAnsi="Times New Roman"/>
          <w:sz w:val="22"/>
          <w:szCs w:val="22"/>
          <w:color w:val="auto"/>
        </w:rPr>
      </w:pPr>
    </w:p>
    <w:p>
      <w:pPr>
        <w:ind w:left="1300" w:right="20" w:hanging="644"/>
        <w:spacing w:after="0" w:line="236" w:lineRule="auto"/>
        <w:tabs>
          <w:tab w:leader="none" w:pos="128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inspect and copy the record of shareholders’ names and addresses and shareholdings during usual business hours upon five business days’ prior written demand upon the corporation; or</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9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from the transfer agent, if any, for the corporation, upon written demand and upon the tender of its usual charges for such a list (the amount of which charges shall be stated to the shareholder by the transfer agent upon request), a list of the shareholders’ names and addresses who are entitled to vote for the election of directors and their shareholdings, as of the most recent record date for which it has been compiled, or as of a date specified by the shareholder subsequent to the date of demand. The corporation shall have a responsibility to cause the transfer agent to comply with this Section 7.1.</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20" w:lineRule="auto"/>
        <w:tabs>
          <w:tab w:leader="none" w:pos="65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of shareholders shall also be open to inspection and copying by any shareholder or holder of a voting trust certificate at any time during usual business hours upon written demand on the corporation, for a purpose reasonably related to such holder’s interest as a shareholder or holder of a voting trust certificate. A written demand for such inspection shall be accompanied by a statement in reasonable detail of the purpose of the inspection.</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15" w:lineRule="auto"/>
        <w:tabs>
          <w:tab w:leader="none" w:pos="65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accounting books and records and minutes of proceedings of the shareholders and the Board and committees of the Board shall be open to inspection upon written demand on the corporation by any shareholder or holder of a voting trust certificate at any reasonable time during usual business hours, for a purpose reasonably related to such holder’s interest as a shareholder or as a holder of such voting trust certificate. The right of inspection created by this Section 7.1(c) shall extend to the records of each subsidiary of the corporation. A written demand for such inspection shall be accompanied by a statement in reasonable detail of the purpose of the inspection.</w:t>
      </w:r>
    </w:p>
    <w:p>
      <w:pPr>
        <w:spacing w:after="0" w:line="14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7.2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Execution of Documents, Contracts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provisions of applicable law, any note, mortgage, evidence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indebtedness, contract, share certificate, initial transaction statement or written statement, conveyance or other instrument in writing and any assignment or endorsement thereof executed or entered into between the corporation and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102" w:name="page103"/>
    <w:bookmarkEnd w:id="102"/>
    <w:p>
      <w:pPr>
        <w:jc w:val="both"/>
        <w:spacing w:after="0" w:line="213" w:lineRule="auto"/>
        <w:rPr>
          <w:sz w:val="20"/>
          <w:szCs w:val="20"/>
          <w:color w:val="auto"/>
        </w:rPr>
      </w:pPr>
      <w:r>
        <w:rPr>
          <w:rFonts w:ascii="Times New Roman" w:cs="Times New Roman" w:eastAsia="Times New Roman" w:hAnsi="Times New Roman"/>
          <w:sz w:val="22"/>
          <w:szCs w:val="22"/>
          <w:color w:val="auto"/>
        </w:rPr>
        <w:t>when signed by the chairperson of the Board, the president or any vice president and the secretary, any assistant secretary, the chief financial officer or any assistant financial officer of the corporation, or when stamped with a facsimile signature of such appropriate officers in the case of share certificates, shall be valid and binding upon the corporation in the absence of actual knowledge on the part of the other person that the signing officers did not have authority to execute the same. Any such instruments may be signed by any other person or persons and in such manner as from time to time shall be determined by the Board, and unless so authorized by the Board, no officer, agent or employee shall have any power or authority to bind the corporation by any contract or engagement or to pledge its credit or to render it liable for any purpose or amount.</w:t>
      </w:r>
    </w:p>
    <w:p>
      <w:pPr>
        <w:spacing w:after="0" w:line="15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u w:val="single" w:color="auto"/>
          <w:color w:val="auto"/>
        </w:rPr>
        <w:t>Section 7.3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Certificates of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otherwise provided in the articles of incorporation or herein, every holder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shall be entitled to have a certificate signed in the name of the corporation by any officer authorized to sign stock certificates, certifying the number of shares and the class or series of shares owned by the shareholder. The signatures on the certificates may be facsimile signatures. If any officer, transfer agent or registrar who has signed a certificate or whose facsimile signature has been placed upon the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5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Except as provided in this Section 7.3, no new certificate for shares shall be issued in lieu of an old certificate unless the latter is surrendered and canceled at the same time. The Board may, however, in case any certificate for shares is alleged to have been lost, stolen or destroyed, authorize the issuance of a new certificate in lieu thereof, and the corporation may require that the corporation be given a bond or other adequate security sufficient to indemnify it against any claim that may be made against it (including any expense or liability) on account of the alleged loss, theft or destruction of such certificate or the issuance of such new certificate.</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Prior to the due presentment for registration of transfer in the stock transfer book of the corporation, the registered owner shall be treated as the person exclusively entitled to vote, to receive notifications and otherwise to exercise all the rights and powers of an owner, except as expressly provided otherwise by the laws of the state of California.</w:t>
      </w:r>
    </w:p>
    <w:p>
      <w:pPr>
        <w:spacing w:after="0" w:line="15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Notwithstanding any other provision of these bylaws and this Section 7.3, the corporation shall be entitled to issue in its discretion uncertificated securities in compliance with California Corporations Code Section 416(b), as amended, subject to the right of a holder of shares of the corporation to request issuance of a certificate in compliance with the provisions of this Section 7.3.</w:t>
      </w:r>
    </w:p>
    <w:p>
      <w:pPr>
        <w:spacing w:after="0" w:line="14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Section 7.4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Representation of Shares of Other Corporations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president or any other officer or officers authorized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or the president are each authorized to vote, represent and exercise on behalf of the corporation all rights incident to any and all shares or other securities of any other corporation or corporations standing in the name of the corporation. The authority herein granted may be exercised either by any such officer in person or by any other person authorized to do so by proxy or power of attorney duly executed by said officer.</w:t>
      </w:r>
    </w:p>
    <w:p>
      <w:pPr>
        <w:spacing w:after="0" w:line="147"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Section 7.5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Regulations</w:t>
      </w:r>
      <w:r>
        <w:rPr>
          <w:rFonts w:ascii="Times New Roman" w:cs="Times New Roman" w:eastAsia="Times New Roman" w:hAnsi="Times New Roman"/>
          <w:sz w:val="22"/>
          <w:szCs w:val="22"/>
          <w:color w:val="auto"/>
        </w:rPr>
        <w:t>. The board of directors may make such rules and regulations as it may deem expedient, not inconsistent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these bylaws, concerning the issuance, transfer and registration of certificated or uncertificated shares of stock of the corporation. It may appoint, or authorize any officer or officers to appoint, one or more transfer clerks or one or more transfer agents and one or more registrars, and, in the case of certificated shares of stock, may require all such certificates to bear the signature or signatures of any of them or a facsimile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103" w:name="page104"/>
    <w:bookmarkEnd w:id="103"/>
    <w:p>
      <w:pPr>
        <w:jc w:val="both"/>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7.6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corporate seal of the corporation shall consist of two concentric circles, between which shall be the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corporation, and in the center shall be inscribed the word “Incorporated” and the date of its incorporation.</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7.7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Fiscal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fiscal year of the corporation shall begin on the first day of January and end on the 31st day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of each year.</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Section 7.8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Construction and 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the context otherwise requires, the general provisions, rules of construction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definitions contained in the Code and the California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4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u w:val="single" w:color="auto"/>
          <w:color w:val="auto"/>
        </w:rPr>
        <w:t>Section 7.9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Bylaw Provisions Contrary to or Inconsistent with Provisions of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article, section, subsection,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subdivision, sentence, clause or phrase of these bylaws which, upon being construed in the manner provided in this Section 7.9, shall be contrary to or inconsistent with any applicable provision of the Code or other applicable laws of the state of California or of the United States shall not apply so long as said provisions of law shall remain in effect, but such result shall not affect the validity or applicability of any other portions of these bylaws, it being hereby declared that these bylaws would have been adopted and each article, section, subsection, subdivision, sentence, clause or phrase thereof, irrespective of the fact that any one or more articles, sections, subsections, subdivisions, sentences, clauses or phrases is or are illegal.</w:t>
      </w: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u w:val="single" w:color="auto"/>
          <w:color w:val="auto"/>
        </w:rPr>
        <w:t>Forum</w:t>
      </w:r>
    </w:p>
    <w:p>
      <w:pPr>
        <w:spacing w:after="0" w:line="179"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b w:val="1"/>
          <w:bCs w:val="1"/>
          <w:u w:val="single" w:color="auto"/>
          <w:color w:val="auto"/>
        </w:rPr>
        <w:t>Section 8.1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Exclusive Forum for Certain Litigation</w:t>
      </w:r>
      <w:r>
        <w:rPr>
          <w:rFonts w:ascii="Times New Roman" w:cs="Times New Roman" w:eastAsia="Times New Roman" w:hAnsi="Times New Roman"/>
          <w:sz w:val="22"/>
          <w:szCs w:val="22"/>
          <w:color w:val="auto"/>
        </w:rPr>
        <w:t>. Unless the corporation consents in writing to the selection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alternative forum, the United States District Court for the Northern District of California (or, in the event that the United States District Court for the Northern District of California does not have jurisdiction, any other federal or state court of California) shall be the sole and exclusive forum for (a) any derivative action or proceeding brought on behalf of the corporation, (b) any action asserting a claim of breach of any duty owed by any director or officer or other employee of the corporation to the corporation or to the shareholders of the corporation, (c) any action asserting a claim against the corporation or any director or officer or other employee of the corporation arising pursuant to any provision of the Code or the Articles of Incorporation or these bylaws, or (d) any action asserting a claim against the corporation or any director or officer or other employee of the corporation that is governed by the internal affairs doctrine. Unless the corporation consents in writing to the selection of an alternative forum, the federal district courts of the United States of America shall, to the fullest extent permitted by applicable law, be the exclusive forum for the resolution of any complaint asserting a cause of action arising under the federal securities laws of the United States of America, including, in each case, the applicable rules and regulations promulgated thereunder. If any provision of this Article VIII shall be held to be invalid, illegal or unenforceable as applied to any person or entity or circumstance for any reason whatsoever, then, to the fullest extent permitted by law, the validity, legality and enforceability of such provision in any other circumstance and of the remaining provisions of this Article VIII (including, without limitation, each portion of any sentence of this Article VIII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or holding any interest in share of capital stock of the corporation shall be deemed to have notice of and to have consented to the provisions of this Article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1" w:right="339" w:bottom="1440" w:gutter="0" w:footer="0" w:header="0"/>
        </w:sectPr>
      </w:pPr>
    </w:p>
    <w:bookmarkStart w:id="104" w:name="page105"/>
    <w:bookmarkEnd w:id="104"/>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7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u w:val="single" w:color="auto"/>
          <w:color w:val="auto"/>
        </w:rPr>
        <w:t>Amendments</w:t>
      </w:r>
    </w:p>
    <w:p>
      <w:pPr>
        <w:spacing w:after="0" w:line="17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u w:val="single" w:color="auto"/>
          <w:color w:val="auto"/>
        </w:rPr>
        <w:t>Section 9.1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Amendment by Shareholders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bylaws may be adopted or these bylaws may be amended or repealed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vote or written consent of holders of a majority of the outstanding shares entitled to vote; provided that if the articles of incorporation of the corporation set forth the number of authorized directors of the corporation, the authorized number of directors may be changed only by an amendment of the articles of incorporation and provided also that a bylaw reducing the fixed number or the minimum number of directors to a number less than five cannot be adopted if the votes cast against adoption at a meeting, or the shares not consenting in the case of action by written consent, are equal to more than 16 2/3 percent of the outstanding shares entitled to vote.</w:t>
      </w:r>
    </w:p>
    <w:p>
      <w:pPr>
        <w:spacing w:after="0" w:line="14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9.2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Amendment by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rights of the shareholders as provided in Section 9.1, bylaws, other than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bylaw specifying or changing a fixed number of directors or the maximum or minimum number or changing from a fixed to a variable board or vice versa, may be adopted, amended or repealed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James Beckwith, certify that:</w:t>
      </w:r>
    </w:p>
    <w:p>
      <w:pPr>
        <w:spacing w:after="0" w:line="22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August 11, 2022</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114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Heather Luck,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August 11, 2022</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ectPr>
          <w:pgSz w:w="11900" w:h="16838" w:orient="portrait"/>
          <w:cols w:equalWidth="0" w:num="1">
            <w:col w:w="11240"/>
          </w:cols>
          <w:pgMar w:left="320" w:top="114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“Registrant”) for the period ended June 30, 2022, as filed with the Securities and Exchange Commission on the date hereof (the “Report”), I, James Beckwith, President &amp; Chief Executive Officer of the Registrant,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August 11, 2022</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92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“Registrant”) for the period ended June 30, 2022, as filed with the Securities and Exchange Commission on the date hereof (the “Report”), I, Heather Luck, Senior Vice President &amp; Chief Financial Officer of the Registrant,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August 11, 2022</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bullet"/>
      <w:start w:val="1"/>
    </w:lvl>
  </w:abstractNum>
  <w:abstractNum w:abstractNumId="6">
    <w:nsid w:val="2443A858"/>
    <w:multiLevelType w:val="hybridMultilevel"/>
    <w:lvl w:ilvl="0">
      <w:lvlJc w:val="left"/>
      <w:lvlText w:val="2"/>
      <w:numFmt w:val="bullet"/>
      <w:start w:val="1"/>
    </w:lvl>
  </w:abstractNum>
  <w:abstractNum w:abstractNumId="7">
    <w:nsid w:val="2D1D5AE9"/>
    <w:multiLevelType w:val="hybridMultilevel"/>
    <w:lvl w:ilvl="0">
      <w:lvlJc w:val="left"/>
      <w:lvlText w:val="3"/>
      <w:numFmt w:val="bullet"/>
      <w:start w:val="1"/>
    </w:lvl>
  </w:abstractNum>
  <w:abstractNum w:abstractNumId="8">
    <w:nsid w:val="6763845E"/>
    <w:multiLevelType w:val="hybridMultilevel"/>
    <w:lvl w:ilvl="0">
      <w:lvlJc w:val="left"/>
      <w:lvlText w:val="4"/>
      <w:numFmt w:val="bullet"/>
      <w:start w:val="1"/>
    </w:lvl>
  </w:abstractNum>
  <w:abstractNum w:abstractNumId="9">
    <w:nsid w:val="75A2A8D4"/>
    <w:multiLevelType w:val="hybridMultilevel"/>
    <w:lvl w:ilvl="0">
      <w:lvlJc w:val="left"/>
      <w:lvlText w:val="5"/>
      <w:numFmt w:val="bullet"/>
      <w:start w:val="1"/>
    </w:lvl>
  </w:abstractNum>
  <w:abstractNum w:abstractNumId="10">
    <w:nsid w:val="8EDBDAB"/>
    <w:multiLevelType w:val="hybridMultilevel"/>
    <w:lvl w:ilvl="0">
      <w:lvlJc w:val="left"/>
      <w:lvlText w:val="1"/>
      <w:numFmt w:val="bullet"/>
      <w:start w:val="1"/>
    </w:lvl>
  </w:abstractNum>
  <w:abstractNum w:abstractNumId="11">
    <w:nsid w:val="79838CB2"/>
    <w:multiLevelType w:val="hybridMultilevel"/>
    <w:lvl w:ilvl="0">
      <w:lvlJc w:val="left"/>
      <w:lvlText w:val="2"/>
      <w:numFmt w:val="bullet"/>
      <w:start w:val="1"/>
    </w:lvl>
  </w:abstractNum>
  <w:abstractNum w:abstractNumId="12">
    <w:nsid w:val="4353D0CD"/>
    <w:multiLevelType w:val="hybridMultilevel"/>
    <w:lvl w:ilvl="0">
      <w:lvlJc w:val="left"/>
      <w:lvlText w:val="3"/>
      <w:numFmt w:val="bullet"/>
      <w:start w:val="1"/>
    </w:lvl>
  </w:abstractNum>
  <w:abstractNum w:abstractNumId="13">
    <w:nsid w:val="B03E0C6"/>
    <w:multiLevelType w:val="hybridMultilevel"/>
    <w:lvl w:ilvl="0">
      <w:lvlJc w:val="left"/>
      <w:lvlText w:val="1"/>
      <w:numFmt w:val="bullet"/>
      <w:start w:val="1"/>
    </w:lvl>
  </w:abstractNum>
  <w:abstractNum w:abstractNumId="14">
    <w:nsid w:val="189A769B"/>
    <w:multiLevelType w:val="hybridMultilevel"/>
    <w:lvl w:ilvl="0">
      <w:lvlJc w:val="left"/>
      <w:lvlText w:val="2"/>
      <w:numFmt w:val="bullet"/>
      <w:start w:val="1"/>
    </w:lvl>
  </w:abstractNum>
  <w:abstractNum w:abstractNumId="15">
    <w:nsid w:val="54E49EB4"/>
    <w:multiLevelType w:val="hybridMultilevel"/>
    <w:lvl w:ilvl="0">
      <w:lvlJc w:val="left"/>
      <w:lvlText w:val="3"/>
      <w:numFmt w:val="bullet"/>
      <w:start w:val="1"/>
    </w:lvl>
  </w:abstractNum>
  <w:abstractNum w:abstractNumId="16">
    <w:nsid w:val="71F32454"/>
    <w:multiLevelType w:val="hybridMultilevel"/>
    <w:lvl w:ilvl="0">
      <w:lvlJc w:val="left"/>
      <w:lvlText w:val="1"/>
      <w:numFmt w:val="bullet"/>
      <w:start w:val="1"/>
    </w:lvl>
  </w:abstractNum>
  <w:abstractNum w:abstractNumId="17">
    <w:nsid w:val="2CA88611"/>
    <w:multiLevelType w:val="hybridMultilevel"/>
    <w:lvl w:ilvl="0">
      <w:lvlJc w:val="left"/>
      <w:lvlText w:val="1"/>
      <w:numFmt w:val="bullet"/>
      <w:start w:val="1"/>
    </w:lvl>
  </w:abstractNum>
  <w:abstractNum w:abstractNumId="18">
    <w:nsid w:val="836C40E"/>
    <w:multiLevelType w:val="hybridMultilevel"/>
    <w:lvl w:ilvl="0">
      <w:lvlJc w:val="left"/>
      <w:lvlText w:val="%1"/>
      <w:numFmt w:val="upperLetter"/>
      <w:start w:val="68"/>
    </w:lvl>
  </w:abstractNum>
  <w:abstractNum w:abstractNumId="19">
    <w:nsid w:val="2901D82"/>
    <w:multiLevelType w:val="hybridMultilevel"/>
    <w:lvl w:ilvl="0">
      <w:lvlJc w:val="left"/>
      <w:lvlText w:val="1"/>
      <w:numFmt w:val="bullet"/>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3"/>
    </w:lvl>
  </w:abstractNum>
  <w:abstractNum w:abstractNumId="22">
    <w:nsid w:val="1E7FF521"/>
    <w:multiLevelType w:val="hybridMultilevel"/>
    <w:lvl w:ilvl="0">
      <w:lvlJc w:val="left"/>
      <w:lvlText w:val="(%1)"/>
      <w:numFmt w:val="lowerLetter"/>
      <w:start w:val="2"/>
    </w:lvl>
    <w:lvl w:ilvl="1">
      <w:lvlJc w:val="left"/>
      <w:lvlText w:val="(%2)"/>
      <w:numFmt w:val="lowerRoman"/>
      <w:start w:val="1"/>
    </w:lvl>
  </w:abstractNum>
  <w:abstractNum w:abstractNumId="23">
    <w:nsid w:val="7C3DBD3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4">
    <w:nsid w:val="737B8DDC"/>
    <w:multiLevelType w:val="hybridMultilevel"/>
    <w:lvl w:ilvl="0">
      <w:lvlJc w:val="left"/>
      <w:lvlText w:val="(%1)"/>
      <w:numFmt w:val="upperLetter"/>
      <w:start w:val="3"/>
    </w:lvl>
    <w:lvl w:ilvl="1">
      <w:lvlJc w:val="left"/>
      <w:lvlText w:val="(%2)"/>
      <w:numFmt w:val="lowerLetter"/>
      <w:start w:val="3"/>
    </w:lvl>
    <w:lvl w:ilvl="2">
      <w:lvlJc w:val="left"/>
      <w:lvlText w:val="%3"/>
      <w:numFmt w:val="lowerRoman"/>
      <w:start w:val="1"/>
    </w:lvl>
  </w:abstractNum>
  <w:abstractNum w:abstractNumId="25">
    <w:nsid w:val="6CEAF087"/>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2"/>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0"/>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lvl w:ilvl="1">
      <w:lvlJc w:val="left"/>
      <w:lvlText w:val="(%2)"/>
      <w:numFmt w:val="lowerRoman"/>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5" Type="http://schemas.openxmlformats.org/officeDocument/2006/relationships/image" Target="media/image96.png"/><Relationship Id="rId103" Type="http://schemas.openxmlformats.org/officeDocument/2006/relationships/hyperlink" Target="https://www.sec.gov/Archives/edgar/data/0001275168/000155278121000525/e21434_ex3-1.htm" TargetMode="External"/><Relationship Id="rId104" Type="http://schemas.openxmlformats.org/officeDocument/2006/relationships/hyperlink" Target="https://www.sec.gov/Archives/edgar/data/0001275168/000155278121000243/e21250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2022-08-11T14:00:38Z</dcterms:created>
  <dcterms:modified xsi:type="dcterms:W3CDTF">2022-08-11T14:00:38Z</dcterms:modified>
</cp:coreProperties>
</file>