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17"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Allbaugh Larry Eugene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FIVE STAR BANCORP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FSBC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FIVE STAR BANCORP</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3100 ZINFANDEL DRIVE, SUITE 100</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20" w:type="dxa"/>
            <w:vAlign w:val="bottom"/>
            <w:gridSpan w:val="8"/>
            <w:vMerge w:val="restart"/>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20" w:type="dxa"/>
            <w:vAlign w:val="bottom"/>
            <w:gridSpan w:val="8"/>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gridSpan w:val="2"/>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3"/>
          </w:tcPr>
          <w:p>
            <w:pPr>
              <w:ind w:left="30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Form: Direct</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80" w:type="dxa"/>
            <w:vAlign w:val="bottom"/>
            <w:gridSpan w:val="5"/>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8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w w:val="97"/>
              </w:rPr>
              <w:t>(Instr. 3 and 4)</w:t>
            </w:r>
          </w:p>
        </w:tc>
        <w:tc>
          <w:tcPr>
            <w:tcW w:w="6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J Oates-Holt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0000FF"/>
              </w:rPr>
              <w:t>05/29/2026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500" w:type="dxa"/>
            <w:vAlign w:val="bottom"/>
          </w:tcPr>
          <w:p>
            <w:pPr>
              <w:spacing w:after="0"/>
              <w:rPr>
                <w:sz w:val="18"/>
                <w:szCs w:val="18"/>
                <w:color w:val="auto"/>
              </w:rPr>
            </w:pPr>
          </w:p>
        </w:tc>
        <w:tc>
          <w:tcPr>
            <w:tcW w:w="90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17"/>
                <w:szCs w:val="17"/>
                <w:color w:val="0000FF"/>
              </w:rPr>
              <w:t>150,000</w:t>
            </w:r>
            <w:r>
              <w:rPr>
                <w:rFonts w:ascii="Times New Roman" w:cs="Times New Roman" w:eastAsia="Times New Roman" w:hAnsi="Times New Roman"/>
                <w:sz w:val="22"/>
                <w:szCs w:val="22"/>
                <w:color w:val="008000"/>
                <w:vertAlign w:val="superscript"/>
              </w:rPr>
              <w:t>(1)</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920" w:type="dxa"/>
            <w:vAlign w:val="bottom"/>
            <w:gridSpan w:val="3"/>
          </w:tcPr>
          <w:p>
            <w:pPr>
              <w:jc w:val="center"/>
              <w:ind w:left="200"/>
              <w:spacing w:after="0"/>
              <w:rPr>
                <w:sz w:val="20"/>
                <w:szCs w:val="20"/>
                <w:color w:val="auto"/>
              </w:rPr>
            </w:pPr>
            <w:r>
              <w:rPr>
                <w:rFonts w:ascii="Times New Roman" w:cs="Times New Roman" w:eastAsia="Times New Roman" w:hAnsi="Times New Roman"/>
                <w:sz w:val="17"/>
                <w:szCs w:val="17"/>
                <w:color w:val="0000FF"/>
              </w:rPr>
              <w:t>260,695</w:t>
            </w:r>
          </w:p>
        </w:tc>
        <w:tc>
          <w:tcPr>
            <w:tcW w:w="6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QSST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w w:val="96"/>
              </w:rPr>
              <w:t>501,719</w:t>
            </w:r>
            <w:r>
              <w:rPr>
                <w:rFonts w:ascii="Times New Roman" w:cs="Times New Roman" w:eastAsia="Times New Roman" w:hAnsi="Times New Roman"/>
                <w:sz w:val="22"/>
                <w:szCs w:val="22"/>
                <w:color w:val="008000"/>
                <w:w w:val="96"/>
                <w:vertAlign w:val="superscript"/>
              </w:rPr>
              <w:t>(4)</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self 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rPr>
              <w:t>1,010,778</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80" w:type="dxa"/>
            <w:vAlign w:val="bottom"/>
            <w:gridSpan w:val="4"/>
          </w:tcPr>
          <w:p>
            <w:pPr>
              <w:ind w:left="60"/>
              <w:spacing w:after="0" w:line="249" w:lineRule="exact"/>
              <w:rPr>
                <w:sz w:val="20"/>
                <w:szCs w:val="20"/>
                <w:color w:val="auto"/>
              </w:rPr>
            </w:pPr>
            <w:r>
              <w:rPr>
                <w:rFonts w:ascii="Times New Roman" w:cs="Times New Roman" w:eastAsia="Times New Roman" w:hAnsi="Times New Roman"/>
                <w:sz w:val="17"/>
                <w:szCs w:val="17"/>
                <w:color w:val="0000FF"/>
              </w:rPr>
              <w:t>OAT Trustee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K Oates-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vMerge w:val="restart"/>
          </w:tcPr>
          <w:p>
            <w:pPr>
              <w:jc w:val="center"/>
              <w:ind w:left="200"/>
              <w:spacing w:after="0"/>
              <w:rPr>
                <w:sz w:val="20"/>
                <w:szCs w:val="20"/>
                <w:color w:val="auto"/>
              </w:rPr>
            </w:pPr>
            <w:r>
              <w:rPr>
                <w:rFonts w:ascii="Times New Roman" w:cs="Times New Roman" w:eastAsia="Times New Roman" w:hAnsi="Times New Roman"/>
                <w:sz w:val="17"/>
                <w:szCs w:val="17"/>
                <w:color w:val="0000FF"/>
              </w:rPr>
              <w:t>410,695</w:t>
            </w:r>
          </w:p>
        </w:tc>
        <w:tc>
          <w:tcPr>
            <w:tcW w:w="640" w:type="dxa"/>
            <w:vAlign w:val="bottom"/>
          </w:tcPr>
          <w:p>
            <w:pPr>
              <w:spacing w:after="0"/>
              <w:rPr>
                <w:sz w:val="18"/>
                <w:szCs w:val="18"/>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Fairrington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QSST</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(3)(7)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 Applegate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left="200"/>
              <w:spacing w:after="0"/>
              <w:rPr>
                <w:sz w:val="20"/>
                <w:szCs w:val="20"/>
                <w:color w:val="auto"/>
              </w:rPr>
            </w:pPr>
            <w:r>
              <w:rPr>
                <w:rFonts w:ascii="Times New Roman" w:cs="Times New Roman" w:eastAsia="Times New Roman" w:hAnsi="Times New Roman"/>
                <w:sz w:val="17"/>
                <w:szCs w:val="17"/>
                <w:color w:val="0000FF"/>
              </w:rPr>
              <w:t>410,695</w:t>
            </w:r>
          </w:p>
        </w:tc>
        <w:tc>
          <w:tcPr>
            <w:tcW w:w="6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QSST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(3)(8)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vMerge w:val="restart"/>
          </w:tcPr>
          <w:p>
            <w:pPr>
              <w:jc w:val="center"/>
              <w:ind w:left="200"/>
              <w:spacing w:after="0"/>
              <w:rPr>
                <w:sz w:val="20"/>
                <w:szCs w:val="20"/>
                <w:color w:val="auto"/>
              </w:rPr>
            </w:pPr>
            <w:r>
              <w:rPr>
                <w:rFonts w:ascii="Times New Roman" w:cs="Times New Roman" w:eastAsia="Times New Roman" w:hAnsi="Times New Roman"/>
                <w:sz w:val="17"/>
                <w:szCs w:val="17"/>
                <w:color w:val="0000FF"/>
              </w:rPr>
              <w:t>410,695</w:t>
            </w:r>
          </w:p>
        </w:tc>
        <w:tc>
          <w:tcPr>
            <w:tcW w:w="640" w:type="dxa"/>
            <w:vAlign w:val="bottom"/>
          </w:tcPr>
          <w:p>
            <w:pPr>
              <w:spacing w:after="0"/>
              <w:rPr>
                <w:sz w:val="21"/>
                <w:szCs w:val="21"/>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 Oates QSST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(3)(9)</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Buzz Oates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vMerge w:val="restart"/>
          </w:tcPr>
          <w:p>
            <w:pPr>
              <w:jc w:val="center"/>
              <w:ind w:left="200"/>
              <w:spacing w:after="0"/>
              <w:rPr>
                <w:sz w:val="20"/>
                <w:szCs w:val="20"/>
                <w:color w:val="auto"/>
              </w:rPr>
            </w:pPr>
            <w:r>
              <w:rPr>
                <w:rFonts w:ascii="Times New Roman" w:cs="Times New Roman" w:eastAsia="Times New Roman" w:hAnsi="Times New Roman"/>
                <w:sz w:val="17"/>
                <w:szCs w:val="17"/>
                <w:color w:val="0000FF"/>
              </w:rPr>
              <w:t>10,000</w:t>
            </w:r>
          </w:p>
        </w:tc>
        <w:tc>
          <w:tcPr>
            <w:tcW w:w="640" w:type="dxa"/>
            <w:vAlign w:val="bottom"/>
          </w:tcPr>
          <w:p>
            <w:pPr>
              <w:spacing w:after="0"/>
              <w:rPr>
                <w:sz w:val="18"/>
                <w:szCs w:val="18"/>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 Non-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Member</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Manager</w:t>
            </w:r>
            <w:r>
              <w:rPr>
                <w:rFonts w:ascii="Times New Roman" w:cs="Times New Roman" w:eastAsia="Times New Roman" w:hAnsi="Times New Roman"/>
                <w:sz w:val="22"/>
                <w:szCs w:val="22"/>
                <w:color w:val="008000"/>
                <w:vertAlign w:val="superscript"/>
              </w:rPr>
              <w:t>(10)</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Buzz Oates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vMerge w:val="restart"/>
          </w:tcPr>
          <w:p>
            <w:pPr>
              <w:jc w:val="center"/>
              <w:ind w:left="200"/>
              <w:spacing w:after="0"/>
              <w:rPr>
                <w:sz w:val="20"/>
                <w:szCs w:val="20"/>
                <w:color w:val="auto"/>
              </w:rPr>
            </w:pPr>
            <w:r>
              <w:rPr>
                <w:rFonts w:ascii="Times New Roman" w:cs="Times New Roman" w:eastAsia="Times New Roman" w:hAnsi="Times New Roman"/>
                <w:sz w:val="17"/>
                <w:szCs w:val="17"/>
                <w:color w:val="0000FF"/>
              </w:rPr>
              <w:t>10,000</w:t>
            </w:r>
          </w:p>
        </w:tc>
        <w:tc>
          <w:tcPr>
            <w:tcW w:w="640" w:type="dxa"/>
            <w:vAlign w:val="bottom"/>
          </w:tcPr>
          <w:p>
            <w:pPr>
              <w:spacing w:after="0"/>
              <w:rPr>
                <w:sz w:val="18"/>
                <w:szCs w:val="18"/>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Group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Companies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Shareholder</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8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ind w:left="1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4"/>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5"/>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2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798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798320"/>
                    </a:xfrm>
                    <a:prstGeom prst="rect">
                      <a:avLst/>
                    </a:prstGeom>
                    <a:noFill/>
                  </pic:spPr>
                </pic:pic>
              </a:graphicData>
            </a:graphic>
          </wp:anchor>
        </w:drawing>
      </w:r>
    </w:p>
    <w:p>
      <w:pPr>
        <w:sectPr>
          <w:pgSz w:w="11900" w:h="1691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involved a gift of shares from Judy Oates-Holt, the beneficiary of the QSST Subtrust of the Judy Oates-Holt Irrevocable Trust, dated December 16, 2009, to her children.</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QSST Subtrust of the Judy Oates-Holt Irrevocable Trust, dated December 16, 2009, for which Mr. Allbaugh serves as trustee.</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trustee of this trust, Mr. Allbaugh has voting and dispositive power over these shares and may be deemed to be the indirect beneficial owner of such shares for purposes of Section 16. However, Mr. Allbaugh is not the beneficiary of this trust. Accordingly, Mr. Allbaugh disclaims beneficial ownership of these securities, and this report shall not be deemed an admission that Mr. Allbaugh is the beneficial owner of the securities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right="4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974 unvested shares granted pursuant to the Five Star Bancorp 2021 Equity Incentive Plan with all shares scheduled to vest on December 31, 2026, provided the reporting person, Mr. Allbaugh, remains as a director with Five Star Bancorp on that date.</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Larry and Laura Allbaugh Living Trust dated November 5, 1997, for which Mr. Allbaugh serves as a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Oates Administrative Trust, for which Mr. Allbaugh serves as a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QSST Subtrust of the Kathryn Oates-Fairrington Irrevocable Trust, dated December 16, 2009, for which Mr. Allbaugh serves as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QSST Subtrust of the Marvilyn E. Applegate Irrevocable Trust, dated December 16, 2009, for which Mr. Allbaugh serves as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QSST Subtrust of the Philip D. Oates Irrevocable Trust, dated December 16, 2009, for which Mr. Allbaugh serves as trustee.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Buzz Oates LLC, of which Mr. Allbaugh is a non-member manager. Mr. Allbaugh disclaims beneficial ownership of the shares held by Buzz Oates LLC.</w:t>
      </w:r>
    </w:p>
    <w:p>
      <w:pPr>
        <w:spacing w:after="0" w:line="50" w:lineRule="exact"/>
        <w:rPr>
          <w:rFonts w:ascii="Times New Roman" w:cs="Times New Roman" w:eastAsia="Times New Roman" w:hAnsi="Times New Roman"/>
          <w:sz w:val="13"/>
          <w:szCs w:val="13"/>
          <w:color w:val="008000"/>
        </w:rPr>
      </w:pPr>
    </w:p>
    <w:p>
      <w:pPr>
        <w:ind w:right="260" w:firstLine="7"/>
        <w:spacing w:after="0" w:line="253"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Buzz Oates Group of Companies, of which Mr. Allbaugh is a shareholder and the Chief Executive Officer. Mr. Allbaugh has significant influence over Buzz Oates Group of Companies and may be deemed to be the indirect beneficial owner of such shares for purposes of Section 16. Mr. Allbaugh disclaims beneficial ownership of the shares held by Buzz Oates Group of Companies, except to the extent of his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Larry E. Allbaugh,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Heather C. Luck, Attorney-in- 06/02/2026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6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5823"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2026-06-02T14:19:36Z</dcterms:created>
  <dcterms:modified xsi:type="dcterms:W3CDTF">2026-06-02T14:19:36Z</dcterms:modified>
</cp:coreProperties>
</file>