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64185.xml.htm"/>
      <w:bookmarkStart w:id="1" w:name="kswkform4_17860641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Allbaugh Larry Eugene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18"/>
        <w:gridCol w:w="938"/>
        <w:gridCol w:w="808"/>
        <w:gridCol w:w="622"/>
        <w:gridCol w:w="333"/>
        <w:gridCol w:w="946"/>
        <w:gridCol w:w="389"/>
        <w:gridCol w:w="561"/>
        <w:gridCol w:w="1224"/>
        <w:gridCol w:w="936"/>
        <w:gridCol w:w="18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8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8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210,695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 Oates-Holt QSST Trustee</w:t>
            </w:r>
            <w:r>
              <w:rPr>
                <w:rFonts w:ascii="Times;serif" w:hAnsi="Times;serif"/>
                <w:color w:val="008000"/>
                <w:position w:val="7"/>
                <w:sz w:val="16"/>
                <w:sz w:val="20"/>
                <w:shd w:fill="FFFFFF" w:val="clear"/>
              </w:rPr>
              <w:t>(2)(3)</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507,401</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(5)</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1,101,687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OAT Trustee</w:t>
            </w:r>
            <w:r>
              <w:rPr>
                <w:rFonts w:ascii="Times;serif" w:hAnsi="Times;serif"/>
                <w:color w:val="008000"/>
                <w:position w:val="7"/>
                <w:sz w:val="16"/>
                <w:sz w:val="20"/>
                <w:shd w:fill="FFFFFF" w:val="clear"/>
              </w:rPr>
              <w:t>(3)(6)</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 Oates-Fairrington QSST Trustee</w:t>
            </w:r>
            <w:r>
              <w:rPr>
                <w:rFonts w:ascii="Times;serif" w:hAnsi="Times;serif"/>
                <w:color w:val="008000"/>
                <w:position w:val="7"/>
                <w:sz w:val="16"/>
                <w:sz w:val="20"/>
                <w:shd w:fill="FFFFFF" w:val="clear"/>
              </w:rPr>
              <w:t>(3)(7)</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M Applegate QSST Trustee</w:t>
            </w:r>
            <w:r>
              <w:rPr>
                <w:rFonts w:ascii="Times;serif" w:hAnsi="Times;serif"/>
                <w:color w:val="008000"/>
                <w:position w:val="7"/>
                <w:sz w:val="16"/>
                <w:sz w:val="20"/>
                <w:shd w:fill="FFFFFF" w:val="clear"/>
              </w:rPr>
              <w:t>(3)(8)</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 Oates QSST Trustee</w:t>
            </w:r>
            <w:r>
              <w:rPr>
                <w:rFonts w:ascii="Times;serif" w:hAnsi="Times;serif"/>
                <w:color w:val="008000"/>
                <w:position w:val="7"/>
                <w:sz w:val="16"/>
                <w:sz w:val="20"/>
                <w:shd w:fill="FFFFFF" w:val="clear"/>
              </w:rPr>
              <w:t>(3)(9)</w:t>
            </w:r>
          </w:p>
        </w:tc>
      </w:tr>
      <w:tr>
        <w:trPr/>
        <w:tc>
          <w:tcPr>
            <w:tcW w:w="16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Buzz Oates LLC Non-Member Manager</w:t>
            </w:r>
            <w:r>
              <w:rPr>
                <w:rFonts w:ascii="Times;serif" w:hAnsi="Times;serif"/>
                <w:color w:val="008000"/>
                <w:position w:val="7"/>
                <w:sz w:val="16"/>
                <w:sz w:val="20"/>
                <w:shd w:fill="FFFFFF" w:val="clear"/>
              </w:rPr>
              <w:t>(10)</w:t>
            </w:r>
          </w:p>
        </w:tc>
      </w:tr>
      <w:tr>
        <w:trPr/>
        <w:tc>
          <w:tcPr>
            <w:tcW w:w="16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Buzz Oates Group of Companies Shareholder</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involved a gift of shares from Judy Oates-Holt, the beneficiary of the QSST Subtrust of the Judy Oates-Holt Irrevocable Trust, dated December 16, 2009, to her child.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QSST Subtrust of the Judy Oates-Holt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As trustee of this trust, Mr. Allbaugh has voting and dispositive power over these shares and may be deemed to be the indirect beneficial owner of such shares for purposes of Section 16. However, Mr. Allbaugh is not the beneficiary of this trust. Accordingly, Mr. Allbaugh disclaims beneficial ownership of these securities, and this report shall not be deemed an admission that Mr. Allbaugh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974 unvested shares granted pursuant to the Five Star Bancorp 2021 Equity Incentive Plan with all shares scheduled to vest on December 31, 2026, provided the reporting person, Mr. Allbaugh,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the Larry and Laura Allbaugh Living Trust dated November 5, 1997, for which Mr. Allbaugh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by the Oates Administrative Trust, for which Mr. Allbaugh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are held by the QSST Subtrust of the Kathryn Oates-Fairrington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the QSST Subtrust of the Marvilyn E. Applegate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are held by the QSST Subtrust of the Philip D. Oates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are held by Buzz Oates LLC, of which Mr. Allbaugh is a non-member manager. Mr. Allbaugh disclaims beneficial ownership of the shares held by Buzz Oates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Buzz Oates Group of Companies, of which Mr. Allbaugh is a shareholder and the Chief Executive Officer. Mr. Allbaugh has significant influence over Buzz Oates Group of Companies and may be deemed to be the indirect beneficial owner of such shares for purposes of Section 16. Mr. Allbaugh disclaims beneficial ownership of the shares held by Buzz Oates Group of Companies,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E. Allbaugh,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5823"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1035</Words>
  <Characters>5462</Characters>
  <CharactersWithSpaces>6390</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