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2556510</wp:posOffset>
            </wp:positionH>
            <wp:positionV relativeFrom="paragraph">
              <wp:posOffset>297815</wp:posOffset>
            </wp:positionV>
            <wp:extent cx="2061845" cy="539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1845" cy="539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53"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quarterly period ended March 31, 2025</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51"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TRANSITION REPORT PURSUANT TO SECTION 13 OR 15(d) OF THE SECURITIES EXCHANGE ACT OF 1934</w:t>
      </w:r>
    </w:p>
    <w:p>
      <w:pPr>
        <w:spacing w:after="0" w:line="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For the transition period from ________ to 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u w:val="single" w:color="auto"/>
          <w:color w:val="auto"/>
        </w:rPr>
        <w:t>001-40379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FIVE STAR BANCORP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3" w:lineRule="exact"/>
        <w:rPr>
          <w:sz w:val="24"/>
          <w:szCs w:val="24"/>
          <w:color w:val="auto"/>
        </w:rPr>
      </w:pPr>
    </w:p>
    <w:tbl>
      <w:tblPr>
        <w:tblLayout w:type="fixed"/>
        <w:tblInd w:w="80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4760" w:type="dxa"/>
            <w:vAlign w:val="bottom"/>
            <w:gridSpan w:val="5"/>
          </w:tcPr>
          <w:p>
            <w:pPr>
              <w:jc w:val="center"/>
              <w:ind w:right="410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2680" w:type="dxa"/>
            <w:vAlign w:val="bottom"/>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75-3100966</w:t>
            </w:r>
          </w:p>
        </w:tc>
      </w:tr>
      <w:tr>
        <w:trPr>
          <w:trHeight w:val="202"/>
        </w:trPr>
        <w:tc>
          <w:tcPr>
            <w:tcW w:w="6940" w:type="dxa"/>
            <w:vAlign w:val="bottom"/>
            <w:gridSpan w:val="6"/>
          </w:tcPr>
          <w:p>
            <w:pPr>
              <w:jc w:val="center"/>
              <w:ind w:right="19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6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6"/>
        </w:trPr>
        <w:tc>
          <w:tcPr>
            <w:tcW w:w="2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3100 Zinfandel Drive, Suite 100 Rancho Cordova, CA 95670</w:t>
            </w:r>
          </w:p>
        </w:tc>
        <w:tc>
          <w:tcPr>
            <w:tcW w:w="280" w:type="dxa"/>
            <w:vAlign w:val="bottom"/>
            <w:gridSpan w:val="2"/>
          </w:tcPr>
          <w:p>
            <w:pPr>
              <w:spacing w:after="0"/>
              <w:rPr>
                <w:sz w:val="23"/>
                <w:szCs w:val="23"/>
                <w:color w:val="auto"/>
              </w:rPr>
            </w:pPr>
          </w:p>
        </w:tc>
        <w:tc>
          <w:tcPr>
            <w:tcW w:w="2680" w:type="dxa"/>
            <w:vAlign w:val="bottom"/>
          </w:tcPr>
          <w:p>
            <w:pPr>
              <w:spacing w:after="0"/>
              <w:rPr>
                <w:sz w:val="23"/>
                <w:szCs w:val="23"/>
                <w:color w:val="auto"/>
              </w:rPr>
            </w:pPr>
          </w:p>
        </w:tc>
      </w:tr>
      <w:tr>
        <w:trPr>
          <w:trHeight w:val="224"/>
        </w:trPr>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(Address of principal executive office) (Zip Code)</w:t>
            </w:r>
          </w:p>
        </w:tc>
        <w:tc>
          <w:tcPr>
            <w:tcW w:w="2680" w:type="dxa"/>
            <w:vAlign w:val="bottom"/>
          </w:tcPr>
          <w:p>
            <w:pPr>
              <w:spacing w:after="0"/>
              <w:rPr>
                <w:sz w:val="19"/>
                <w:szCs w:val="19"/>
                <w:color w:val="auto"/>
              </w:rPr>
            </w:pPr>
          </w:p>
        </w:tc>
      </w:tr>
      <w:tr>
        <w:trPr>
          <w:trHeight w:val="181"/>
        </w:trPr>
        <w:tc>
          <w:tcPr>
            <w:tcW w:w="2180" w:type="dxa"/>
            <w:vAlign w:val="bottom"/>
          </w:tcPr>
          <w:p>
            <w:pPr>
              <w:spacing w:after="0"/>
              <w:rPr>
                <w:sz w:val="15"/>
                <w:szCs w:val="15"/>
                <w:color w:val="auto"/>
              </w:rPr>
            </w:pPr>
          </w:p>
        </w:tc>
        <w:tc>
          <w:tcPr>
            <w:tcW w:w="4760" w:type="dxa"/>
            <w:vAlign w:val="bottom"/>
            <w:gridSpan w:val="5"/>
          </w:tcPr>
          <w:p>
            <w:pPr>
              <w:jc w:val="center"/>
              <w:ind w:left="50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(916) 626-5000</w:t>
            </w:r>
          </w:p>
        </w:tc>
        <w:tc>
          <w:tcPr>
            <w:tcW w:w="2680" w:type="dxa"/>
            <w:vAlign w:val="bottom"/>
          </w:tcPr>
          <w:p>
            <w:pPr>
              <w:spacing w:after="0"/>
              <w:rPr>
                <w:sz w:val="15"/>
                <w:szCs w:val="15"/>
                <w:color w:val="auto"/>
              </w:rPr>
            </w:pPr>
          </w:p>
        </w:tc>
      </w:tr>
      <w:tr>
        <w:trPr>
          <w:trHeight w:val="20"/>
        </w:trPr>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24"/>
        </w:trPr>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20" w:type="dxa"/>
            <w:vAlign w:val="bottom"/>
            <w:gridSpan w:val="4"/>
          </w:tcPr>
          <w:p>
            <w:pPr>
              <w:ind w:left="680"/>
              <w:spacing w:after="0"/>
              <w:rPr>
                <w:sz w:val="20"/>
                <w:szCs w:val="20"/>
                <w:color w:val="auto"/>
              </w:rPr>
            </w:pPr>
            <w:r>
              <w:rPr>
                <w:rFonts w:ascii="Times New Roman" w:cs="Times New Roman" w:eastAsia="Times New Roman" w:hAnsi="Times New Roman"/>
                <w:sz w:val="14"/>
                <w:szCs w:val="14"/>
                <w:color w:val="auto"/>
              </w:rPr>
              <w:t>Securities registered pursuant to 12(b) of the Act:</w:t>
            </w:r>
          </w:p>
        </w:tc>
        <w:tc>
          <w:tcPr>
            <w:tcW w:w="2680" w:type="dxa"/>
            <w:vAlign w:val="bottom"/>
          </w:tcPr>
          <w:p>
            <w:pPr>
              <w:spacing w:after="0"/>
              <w:rPr>
                <w:sz w:val="19"/>
                <w:szCs w:val="19"/>
                <w:color w:val="auto"/>
              </w:rPr>
            </w:pPr>
          </w:p>
        </w:tc>
      </w:tr>
      <w:tr>
        <w:trPr>
          <w:trHeight w:val="212"/>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840" w:type="dxa"/>
            <w:vAlign w:val="bottom"/>
          </w:tcPr>
          <w:p>
            <w:pPr>
              <w:spacing w:after="0"/>
              <w:rPr>
                <w:sz w:val="18"/>
                <w:szCs w:val="18"/>
                <w:color w:val="auto"/>
              </w:rPr>
            </w:pPr>
          </w:p>
        </w:tc>
        <w:tc>
          <w:tcPr>
            <w:tcW w:w="392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color w:val="auto"/>
                <w:w w:val="98"/>
              </w:rPr>
              <w:t>Trading symbol</w:t>
            </w:r>
          </w:p>
        </w:tc>
        <w:tc>
          <w:tcPr>
            <w:tcW w:w="26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2"/>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 per share</w:t>
            </w:r>
          </w:p>
        </w:tc>
        <w:tc>
          <w:tcPr>
            <w:tcW w:w="840" w:type="dxa"/>
            <w:vAlign w:val="bottom"/>
          </w:tcPr>
          <w:p>
            <w:pPr>
              <w:spacing w:after="0"/>
              <w:rPr>
                <w:sz w:val="17"/>
                <w:szCs w:val="17"/>
                <w:color w:val="auto"/>
              </w:rPr>
            </w:pPr>
          </w:p>
        </w:tc>
        <w:tc>
          <w:tcPr>
            <w:tcW w:w="392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color w:val="auto"/>
              </w:rPr>
              <w:t>FSBC</w:t>
            </w:r>
          </w:p>
        </w:tc>
        <w:tc>
          <w:tcPr>
            <w:tcW w:w="26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45"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4"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of   “large   accelerated</w:t>
            </w:r>
          </w:p>
        </w:tc>
        <w:tc>
          <w:tcPr>
            <w:tcW w:w="3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filer,”   “accelerated   filer,”   “smaller   reporting</w:t>
            </w:r>
          </w:p>
        </w:tc>
        <w:tc>
          <w:tcPr>
            <w:tcW w:w="2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company,”   and   “emerging   growth</w:t>
            </w:r>
          </w:p>
        </w:tc>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company”   in   Rule   12b-2   of   the   Exchange   Act.</w:t>
            </w:r>
          </w:p>
        </w:tc>
      </w:tr>
      <w:tr>
        <w:trPr>
          <w:trHeight w:val="19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3280" w:type="dxa"/>
            <w:vAlign w:val="bottom"/>
          </w:tcPr>
          <w:p>
            <w:pPr>
              <w:ind w:left="2480"/>
              <w:spacing w:after="0"/>
              <w:rPr>
                <w:sz w:val="20"/>
                <w:szCs w:val="20"/>
                <w:color w:val="auto"/>
              </w:rPr>
            </w:pPr>
            <w:r>
              <w:rPr>
                <w:rFonts w:ascii="Wingdings" w:cs="Wingdings" w:eastAsia="Wingdings" w:hAnsi="Wingdings"/>
                <w:sz w:val="14"/>
                <w:szCs w:val="14"/>
                <w:b w:val="1"/>
                <w:bCs w:val="1"/>
                <w:color w:val="auto"/>
              </w:rPr>
              <w:t>o</w:t>
            </w:r>
          </w:p>
        </w:tc>
        <w:tc>
          <w:tcPr>
            <w:tcW w:w="2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Accelerated filer</w:t>
            </w:r>
          </w:p>
        </w:tc>
        <w:tc>
          <w:tcPr>
            <w:tcW w:w="3820" w:type="dxa"/>
            <w:vAlign w:val="bottom"/>
          </w:tcPr>
          <w:p>
            <w:pPr>
              <w:ind w:left="2260"/>
              <w:spacing w:after="0"/>
              <w:rPr>
                <w:sz w:val="20"/>
                <w:szCs w:val="20"/>
                <w:color w:val="auto"/>
              </w:rPr>
            </w:pPr>
            <w:r>
              <w:rPr>
                <w:rFonts w:ascii="Wingdings" w:cs="Wingdings" w:eastAsia="Wingdings" w:hAnsi="Wingdings"/>
                <w:sz w:val="14"/>
                <w:szCs w:val="14"/>
                <w:b w:val="1"/>
                <w:bCs w:val="1"/>
                <w:color w:val="auto"/>
              </w:rPr>
              <w:t>x</w:t>
            </w:r>
          </w:p>
        </w:tc>
      </w:tr>
      <w:tr>
        <w:trPr>
          <w:trHeight w:val="20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3280" w:type="dxa"/>
            <w:vAlign w:val="bottom"/>
          </w:tcPr>
          <w:p>
            <w:pPr>
              <w:ind w:left="2480"/>
              <w:spacing w:after="0"/>
              <w:rPr>
                <w:sz w:val="20"/>
                <w:szCs w:val="20"/>
                <w:color w:val="auto"/>
              </w:rPr>
            </w:pPr>
            <w:r>
              <w:rPr>
                <w:rFonts w:ascii="Wingdings" w:cs="Wingdings" w:eastAsia="Wingdings" w:hAnsi="Wingdings"/>
                <w:sz w:val="14"/>
                <w:szCs w:val="14"/>
                <w:b w:val="1"/>
                <w:bCs w:val="1"/>
                <w:color w:val="auto"/>
              </w:rPr>
              <w:t>o</w:t>
            </w:r>
          </w:p>
        </w:tc>
        <w:tc>
          <w:tcPr>
            <w:tcW w:w="2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20" w:type="dxa"/>
            <w:vAlign w:val="bottom"/>
          </w:tcPr>
          <w:p>
            <w:pPr>
              <w:ind w:left="2260"/>
              <w:spacing w:after="0"/>
              <w:rPr>
                <w:sz w:val="20"/>
                <w:szCs w:val="20"/>
                <w:color w:val="auto"/>
              </w:rPr>
            </w:pPr>
            <w:r>
              <w:rPr>
                <w:rFonts w:ascii="Wingdings" w:cs="Wingdings" w:eastAsia="Wingdings" w:hAnsi="Wingdings"/>
                <w:sz w:val="14"/>
                <w:szCs w:val="14"/>
                <w:b w:val="1"/>
                <w:bCs w:val="1"/>
                <w:color w:val="auto"/>
              </w:rPr>
              <w:t>o</w:t>
            </w:r>
          </w:p>
        </w:tc>
      </w:tr>
      <w:tr>
        <w:trPr>
          <w:trHeight w:val="202"/>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80" w:type="dxa"/>
            <w:vAlign w:val="bottom"/>
          </w:tcPr>
          <w:p>
            <w:pPr>
              <w:ind w:left="2480"/>
              <w:spacing w:after="0"/>
              <w:rPr>
                <w:sz w:val="20"/>
                <w:szCs w:val="20"/>
                <w:color w:val="auto"/>
              </w:rPr>
            </w:pPr>
            <w:r>
              <w:rPr>
                <w:rFonts w:ascii="Wingdings" w:cs="Wingdings" w:eastAsia="Wingdings" w:hAnsi="Wingdings"/>
                <w:sz w:val="14"/>
                <w:szCs w:val="14"/>
                <w:b w:val="1"/>
                <w:bCs w:val="1"/>
                <w:color w:val="auto"/>
              </w:rPr>
              <w:t>x</w:t>
            </w:r>
          </w:p>
        </w:tc>
        <w:tc>
          <w:tcPr>
            <w:tcW w:w="2560" w:type="dxa"/>
            <w:vAlign w:val="bottom"/>
          </w:tcPr>
          <w:p>
            <w:pPr>
              <w:spacing w:after="0"/>
              <w:rPr>
                <w:sz w:val="17"/>
                <w:szCs w:val="17"/>
                <w:color w:val="auto"/>
              </w:rPr>
            </w:pPr>
          </w:p>
        </w:tc>
        <w:tc>
          <w:tcPr>
            <w:tcW w:w="3820" w:type="dxa"/>
            <w:vAlign w:val="bottom"/>
          </w:tcPr>
          <w:p>
            <w:pPr>
              <w:spacing w:after="0"/>
              <w:rPr>
                <w:sz w:val="17"/>
                <w:szCs w:val="17"/>
                <w:color w:val="auto"/>
              </w:rPr>
            </w:pPr>
          </w:p>
        </w:tc>
      </w:tr>
    </w:tbl>
    <w:p>
      <w:pPr>
        <w:spacing w:after="0" w:line="156"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2, 2025, there were 21,360,991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413385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818"/>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2"/>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5"/>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tc>
        <w:tc>
          <w:tcPr>
            <w:tcW w:w="222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80" w:type="dxa"/>
            <w:vAlign w:val="bottom"/>
            <w:gridSpan w:val="2"/>
          </w:tcPr>
          <w:p>
            <w:pPr>
              <w:jc w:val="center"/>
              <w:ind w:right="2360"/>
              <w:spacing w:after="0"/>
              <w:rPr>
                <w:sz w:val="20"/>
                <w:szCs w:val="20"/>
                <w:color w:val="auto"/>
              </w:rPr>
            </w:pPr>
            <w:r>
              <w:rPr>
                <w:rFonts w:ascii="Times New Roman" w:cs="Times New Roman" w:eastAsia="Times New Roman" w:hAnsi="Times New Roman"/>
                <w:sz w:val="14"/>
                <w:szCs w:val="14"/>
                <w:color w:val="auto"/>
              </w:rPr>
              <w:t>Quarterly Report on Form 10-Q</w:t>
            </w:r>
          </w:p>
        </w:tc>
        <w:tc>
          <w:tcPr>
            <w:tcW w:w="222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gridSpan w:val="2"/>
          </w:tcPr>
          <w:p>
            <w:pPr>
              <w:jc w:val="center"/>
              <w:ind w:right="2340"/>
              <w:spacing w:after="0"/>
              <w:rPr>
                <w:sz w:val="20"/>
                <w:szCs w:val="20"/>
                <w:color w:val="auto"/>
              </w:rPr>
            </w:pPr>
            <w:r>
              <w:rPr>
                <w:rFonts w:ascii="Times New Roman" w:cs="Times New Roman" w:eastAsia="Times New Roman" w:hAnsi="Times New Roman"/>
                <w:sz w:val="14"/>
                <w:szCs w:val="14"/>
                <w:color w:val="auto"/>
              </w:rPr>
              <w:t>March 31, 2025</w:t>
            </w:r>
          </w:p>
        </w:tc>
        <w:tc>
          <w:tcPr>
            <w:tcW w:w="2220" w:type="dxa"/>
            <w:vAlign w:val="bottom"/>
          </w:tcPr>
          <w:p>
            <w:pPr>
              <w:spacing w:after="0"/>
              <w:rPr>
                <w:sz w:val="16"/>
                <w:szCs w:val="16"/>
                <w:color w:val="auto"/>
              </w:rPr>
            </w:pPr>
          </w:p>
        </w:tc>
      </w:tr>
      <w:tr>
        <w:trPr>
          <w:trHeight w:val="435"/>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b w:val="1"/>
                <w:bCs w:val="1"/>
                <w:color w:val="0000FF"/>
              </w:rPr>
              <w:t>FINANCIAL INFORMATION</w:t>
            </w:r>
          </w:p>
        </w:tc>
        <w:tc>
          <w:tcPr>
            <w:tcW w:w="6000" w:type="dxa"/>
            <w:vAlign w:val="bottom"/>
            <w:gridSpan w:val="9"/>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1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6020" w:type="dxa"/>
            <w:vAlign w:val="bottom"/>
            <w:gridSpan w:val="10"/>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6040" w:type="dxa"/>
            <w:vAlign w:val="bottom"/>
            <w:gridSpan w:val="11"/>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Consolidated Statements of Income</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Shareholders’ Equity</w:t>
            </w:r>
          </w:p>
        </w:tc>
        <w:tc>
          <w:tcPr>
            <w:tcW w:w="4760" w:type="dxa"/>
            <w:vAlign w:val="bottom"/>
            <w:gridSpan w:val="4"/>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4900" w:type="dxa"/>
            <w:vAlign w:val="bottom"/>
            <w:gridSpan w:val="5"/>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5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8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3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4520" w:type="dxa"/>
            <w:vAlign w:val="bottom"/>
            <w:gridSpan w:val="3"/>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500" w:type="dxa"/>
            <w:vAlign w:val="bottom"/>
            <w:gridSpan w:val="14"/>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w w:val="99"/>
              </w:rPr>
              <w:t>OTHER INFORMATION</w:t>
            </w:r>
          </w:p>
        </w:tc>
        <w:tc>
          <w:tcPr>
            <w:tcW w:w="6300" w:type="dxa"/>
            <w:vAlign w:val="bottom"/>
            <w:gridSpan w:val="13"/>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840" w:type="dxa"/>
            <w:vAlign w:val="bottom"/>
            <w:gridSpan w:val="15"/>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180" w:type="dxa"/>
            <w:vAlign w:val="bottom"/>
            <w:gridSpan w:val="17"/>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79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18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tcBorders>
              <w:top w:val="single" w:sz="8" w:color="0000FF"/>
            </w:tcBorders>
            <w:gridSpan w:val="10"/>
          </w:tcPr>
          <w:p>
            <w:pPr>
              <w:spacing w:after="0"/>
              <w:rPr>
                <w:sz w:val="24"/>
                <w:szCs w:val="24"/>
                <w:color w:val="auto"/>
              </w:rPr>
            </w:pPr>
          </w:p>
        </w:tc>
        <w:tc>
          <w:tcPr>
            <w:tcW w:w="4480" w:type="dxa"/>
            <w:vAlign w:val="bottom"/>
            <w:gridSpan w:val="2"/>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500" w:type="dxa"/>
            <w:vAlign w:val="bottom"/>
            <w:gridSpan w:val="14"/>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6860" w:type="dxa"/>
            <w:vAlign w:val="bottom"/>
            <w:gridSpan w:val="16"/>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6.</w:t>
            </w:r>
          </w:p>
        </w:tc>
        <w:tc>
          <w:tcPr>
            <w:tcW w:w="79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Exhibits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30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819"/>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(Unaudited)</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amounts)</w:t>
            </w:r>
          </w:p>
        </w:tc>
        <w:tc>
          <w:tcPr>
            <w:tcW w:w="26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2"/>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due from financial institutions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42,473</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33,882</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Interest-bearing deposits in banks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410,098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318,461</w:t>
            </w:r>
          </w:p>
        </w:tc>
        <w:tc>
          <w:tcPr>
            <w:tcW w:w="0" w:type="dxa"/>
            <w:vAlign w:val="bottom"/>
          </w:tcPr>
          <w:p>
            <w:pPr>
              <w:spacing w:after="0"/>
              <w:rPr>
                <w:sz w:val="1"/>
                <w:szCs w:val="1"/>
                <w:color w:val="auto"/>
              </w:rPr>
            </w:pPr>
          </w:p>
        </w:tc>
      </w:tr>
      <w:tr>
        <w:trPr>
          <w:trHeight w:val="15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452,571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352,343</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 in banks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4,121</w:t>
            </w:r>
          </w:p>
        </w:tc>
        <w:tc>
          <w:tcPr>
            <w:tcW w:w="0" w:type="dxa"/>
            <w:vAlign w:val="bottom"/>
          </w:tcPr>
          <w:p>
            <w:pPr>
              <w:spacing w:after="0"/>
              <w:rPr>
                <w:sz w:val="1"/>
                <w:szCs w:val="1"/>
                <w:color w:val="auto"/>
              </w:rPr>
            </w:pPr>
          </w:p>
        </w:tc>
      </w:tr>
      <w:tr>
        <w:trPr>
          <w:trHeight w:val="127"/>
        </w:trPr>
        <w:tc>
          <w:tcPr>
            <w:tcW w:w="7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Securities available-for-sale, at fair value, net of allowance for credit losses of $0 at March 31, 2025 and December 31, 2024 (amortized cost of</w:t>
            </w:r>
          </w:p>
        </w:tc>
        <w:tc>
          <w:tcPr>
            <w:tcW w:w="26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97,111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98,194</w:t>
            </w:r>
          </w:p>
        </w:tc>
        <w:tc>
          <w:tcPr>
            <w:tcW w:w="0" w:type="dxa"/>
            <w:vAlign w:val="bottom"/>
          </w:tcPr>
          <w:p>
            <w:pPr>
              <w:spacing w:after="0"/>
              <w:rPr>
                <w:sz w:val="1"/>
                <w:szCs w:val="1"/>
                <w:color w:val="auto"/>
              </w:rPr>
            </w:pP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$113,642 and $115,757 at March 31, 2025 and December 31, 2024, respectively)</w:t>
            </w: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9"/>
              </w:rPr>
              <w:t>Securities held-to-maturity, at amortized cost, net of allowance for credit losses of $20 at March 31, 2025 and December 31, 2024 (fair value of</w:t>
            </w:r>
          </w:p>
        </w:tc>
        <w:tc>
          <w:tcPr>
            <w:tcW w:w="26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0" w:type="dxa"/>
            <w:vAlign w:val="bottom"/>
          </w:tcPr>
          <w:p>
            <w:pPr>
              <w:spacing w:after="0"/>
              <w:rPr>
                <w:sz w:val="1"/>
                <w:szCs w:val="1"/>
                <w:color w:val="auto"/>
              </w:rPr>
            </w:pPr>
          </w:p>
        </w:tc>
      </w:tr>
      <w:tr>
        <w:trPr>
          <w:trHeight w:val="17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$2,275 and $2,353 at March 31, 2025 and December 31, 2024, respectively)</w:t>
            </w:r>
          </w:p>
        </w:tc>
        <w:tc>
          <w:tcPr>
            <w:tcW w:w="26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investment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3,621,819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3,532,686</w:t>
            </w:r>
          </w:p>
        </w:tc>
        <w:tc>
          <w:tcPr>
            <w:tcW w:w="0" w:type="dxa"/>
            <w:vAlign w:val="bottom"/>
          </w:tcPr>
          <w:p>
            <w:pPr>
              <w:spacing w:after="0"/>
              <w:rPr>
                <w:sz w:val="1"/>
                <w:szCs w:val="1"/>
                <w:color w:val="auto"/>
              </w:rPr>
            </w:pP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(37,791)</w:t>
            </w:r>
          </w:p>
        </w:tc>
        <w:tc>
          <w:tcPr>
            <w:tcW w:w="0" w:type="dxa"/>
            <w:vAlign w:val="bottom"/>
          </w:tcPr>
          <w:p>
            <w:pPr>
              <w:spacing w:after="0"/>
              <w:rPr>
                <w:sz w:val="1"/>
                <w:szCs w:val="1"/>
                <w:color w:val="auto"/>
              </w:rPr>
            </w:pPr>
          </w:p>
        </w:tc>
      </w:tr>
      <w:tr>
        <w:trPr>
          <w:trHeight w:val="163"/>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Loans held for investment, net of allowance for credit losses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3,582,595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3,494,895</w:t>
            </w: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FHLB stock</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leases, right-of-use asset, net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6,245</w:t>
            </w: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Premises and equipment, net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Bank-owned life insurance</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19,375</w:t>
            </w:r>
          </w:p>
        </w:tc>
        <w:tc>
          <w:tcPr>
            <w:tcW w:w="0" w:type="dxa"/>
            <w:vAlign w:val="bottom"/>
          </w:tcPr>
          <w:p>
            <w:pPr>
              <w:spacing w:after="0"/>
              <w:rPr>
                <w:sz w:val="1"/>
                <w:szCs w:val="1"/>
                <w:color w:val="auto"/>
              </w:rPr>
            </w:pP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57,788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55,554</w:t>
            </w:r>
          </w:p>
        </w:tc>
        <w:tc>
          <w:tcPr>
            <w:tcW w:w="0" w:type="dxa"/>
            <w:vAlign w:val="bottom"/>
          </w:tcPr>
          <w:p>
            <w:pPr>
              <w:spacing w:after="0"/>
              <w:rPr>
                <w:sz w:val="1"/>
                <w:szCs w:val="1"/>
                <w:color w:val="auto"/>
              </w:rPr>
            </w:pPr>
          </w:p>
        </w:tc>
      </w:tr>
      <w:tr>
        <w:trPr>
          <w:trHeight w:val="188"/>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4,245,057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4,053,278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Non-interest-bearing</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933,652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922,629</w:t>
            </w:r>
          </w:p>
        </w:tc>
        <w:tc>
          <w:tcPr>
            <w:tcW w:w="0" w:type="dxa"/>
            <w:vAlign w:val="bottom"/>
          </w:tcPr>
          <w:p>
            <w:pPr>
              <w:spacing w:after="0"/>
              <w:rPr>
                <w:sz w:val="1"/>
                <w:szCs w:val="1"/>
                <w:color w:val="auto"/>
              </w:rPr>
            </w:pP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Interest-bearing</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2,802,702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2,635,365</w:t>
            </w:r>
          </w:p>
        </w:tc>
        <w:tc>
          <w:tcPr>
            <w:tcW w:w="0" w:type="dxa"/>
            <w:vAlign w:val="bottom"/>
          </w:tcPr>
          <w:p>
            <w:pPr>
              <w:spacing w:after="0"/>
              <w:rPr>
                <w:sz w:val="1"/>
                <w:szCs w:val="1"/>
                <w:color w:val="auto"/>
              </w:rPr>
            </w:pPr>
          </w:p>
        </w:tc>
      </w:tr>
      <w:tr>
        <w:trPr>
          <w:trHeight w:val="16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3,736,354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3,557,994</w:t>
            </w: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Subordinated notes, net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73,895</w:t>
            </w:r>
          </w:p>
        </w:tc>
        <w:tc>
          <w:tcPr>
            <w:tcW w:w="0" w:type="dxa"/>
            <w:vAlign w:val="bottom"/>
          </w:tcPr>
          <w:p>
            <w:pPr>
              <w:spacing w:after="0"/>
              <w:rPr>
                <w:sz w:val="1"/>
                <w:szCs w:val="1"/>
                <w:color w:val="auto"/>
              </w:rPr>
            </w:pP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borrowings</w:t>
            </w:r>
          </w:p>
        </w:tc>
        <w:tc>
          <w:tcPr>
            <w:tcW w:w="26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6,857</w:t>
            </w:r>
          </w:p>
        </w:tc>
        <w:tc>
          <w:tcPr>
            <w:tcW w:w="0" w:type="dxa"/>
            <w:vAlign w:val="bottom"/>
          </w:tcPr>
          <w:p>
            <w:pPr>
              <w:spacing w:after="0"/>
              <w:rPr>
                <w:sz w:val="1"/>
                <w:szCs w:val="1"/>
                <w:color w:val="auto"/>
              </w:rPr>
            </w:pP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21,729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17,908</w:t>
            </w:r>
          </w:p>
        </w:tc>
        <w:tc>
          <w:tcPr>
            <w:tcW w:w="0" w:type="dxa"/>
            <w:vAlign w:val="bottom"/>
          </w:tcPr>
          <w:p>
            <w:pPr>
              <w:spacing w:after="0"/>
              <w:rPr>
                <w:sz w:val="1"/>
                <w:szCs w:val="1"/>
                <w:color w:val="auto"/>
              </w:rPr>
            </w:pP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liabilities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3,838,606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3,656,654</w:t>
            </w:r>
          </w:p>
        </w:tc>
        <w:tc>
          <w:tcPr>
            <w:tcW w:w="0" w:type="dxa"/>
            <w:vAlign w:val="bottom"/>
          </w:tcPr>
          <w:p>
            <w:pPr>
              <w:spacing w:after="0"/>
              <w:rPr>
                <w:sz w:val="1"/>
                <w:szCs w:val="1"/>
                <w:color w:val="auto"/>
              </w:rPr>
            </w:pP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Preferred stock, no par value; 10,000,000 shares authorized; zero issued and outstanding at March 31, 2025 and December 31, 2024</w:t>
            </w:r>
          </w:p>
        </w:tc>
        <w:tc>
          <w:tcPr>
            <w:tcW w:w="26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4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Common stock, no par value; 100,000,000 shares authorized; 21,329,235 shares issued and outstanding at March 31, 2025; 21,319,083</w:t>
            </w:r>
          </w:p>
        </w:tc>
        <w:tc>
          <w:tcPr>
            <w:tcW w:w="26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302,788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302,531</w:t>
            </w:r>
          </w:p>
        </w:tc>
        <w:tc>
          <w:tcPr>
            <w:tcW w:w="0" w:type="dxa"/>
            <w:vAlign w:val="bottom"/>
          </w:tcPr>
          <w:p>
            <w:pPr>
              <w:spacing w:after="0"/>
              <w:rPr>
                <w:sz w:val="1"/>
                <w:szCs w:val="1"/>
                <w:color w:val="auto"/>
              </w:rPr>
            </w:pPr>
          </w:p>
        </w:tc>
      </w:tr>
      <w:tr>
        <w:trPr>
          <w:trHeight w:val="170"/>
        </w:trPr>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shares issued and outstanding at December 31, 2024</w:t>
            </w:r>
          </w:p>
        </w:tc>
        <w:tc>
          <w:tcPr>
            <w:tcW w:w="26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106,464</w:t>
            </w:r>
          </w:p>
        </w:tc>
        <w:tc>
          <w:tcPr>
            <w:tcW w:w="0" w:type="dxa"/>
            <w:vAlign w:val="bottom"/>
          </w:tcPr>
          <w:p>
            <w:pPr>
              <w:spacing w:after="0"/>
              <w:rPr>
                <w:sz w:val="1"/>
                <w:szCs w:val="1"/>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 net of taxes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(12,371)</w:t>
            </w:r>
          </w:p>
        </w:tc>
        <w:tc>
          <w:tcPr>
            <w:tcW w:w="0" w:type="dxa"/>
            <w:vAlign w:val="bottom"/>
          </w:tcPr>
          <w:p>
            <w:pPr>
              <w:spacing w:after="0"/>
              <w:rPr>
                <w:sz w:val="1"/>
                <w:szCs w:val="1"/>
                <w:color w:val="auto"/>
              </w:rPr>
            </w:pP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406,451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396,624</w:t>
            </w:r>
          </w:p>
        </w:tc>
        <w:tc>
          <w:tcPr>
            <w:tcW w:w="0" w:type="dxa"/>
            <w:vAlign w:val="bottom"/>
          </w:tcPr>
          <w:p>
            <w:pPr>
              <w:spacing w:after="0"/>
              <w:rPr>
                <w:sz w:val="1"/>
                <w:szCs w:val="1"/>
                <w:color w:val="auto"/>
              </w:rPr>
            </w:pPr>
          </w:p>
        </w:tc>
      </w:tr>
      <w:tr>
        <w:trPr>
          <w:trHeight w:val="188"/>
        </w:trPr>
        <w:tc>
          <w:tcPr>
            <w:tcW w:w="74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4,245,057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4,053,278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3"/>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80" w:type="dxa"/>
            <w:vAlign w:val="bottom"/>
          </w:tcPr>
          <w:p>
            <w:pPr>
              <w:spacing w:after="0"/>
              <w:rPr>
                <w:sz w:val="12"/>
                <w:szCs w:val="12"/>
                <w:color w:val="auto"/>
              </w:rPr>
            </w:pPr>
          </w:p>
        </w:tc>
      </w:tr>
      <w:tr>
        <w:trPr>
          <w:trHeight w:val="178"/>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80" w:type="dxa"/>
            <w:vAlign w:val="bottom"/>
            <w:tcBorders>
              <w:bottom w:val="single" w:sz="8" w:color="auto"/>
            </w:tcBorders>
          </w:tcPr>
          <w:p>
            <w:pPr>
              <w:spacing w:after="0"/>
              <w:rPr>
                <w:sz w:val="15"/>
                <w:szCs w:val="15"/>
                <w:color w:val="auto"/>
              </w:rPr>
            </w:pPr>
          </w:p>
        </w:tc>
      </w:tr>
      <w:tr>
        <w:trPr>
          <w:trHeight w:val="172"/>
        </w:trPr>
        <w:tc>
          <w:tcPr>
            <w:tcW w:w="8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2"/>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Interest and fee income: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including fees</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52,931</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43,786</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Taxable securities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Nontaxable securities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Interest-bearing deposits in banks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w:t>
            </w:r>
          </w:p>
        </w:tc>
      </w:tr>
      <w:tr>
        <w:trPr>
          <w:trHeight w:val="168"/>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interest and fee income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57,087</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47,541</w:t>
            </w:r>
          </w:p>
        </w:tc>
      </w:tr>
      <w:tr>
        <w:trPr>
          <w:trHeight w:val="153"/>
        </w:trPr>
        <w:tc>
          <w:tcPr>
            <w:tcW w:w="8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9"/>
        </w:trPr>
        <w:tc>
          <w:tcPr>
            <w:tcW w:w="8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19,511</w:t>
            </w: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Subordinated notes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borrowings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168"/>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interest expense</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23,110</w:t>
            </w:r>
          </w:p>
        </w:tc>
        <w:tc>
          <w:tcPr>
            <w:tcW w:w="8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20,797</w:t>
            </w:r>
          </w:p>
        </w:tc>
      </w:tr>
      <w:tr>
        <w:trPr>
          <w:trHeight w:val="153"/>
        </w:trPr>
        <w:tc>
          <w:tcPr>
            <w:tcW w:w="8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7"/>
        </w:trPr>
        <w:tc>
          <w:tcPr>
            <w:tcW w:w="8260" w:type="dxa"/>
            <w:vAlign w:val="bottom"/>
          </w:tcPr>
          <w:p>
            <w:pPr>
              <w:spacing w:after="0"/>
              <w:rPr>
                <w:sz w:val="20"/>
                <w:szCs w:val="20"/>
                <w:color w:val="auto"/>
              </w:rPr>
            </w:pPr>
            <w:r>
              <w:rPr>
                <w:rFonts w:ascii="Times New Roman" w:cs="Times New Roman" w:eastAsia="Times New Roman" w:hAnsi="Times New Roman"/>
                <w:sz w:val="13"/>
                <w:szCs w:val="13"/>
                <w:color w:val="auto"/>
              </w:rPr>
              <w:t>Net interest income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26,744</w:t>
            </w:r>
          </w:p>
        </w:tc>
      </w:tr>
      <w:tr>
        <w:trPr>
          <w:trHeight w:val="184"/>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r>
      <w:tr>
        <w:trPr>
          <w:trHeight w:val="168"/>
        </w:trPr>
        <w:tc>
          <w:tcPr>
            <w:tcW w:w="8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32,077</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25,844</w:t>
            </w:r>
          </w:p>
        </w:tc>
      </w:tr>
      <w:tr>
        <w:trPr>
          <w:trHeight w:val="153"/>
        </w:trPr>
        <w:tc>
          <w:tcPr>
            <w:tcW w:w="8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9"/>
        </w:trPr>
        <w:tc>
          <w:tcPr>
            <w:tcW w:w="8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sale of loans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Loan-related fees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FHLB stock dividends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Earnings on BOLI</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7"/>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w:t>
            </w:r>
          </w:p>
        </w:tc>
      </w:tr>
      <w:tr>
        <w:trPr>
          <w:trHeight w:val="171"/>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non-interest income</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r>
      <w:tr>
        <w:trPr>
          <w:trHeight w:val="153"/>
        </w:trPr>
        <w:tc>
          <w:tcPr>
            <w:tcW w:w="8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7,577</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Occupancy and equipment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w:t>
            </w: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Data processing and software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FDIC insurance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services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Advertising and promotional</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r>
      <w:tr>
        <w:trPr>
          <w:trHeight w:val="177"/>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Loan-related expenses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r>
      <w:tr>
        <w:trPr>
          <w:trHeight w:val="168"/>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15,045</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12,716</w:t>
            </w:r>
          </w:p>
        </w:tc>
      </w:tr>
      <w:tr>
        <w:trPr>
          <w:trHeight w:val="153"/>
        </w:trPr>
        <w:tc>
          <w:tcPr>
            <w:tcW w:w="8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7"/>
        </w:trPr>
        <w:tc>
          <w:tcPr>
            <w:tcW w:w="826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14,961</w:t>
            </w:r>
          </w:p>
        </w:tc>
      </w:tr>
      <w:tr>
        <w:trPr>
          <w:trHeight w:val="17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7"/>
        </w:trPr>
        <w:tc>
          <w:tcPr>
            <w:tcW w:w="826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4,330</w:t>
            </w:r>
          </w:p>
        </w:tc>
      </w:tr>
      <w:tr>
        <w:trPr>
          <w:trHeight w:val="173"/>
        </w:trPr>
        <w:tc>
          <w:tcPr>
            <w:tcW w:w="8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13,111</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10,631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1"/>
        </w:trPr>
        <w:tc>
          <w:tcPr>
            <w:tcW w:w="8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80"/>
        </w:trPr>
        <w:tc>
          <w:tcPr>
            <w:tcW w:w="826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0.62</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8"/>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0.62</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2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r>
      <w:tr>
        <w:trPr>
          <w:trHeight w:val="186"/>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7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10,631</w:t>
            </w:r>
          </w:p>
        </w:tc>
      </w:tr>
      <w:tr>
        <w:trPr>
          <w:trHeight w:val="212"/>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unrealized holding gain (loss) on securities available-for-sale during the period</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r>
      <w:tr>
        <w:trPr>
          <w:trHeight w:val="18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Income tax expense (benefit) related to items of other comprehensive income (loss)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71"/>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212"/>
        </w:trPr>
        <w:tc>
          <w:tcPr>
            <w:tcW w:w="8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r>
      <w:tr>
        <w:trPr>
          <w:trHeight w:val="17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13,836</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9,958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6"/>
                <w:szCs w:val="16"/>
                <w:color w:val="auto"/>
              </w:rPr>
            </w:pPr>
          </w:p>
        </w:tc>
        <w:tc>
          <w:tcPr>
            <w:tcW w:w="14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 Shareholders’</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5"/>
                <w:szCs w:val="15"/>
                <w:color w:val="auto"/>
              </w:rPr>
            </w:pPr>
          </w:p>
        </w:tc>
        <w:tc>
          <w:tcPr>
            <w:tcW w:w="14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71"/>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17,256,989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220,505</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285,774</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10,631</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 forfeitures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paid ($0.20 per share)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17,353,251</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220,804</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84,216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(12,440)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292,580</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3"/>
        </w:trPr>
        <w:tc>
          <w:tcPr>
            <w:tcW w:w="40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21,319,083</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302,531</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106,464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396,624</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forfeitures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paid ($0.20 per share)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w:t>
            </w:r>
          </w:p>
        </w:tc>
      </w:tr>
      <w:tr>
        <w:trPr>
          <w:trHeight w:val="196"/>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21,329,235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302,788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115,309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406,451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29"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79"/>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13,111</w:t>
            </w:r>
          </w:p>
        </w:tc>
        <w:tc>
          <w:tcPr>
            <w:tcW w:w="80" w:type="dxa"/>
            <w:vAlign w:val="bottom"/>
          </w:tcPr>
          <w:p>
            <w:pPr>
              <w:spacing w:after="0"/>
              <w:rPr>
                <w:sz w:val="15"/>
                <w:szCs w:val="15"/>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10,631</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deferred loan fees and costs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premiums and discounts on securities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subordinated note issuance costs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low income housing tax credits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Earnings on BOLI</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tax provision</w:t>
            </w:r>
          </w:p>
        </w:tc>
        <w:tc>
          <w:tcPr>
            <w:tcW w:w="4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Loans originated for sale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(15,453)</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sale of loans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Gross proceeds from sale of loans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5,580</w:t>
            </w:r>
          </w:p>
        </w:tc>
      </w:tr>
      <w:tr>
        <w:trPr>
          <w:trHeight w:val="177"/>
        </w:trPr>
        <w:tc>
          <w:tcPr>
            <w:tcW w:w="7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partial sale of equity investment</w:t>
            </w:r>
          </w:p>
        </w:tc>
        <w:tc>
          <w:tcPr>
            <w:tcW w:w="4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84"/>
        </w:trPr>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changes in:</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77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2,050</w:t>
            </w:r>
          </w:p>
        </w:tc>
      </w:tr>
      <w:tr>
        <w:trPr>
          <w:trHeight w:val="184"/>
        </w:trPr>
        <w:tc>
          <w:tcPr>
            <w:tcW w:w="7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w:t>
            </w:r>
          </w:p>
        </w:tc>
      </w:tr>
      <w:tr>
        <w:trPr>
          <w:trHeight w:val="174"/>
        </w:trPr>
        <w:tc>
          <w:tcPr>
            <w:tcW w:w="77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15,472</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w:t>
            </w:r>
          </w:p>
        </w:tc>
      </w:tr>
      <w:tr>
        <w:trPr>
          <w:trHeight w:val="157"/>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Maturities, prepayments, and calls of securities available-for-sale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call for equity investment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received from equity investment</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change in time deposits in banks</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 originations, net of repayments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(86,404)</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(11,498)</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premises and equipment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8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BOLI</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(3,710)</w:t>
            </w:r>
          </w:p>
        </w:tc>
        <w:tc>
          <w:tcPr>
            <w:tcW w:w="80" w:type="dxa"/>
            <w:vAlign w:val="bottom"/>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(89,338)</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(11,923)</w:t>
            </w:r>
          </w:p>
        </w:tc>
      </w:tr>
      <w:tr>
        <w:trPr>
          <w:trHeight w:val="16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6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change in deposits</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178,360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(71,124)</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Advances (payments) on other borrowings</w:t>
            </w:r>
          </w:p>
        </w:tc>
        <w:tc>
          <w:tcPr>
            <w:tcW w:w="6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r>
      <w:tr>
        <w:trPr>
          <w:trHeight w:val="177"/>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Cash dividends paid</w:t>
            </w: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(3,451)</w:t>
            </w:r>
          </w:p>
        </w:tc>
      </w:tr>
      <w:tr>
        <w:trPr>
          <w:trHeight w:val="174"/>
        </w:trPr>
        <w:tc>
          <w:tcPr>
            <w:tcW w:w="7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6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174,094</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(124,575)</w:t>
            </w:r>
          </w:p>
        </w:tc>
      </w:tr>
      <w:tr>
        <w:trPr>
          <w:trHeight w:val="168"/>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6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100,228</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(136,251)</w:t>
            </w: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6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352,343</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321,576</w:t>
            </w:r>
          </w:p>
        </w:tc>
      </w:tr>
      <w:tr>
        <w:trPr>
          <w:trHeight w:val="174"/>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6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452,571</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185,325</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7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79"/>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paid</w:t>
            </w:r>
          </w:p>
        </w:tc>
        <w:tc>
          <w:tcPr>
            <w:tcW w:w="66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22,568</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8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items:</w:t>
            </w: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 from loans held for sale to loans held for investment</w:t>
            </w: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11,464</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r>
      <w:tr>
        <w:trPr>
          <w:trHeight w:val="177"/>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exchanged for ROUA</w:t>
            </w:r>
          </w:p>
        </w:tc>
        <w:tc>
          <w:tcPr>
            <w:tcW w:w="6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w:t>
            </w:r>
          </w:p>
        </w:tc>
      </w:tr>
      <w:tr>
        <w:trPr>
          <w:trHeight w:val="184"/>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ROUA acquired</w:t>
            </w:r>
          </w:p>
        </w:tc>
        <w:tc>
          <w:tcPr>
            <w:tcW w:w="6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 xml:space="preserve">NOTES TO CONSOLIDATED FINANCIAL STATEMENTS </w:t>
      </w:r>
      <w:r>
        <w:rPr>
          <w:rFonts w:ascii="Times New Roman" w:cs="Times New Roman" w:eastAsia="Times New Roman" w:hAnsi="Times New Roman"/>
          <w:sz w:val="14"/>
          <w:szCs w:val="14"/>
          <w:color w:val="auto"/>
        </w:rPr>
        <w:t>(Unaudited)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 and 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Organization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Five Star Bank (the “Bank”) was chartered on October 26, 1999 and began operations on December 20, 1999. Five Star Bancorp (“Bancorp” or the “Company”) was incorporated on September 16, 2002 and subsequently obtained approval from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eight branch offices in Roseville, Natomas, Rancho Cordova, Redding, Elk Grove, Chico, Yuba City, and San Francisco.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Basis of Financial Statement Presentation and Consolidation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2024, and the notes thereto, included in the Company’s Annual Report on Form 10-K for the year ended December 31, 2024 (the “2024 Annual Report on Form 10-K”), which was filed with the SEC on February 28,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consolidated financial statements include Bancorp and its wholly owned subsidiary, the Bank. All significant intercompany transactions and balances are eliminated in consolidation.</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three months ended March 31, 2025 are not necessarily indicative of the results of operations that may be expected for any other interim period or for the year ending December 31,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accounting and reporting policies conform to GAAP and to general practices within the banking industry.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 Segments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has one reportable operating segment: banking. The banking segment derives its revenues through the Bank, which provides a broad range of banking products and services to customers who are predominantly small to medium-sized businesses, professionals, and individuals primarily in Northern California. The Company manages the business activities on a consolidated basis.</w:t>
      </w:r>
    </w:p>
    <w:p>
      <w:pPr>
        <w:spacing w:after="0" w:line="3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financial metrics are used by the CODM to make key operating decisions, such as determination of the rate at which the Company seeks to grow, loan and deposit pricing, and the allocation of budget for non-interest expenses. Net income is used to monitor budget versus actual results. Discrete financial information is not available other than on a Company-wide basis.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color w:val="auto"/>
        </w:rPr>
        <w:t>(d) Emerging Growth Company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qualifies as an emerging growth company as defined in the Jumpstart Our Business Startups Act of 2012, and, as such, may take advantage of specified reduced reporting requirements and deferred adoption dates for accounting standards, and is relieved of other significant requirements that are otherwise generally applicable to other public companies. The Company will remain an emerging growth company for five years after its IPO date of May 5, 2021, unless one of the following occurs: (i) total annual gross revenues are $1.235 billion or more; (ii) the Company issues more than $1.0 billion in non-convertible debt; or (iii) the Company becomes a large accelerated filer with a public float of more than $0.7 billion, as measured at June 30 annually.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 Significant Accounting Policies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significant accounting policies are included in Note 1, Basis of Presentation in the notes to our audited consolidated financial statements included in the 2024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 Recently Issued Accounting Standards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information reflects recent accounting standards that have been adopted or are pending adoption by the Company.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Adopted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 October 2023, the FASB issued ASU No. 2023-06, </w:t>
      </w:r>
      <w:r>
        <w:rPr>
          <w:rFonts w:ascii="Times New Roman" w:cs="Times New Roman" w:eastAsia="Times New Roman" w:hAnsi="Times New Roman"/>
          <w:sz w:val="14"/>
          <w:szCs w:val="14"/>
          <w:i w:val="1"/>
          <w:iCs w:val="1"/>
          <w:color w:val="auto"/>
        </w:rPr>
        <w:t>Disclosure Improvements - Codification Amendments in Response to the SEC’s Disclosure Update and Simplification Initiative</w:t>
      </w:r>
      <w:r>
        <w:rPr>
          <w:rFonts w:ascii="Times New Roman" w:cs="Times New Roman" w:eastAsia="Times New Roman" w:hAnsi="Times New Roman"/>
          <w:sz w:val="14"/>
          <w:szCs w:val="14"/>
          <w:color w:val="auto"/>
        </w:rPr>
        <w:t xml:space="preserve"> (“ASU 2023-06”), amending disclosure or presentation requirements related to various subtopics in the FASB’s ASC. ASU 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 Improvements to Income Tax Disclosures</w:t>
      </w:r>
      <w:r>
        <w:rPr>
          <w:rFonts w:ascii="Times New Roman" w:cs="Times New Roman" w:eastAsia="Times New Roman" w:hAnsi="Times New Roman"/>
          <w:sz w:val="14"/>
          <w:szCs w:val="14"/>
          <w:color w:val="auto"/>
        </w:rPr>
        <w:t xml:space="preserve">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January 1, 2026 for emerging growth companies electing not to opt out of the extended transition period and is not expected to have a significant impact on the Company’s consolidated financial statements.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March 2024, the FASB issued ASU 2024-02, </w:t>
      </w:r>
      <w:r>
        <w:rPr>
          <w:rFonts w:ascii="Times New Roman" w:cs="Times New Roman" w:eastAsia="Times New Roman" w:hAnsi="Times New Roman"/>
          <w:sz w:val="14"/>
          <w:szCs w:val="14"/>
          <w:i w:val="1"/>
          <w:iCs w:val="1"/>
          <w:color w:val="auto"/>
        </w:rPr>
        <w:t>Codification Improvements - Amendments to Remove References to the Concepts Statements</w:t>
      </w:r>
      <w:r>
        <w:rPr>
          <w:rFonts w:ascii="Times New Roman" w:cs="Times New Roman" w:eastAsia="Times New Roman" w:hAnsi="Times New Roman"/>
          <w:sz w:val="14"/>
          <w:szCs w:val="14"/>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 w:name="page10"/>
    <w:bookmarkEnd w:id="9"/>
    <w:p>
      <w:pPr>
        <w:jc w:val="both"/>
        <w:spacing w:after="0" w:line="287" w:lineRule="auto"/>
        <w:rPr>
          <w:sz w:val="20"/>
          <w:szCs w:val="20"/>
          <w:color w:val="auto"/>
        </w:rPr>
      </w:pPr>
      <w:r>
        <w:rPr>
          <w:rFonts w:ascii="Times New Roman" w:cs="Times New Roman" w:eastAsia="Times New Roman" w:hAnsi="Times New Roman"/>
          <w:sz w:val="14"/>
          <w:szCs w:val="14"/>
          <w:color w:val="auto"/>
        </w:rPr>
        <w:t>simplify the ASC and draw a distinction between authoritative and nonauthoritative literature. ASU 2024-02 is effective January 1, 2026 for emerging growth companies electing not to opt out of the extended transition period and is not expected to have a significant impact on the Company’s consolidated financial statements.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On November 4,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w:t>
      </w:r>
      <w:r>
        <w:rPr>
          <w:rFonts w:ascii="Times New Roman" w:cs="Times New Roman" w:eastAsia="Times New Roman" w:hAnsi="Times New Roman"/>
          <w:sz w:val="14"/>
          <w:szCs w:val="14"/>
          <w:color w:val="auto"/>
        </w:rPr>
        <w:t xml:space="preserve"> (“Subtopic 220-40”)</w:t>
      </w:r>
      <w:r>
        <w:rPr>
          <w:rFonts w:ascii="Times New Roman" w:cs="Times New Roman" w:eastAsia="Times New Roman" w:hAnsi="Times New Roman"/>
          <w:sz w:val="14"/>
          <w:szCs w:val="14"/>
          <w:i w:val="1"/>
          <w:iCs w:val="1"/>
          <w:color w:val="auto"/>
        </w:rPr>
        <w:t>: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and in January 2025 the FASB issued ASU 2025-01,</w:t>
      </w:r>
      <w:r>
        <w:rPr>
          <w:rFonts w:ascii="Times New Roman" w:cs="Times New Roman" w:eastAsia="Times New Roman" w:hAnsi="Times New Roman"/>
          <w:sz w:val="14"/>
          <w:szCs w:val="14"/>
          <w:i w:val="1"/>
          <w:iCs w:val="1"/>
          <w:color w:val="auto"/>
        </w:rPr>
        <w:t xml:space="preserve"> Clarifying the Effective Date</w:t>
      </w:r>
      <w:r>
        <w:rPr>
          <w:rFonts w:ascii="Times New Roman" w:cs="Times New Roman" w:eastAsia="Times New Roman" w:hAnsi="Times New Roman"/>
          <w:sz w:val="14"/>
          <w:szCs w:val="14"/>
          <w:color w:val="auto"/>
        </w:rPr>
        <w:t>. This standard responds to investor input by requiring public companies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disclose, in interim and annual reporting periods, additional 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Fair Value of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 and Fair Value Measurement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Quoted prices (unadjusted) for identical assets or liabilities in active markets that the Company has the ability to access as of the measurement date.</w:t>
      </w:r>
    </w:p>
    <w:p>
      <w:pPr>
        <w:spacing w:after="0" w:line="17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Significant unobservable inputs that reflect the Company’s own assumptions about the assumptions that market participants would use in pricing an asset or liability.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Table 2.1 summarizes the Company’s assets and liabilities required to be recorded at fair value on a recurring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2.1: Fair Value on a Recurring Basis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Quoted Prices in Active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Significant Other</w:t>
            </w:r>
          </w:p>
        </w:tc>
        <w:tc>
          <w:tcPr>
            <w:tcW w:w="100" w:type="dxa"/>
            <w:vAlign w:val="bottom"/>
          </w:tcPr>
          <w:p>
            <w:pPr>
              <w:spacing w:after="0"/>
              <w:rPr>
                <w:sz w:val="13"/>
                <w:szCs w:val="13"/>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Significant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Measurement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w w:val="99"/>
              </w:rPr>
              <w:t>Markets for Identical</w:t>
            </w: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Carrying Value</w:t>
            </w:r>
          </w:p>
        </w:tc>
        <w:tc>
          <w:tcPr>
            <w:tcW w:w="1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8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Observable Inputs</w:t>
            </w:r>
          </w:p>
        </w:tc>
        <w:tc>
          <w:tcPr>
            <w:tcW w:w="10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Unobservable Inputs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Categories: Changes in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Recorded In</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3"/>
          </w:tcPr>
          <w:p>
            <w:pPr>
              <w:ind w:left="160"/>
              <w:spacing w:after="0" w:line="138"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3"/>
          </w:tcPr>
          <w:p>
            <w:pPr>
              <w:ind w:left="26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380" w:type="dxa"/>
            <w:vAlign w:val="bottom"/>
            <w:gridSpan w:val="3"/>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4380" w:type="dxa"/>
            <w:vAlign w:val="bottom"/>
            <w:gridSpan w:val="3"/>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March 31, 2025 and December 31, 2024, there were no Level 1 available-for-sale securities and no transfers between Level 1 and Level 2 classifications for assets or liabilities measured at fair value on a recurring basis.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 There was no carrying value or fair value for interest rate swaps as of March 31, 2025 and December 31, 2024.</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March 31, 2025 and December 31, 2024, the carrying amount of assets measured at fair value on a non-recurring basis was immaterial to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Disclosures about Fair Value of Financial Instruments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Table 2.2 is a summary of fair value estimates for financial instruments as of March 31, 2025 and December 31, 2024. The carrying amounts in Table 2.2 are recorded in the consolidated balance sheets under the indicated captions. Further, management has not disclosed the fair value of financial instruments specifically excluded from disclosure requirements, such as BOLI.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2.2: Fair Value Estimates for Financial Instruments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March 31, 2025</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40" w:type="dxa"/>
            <w:vAlign w:val="bottom"/>
            <w:gridSpan w:val="3"/>
            <w:vMerge w:val="continue"/>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Carrying Amounts</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Fair Value</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Hierarchy</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Carrying Amounts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Hierarchy</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452,571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452,571</w:t>
            </w:r>
          </w:p>
        </w:tc>
        <w:tc>
          <w:tcPr>
            <w:tcW w:w="100" w:type="dxa"/>
            <w:vAlign w:val="bottom"/>
          </w:tcPr>
          <w:p>
            <w:pPr>
              <w:spacing w:after="0"/>
              <w:rPr>
                <w:sz w:val="15"/>
                <w:szCs w:val="15"/>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Time deposits in banks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100" w:type="dxa"/>
            <w:vAlign w:val="bottom"/>
          </w:tcPr>
          <w:p>
            <w:pPr>
              <w:spacing w:after="0"/>
              <w:rPr>
                <w:sz w:val="15"/>
                <w:szCs w:val="15"/>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held-to-maturity</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00" w:type="dxa"/>
            <w:vAlign w:val="bottom"/>
          </w:tcPr>
          <w:p>
            <w:pPr>
              <w:spacing w:after="0"/>
              <w:rPr>
                <w:sz w:val="15"/>
                <w:szCs w:val="15"/>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3,582,595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3,512,114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3,494,895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3,412,032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Time deposits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800,074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Level 2</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669,078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Subordinated notes</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73,481</w:t>
            </w:r>
          </w:p>
        </w:tc>
        <w:tc>
          <w:tcPr>
            <w:tcW w:w="100" w:type="dxa"/>
            <w:vAlign w:val="bottom"/>
          </w:tcPr>
          <w:p>
            <w:pPr>
              <w:spacing w:after="0"/>
              <w:rPr>
                <w:sz w:val="16"/>
                <w:szCs w:val="16"/>
                <w:color w:val="auto"/>
              </w:rPr>
            </w:pP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73,371</w:t>
            </w:r>
          </w:p>
        </w:tc>
        <w:tc>
          <w:tcPr>
            <w:tcW w:w="100" w:type="dxa"/>
            <w:vAlign w:val="bottom"/>
          </w:tcPr>
          <w:p>
            <w:pPr>
              <w:spacing w:after="0"/>
              <w:rPr>
                <w:sz w:val="16"/>
                <w:szCs w:val="16"/>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used the following methods and assumptions to estimate the fair value of its financial instruments at March 31,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and cash equivalents and time deposits in banks</w:t>
      </w:r>
      <w:r>
        <w:rPr>
          <w:rFonts w:ascii="Times New Roman" w:cs="Times New Roman" w:eastAsia="Times New Roman" w:hAnsi="Times New Roman"/>
          <w:sz w:val="14"/>
          <w:szCs w:val="14"/>
          <w:color w:val="auto"/>
        </w:rPr>
        <w:t>: The carrying amount is estimated to be fair value due to the liquid nature of the assets and their short-term maturities.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Investment securities</w:t>
      </w:r>
      <w:r>
        <w:rPr>
          <w:rFonts w:ascii="Times New Roman" w:cs="Times New Roman" w:eastAsia="Times New Roman" w:hAnsi="Times New Roman"/>
          <w:sz w:val="14"/>
          <w:szCs w:val="14"/>
          <w:color w:val="auto"/>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held for sale</w:t>
      </w:r>
      <w:r>
        <w:rPr>
          <w:rFonts w:ascii="Times New Roman" w:cs="Times New Roman" w:eastAsia="Times New Roman" w:hAnsi="Times New Roman"/>
          <w:sz w:val="14"/>
          <w:szCs w:val="14"/>
          <w:color w:val="auto"/>
        </w:rPr>
        <w:t>: The fair value is based on what secondary markets are currently offering for portfolios with similar characteristics.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Loans held for investment, net of allowance for credit losses</w:t>
      </w:r>
      <w:r>
        <w:rPr>
          <w:rFonts w:ascii="Times New Roman" w:cs="Times New Roman" w:eastAsia="Times New Roman" w:hAnsi="Times New Roman"/>
          <w:sz w:val="14"/>
          <w:szCs w:val="14"/>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Commitments to extend credit</w:t>
      </w:r>
      <w:r>
        <w:rPr>
          <w:rFonts w:ascii="Times New Roman" w:cs="Times New Roman" w:eastAsia="Times New Roman" w:hAnsi="Times New Roman"/>
          <w:sz w:val="14"/>
          <w:szCs w:val="14"/>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Time deposits</w:t>
      </w:r>
      <w:r>
        <w:rPr>
          <w:rFonts w:ascii="Times New Roman" w:cs="Times New Roman" w:eastAsia="Times New Roman" w:hAnsi="Times New Roman"/>
          <w:sz w:val="14"/>
          <w:szCs w:val="14"/>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borrowings</w:t>
      </w:r>
      <w:r>
        <w:rPr>
          <w:rFonts w:ascii="Times New Roman" w:cs="Times New Roman" w:eastAsia="Times New Roman" w:hAnsi="Times New Roman"/>
          <w:sz w:val="14"/>
          <w:szCs w:val="14"/>
          <w:color w:val="auto"/>
        </w:rPr>
        <w:t>: The carrying amount is estimated to be fair value.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Note 3: Investment Securities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Tables 3.1 and 3.2.</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summary of the amortized cost and fair value related to securities held-to-maturity as of March 31, 2025 and December 31, 2024 is presented in Table 3.1. Securities held-to-maturity, at amortized cost, had a $20.0 thousand allowance for credit losses as of March 31, 2025 and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3.1: Securities Held-to-Maturity</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Gross 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Amortized Cost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6"/>
                <w:szCs w:val="16"/>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tcPr>
          <w:p>
            <w:pPr>
              <w:spacing w:after="0"/>
              <w:rPr>
                <w:sz w:val="15"/>
                <w:szCs w:val="15"/>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held-to-maturity</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9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Total held-to-maturity</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3" w:name="page14"/>
    <w:bookmarkEnd w:id="13"/>
    <w:p>
      <w:pPr>
        <w:spacing w:after="0" w:line="287" w:lineRule="auto"/>
        <w:rPr>
          <w:sz w:val="20"/>
          <w:szCs w:val="20"/>
          <w:color w:val="auto"/>
        </w:rPr>
      </w:pPr>
      <w:r>
        <w:rPr>
          <w:rFonts w:ascii="Times New Roman" w:cs="Times New Roman" w:eastAsia="Times New Roman" w:hAnsi="Times New Roman"/>
          <w:sz w:val="14"/>
          <w:szCs w:val="14"/>
          <w:color w:val="auto"/>
        </w:rPr>
        <w:t>As of March 31, 2025 and December 31, 2024, the allowance for credit losses on held-to-maturity securities, at amortized cost, was $20.0 thousand. The Company did not record an allowance for credit losses on available-for-sale securities as of March 31, 2025 or December 31, 2024.</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summary of the amortized cost and fair value related to securities available-for-sale as of March 31, 2025 and December 31, 2024 is presented in Table 3.2. Securities available-for-sale did not have an allowance for credit losses as of March 31, 2025 or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3.2: Securities Available-for-Sale</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Gross 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Amortized Cost</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Gains</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6"/>
                <w:szCs w:val="16"/>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8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available-for-sale</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9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Total available-for-sale</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115,757</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 w:name="page15"/>
    <w:bookmarkEnd w:id="14"/>
    <w:p>
      <w:pPr>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investment securities by contractual maturity at March 31, 2025 and December 31, 2024 are shown in Table 3.3. Expected maturities may differ from contractual maturities if the issuers of the securities have the right to call or prepay obligations with or without call or prepayment penalties.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3.3: Contractual Maturities - Investment Securities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Pr>
          <w:p>
            <w:pPr>
              <w:spacing w:after="0"/>
              <w:rPr>
                <w:sz w:val="16"/>
                <w:szCs w:val="16"/>
                <w:color w:val="auto"/>
              </w:rPr>
            </w:pPr>
          </w:p>
        </w:tc>
        <w:tc>
          <w:tcPr>
            <w:tcW w:w="170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Pr>
          <w:p>
            <w:pPr>
              <w:spacing w:after="0"/>
              <w:rPr>
                <w:sz w:val="16"/>
                <w:szCs w:val="16"/>
                <w:color w:val="auto"/>
              </w:rPr>
            </w:pPr>
          </w:p>
        </w:tc>
        <w:tc>
          <w:tcPr>
            <w:tcW w:w="164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color w:val="auto"/>
              </w:rPr>
              <w:t>Available-for-Sale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rPr>
              <w:t>Amortized</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Cost</w:t>
            </w:r>
          </w:p>
        </w:tc>
        <w:tc>
          <w:tcPr>
            <w:tcW w:w="12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Within one year</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After one but within five years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After five years through ten years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After ten years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 not due at a single maturity date: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1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There were no purchases or sales of investment securities during the three months ended March 31, 2025 and March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3.4: Pledged Investment Securities</w:t>
            </w: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4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280" w:type="dxa"/>
            <w:vAlign w:val="bottom"/>
          </w:tcPr>
          <w:p>
            <w:pPr>
              <w:spacing w:after="0"/>
              <w:rPr>
                <w:sz w:val="16"/>
                <w:szCs w:val="16"/>
                <w:color w:val="auto"/>
              </w:rPr>
            </w:pPr>
          </w:p>
        </w:tc>
        <w:tc>
          <w:tcPr>
            <w:tcW w:w="17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Pledged to:</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State of California, securing deposits of public funds and borrowings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49,201</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49,477</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 Federal Reserve Discount Window, increasing borrowing capacity</w:t>
            </w:r>
          </w:p>
        </w:tc>
        <w:tc>
          <w:tcPr>
            <w:tcW w:w="3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45,576</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pledged investment securities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93,983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95,053</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Table 3.5 details the gross unrealized losses and fair values aggregated by investment category and length of time that individual available-for-sale securities have been in a continuous unrealized loss position at March 31, 2025 and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Table 3.5: Securities Available-for-Sale in Continuous Unrealized Loss Positions</w:t>
            </w:r>
          </w:p>
        </w:tc>
        <w:tc>
          <w:tcPr>
            <w:tcW w:w="4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5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color w:val="auto"/>
              </w:rPr>
              <w:t>Less than 12 months</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color w:val="auto"/>
              </w:rPr>
              <w:t>12 months or more</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Total securities in a loss position</w:t>
            </w:r>
          </w:p>
        </w:tc>
      </w:tr>
      <w:tr>
        <w:trPr>
          <w:trHeight w:val="320"/>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w:t>
            </w: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w:t>
            </w: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Unrealized Loss</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4"/>
              </w:rPr>
              <w:t>(11)</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(11,833)</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w:t>
            </w:r>
          </w:p>
        </w:tc>
      </w:tr>
      <w:tr>
        <w:trPr>
          <w:trHeight w:val="180"/>
        </w:trPr>
        <w:tc>
          <w:tcPr>
            <w:tcW w:w="20" w:type="dxa"/>
            <w:vAlign w:val="bottom"/>
            <w:shd w:val="clear" w:color="auto" w:fill="CCEEFF"/>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center"/>
              <w:ind w:left="649"/>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center"/>
              <w:ind w:left="729"/>
              <w:spacing w:after="0"/>
              <w:rPr>
                <w:sz w:val="20"/>
                <w:szCs w:val="20"/>
                <w:color w:val="auto"/>
              </w:rPr>
            </w:pPr>
            <w:r>
              <w:rPr>
                <w:rFonts w:ascii="Times New Roman" w:cs="Times New Roman" w:eastAsia="Times New Roman" w:hAnsi="Times New Roman"/>
                <w:sz w:val="14"/>
                <w:szCs w:val="14"/>
                <w:color w:val="auto"/>
                <w:w w:val="94"/>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147 available-for-sale securities in unrealized loss positions at both March 31, 2025 and December 31, 2024. As of March 31, 2025, the investment portfolio included 141 investment securities that had been in a continuous loss position for twelve months or more and six investment securities that had been in a loss position for less than twelve months.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was one held-to-maturity security in a continuous unrealized loss position at both March 31, 2025 and December 31, 2024, which at December 31, 2024 had been in a continuous loss position for more than twelve months.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6" w:name="page17"/>
    <w:bookmarkEnd w:id="16"/>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Non-Marketable Securities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FHLB capital stock</w:t>
      </w:r>
      <w:r>
        <w:rPr>
          <w:rFonts w:ascii="Times New Roman" w:cs="Times New Roman" w:eastAsia="Times New Roman" w:hAnsi="Times New Roman"/>
          <w:sz w:val="14"/>
          <w:szCs w:val="14"/>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both March 31, 2025 and December 31, 2024.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March 31, 2025 or December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Note 4: Loans and Allowance for Credit Losses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4.1: Loans Outstanding</w:t>
            </w: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8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280" w:type="dxa"/>
            <w:vAlign w:val="bottom"/>
          </w:tcPr>
          <w:p>
            <w:pPr>
              <w:spacing w:after="0"/>
              <w:rPr>
                <w:sz w:val="16"/>
                <w:szCs w:val="16"/>
                <w:color w:val="auto"/>
              </w:rPr>
            </w:pPr>
          </w:p>
        </w:tc>
        <w:tc>
          <w:tcPr>
            <w:tcW w:w="17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2,941,201</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3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180"/>
        </w:trPr>
        <w:tc>
          <w:tcPr>
            <w:tcW w:w="20" w:type="dxa"/>
            <w:vAlign w:val="bottom"/>
          </w:tcPr>
          <w:p>
            <w:pPr>
              <w:spacing w:after="0"/>
              <w:rPr>
                <w:sz w:val="15"/>
                <w:szCs w:val="15"/>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170,548</w:t>
            </w:r>
          </w:p>
        </w:tc>
      </w:tr>
      <w:tr>
        <w:trPr>
          <w:trHeight w:val="180"/>
        </w:trPr>
        <w:tc>
          <w:tcPr>
            <w:tcW w:w="20" w:type="dxa"/>
            <w:vAlign w:val="bottom"/>
          </w:tcPr>
          <w:p>
            <w:pPr>
              <w:spacing w:after="0"/>
              <w:rPr>
                <w:sz w:val="15"/>
                <w:szCs w:val="15"/>
                <w:color w:val="auto"/>
              </w:rPr>
            </w:pPr>
          </w:p>
        </w:tc>
        <w:tc>
          <w:tcPr>
            <w:tcW w:w="7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3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3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277,093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Subtotal</w:t>
            </w:r>
          </w:p>
        </w:tc>
        <w:tc>
          <w:tcPr>
            <w:tcW w:w="3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3,623,790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3,534,606</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loan fees</w:t>
            </w:r>
          </w:p>
        </w:tc>
        <w:tc>
          <w:tcPr>
            <w:tcW w:w="3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3,621,819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3,532,686</w:t>
            </w:r>
          </w:p>
        </w:tc>
      </w:tr>
      <w:tr>
        <w:trPr>
          <w:trHeight w:val="180"/>
        </w:trPr>
        <w:tc>
          <w:tcPr>
            <w:tcW w:w="20" w:type="dxa"/>
            <w:vAlign w:val="bottom"/>
            <w:shd w:val="clear" w:color="auto" w:fill="CCEEFF"/>
          </w:tcPr>
          <w:p>
            <w:pPr>
              <w:spacing w:after="0"/>
              <w:rPr>
                <w:sz w:val="15"/>
                <w:szCs w:val="15"/>
                <w:color w:val="auto"/>
              </w:rPr>
            </w:pPr>
          </w:p>
        </w:tc>
        <w:tc>
          <w:tcPr>
            <w:tcW w:w="71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r>
      <w:tr>
        <w:trPr>
          <w:trHeight w:val="171"/>
        </w:trPr>
        <w:tc>
          <w:tcPr>
            <w:tcW w:w="20" w:type="dxa"/>
            <w:vAlign w:val="bottom"/>
          </w:tcPr>
          <w:p>
            <w:pPr>
              <w:spacing w:after="0"/>
              <w:rPr>
                <w:sz w:val="14"/>
                <w:szCs w:val="14"/>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3,582,595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3,494,895</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Underwriting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Real estate loans</w:t>
      </w:r>
      <w:r>
        <w:rPr>
          <w:rFonts w:ascii="Times New Roman" w:cs="Times New Roman" w:eastAsia="Times New Roman" w:hAnsi="Times New Roman"/>
          <w:sz w:val="14"/>
          <w:szCs w:val="14"/>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u w:val="single" w:color="auto"/>
          <w:color w:val="auto"/>
        </w:rPr>
        <w:t>Construction loans</w:t>
      </w:r>
      <w:r>
        <w:rPr>
          <w:rFonts w:ascii="Times New Roman" w:cs="Times New Roman" w:eastAsia="Times New Roman" w:hAnsi="Times New Roman"/>
          <w:sz w:val="14"/>
          <w:szCs w:val="14"/>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Residential real estate loans</w:t>
      </w:r>
      <w:r>
        <w:rPr>
          <w:rFonts w:ascii="Times New Roman" w:cs="Times New Roman" w:eastAsia="Times New Roman" w:hAnsi="Times New Roman"/>
          <w:sz w:val="14"/>
          <w:szCs w:val="14"/>
          <w:color w:val="auto"/>
        </w:rPr>
        <w:t>: Residential real estate loans are underwritten based upon the borrower’s income, credit history, and collateral. To monitor and manage residential loan risk, policies and procedures are developed and modified,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8" w:name="page19"/>
    <w:bookmarkEnd w:id="18"/>
    <w:p>
      <w:pPr>
        <w:jc w:val="both"/>
        <w:spacing w:after="0" w:line="270" w:lineRule="auto"/>
        <w:rPr>
          <w:sz w:val="20"/>
          <w:szCs w:val="20"/>
          <w:color w:val="auto"/>
        </w:rPr>
      </w:pPr>
      <w:r>
        <w:rPr>
          <w:rFonts w:ascii="Times New Roman" w:cs="Times New Roman" w:eastAsia="Times New Roman" w:hAnsi="Times New Roman"/>
          <w:sz w:val="14"/>
          <w:szCs w:val="14"/>
          <w:color w:val="auto"/>
        </w:rPr>
        <w:t>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Farmland loans</w:t>
      </w:r>
      <w:r>
        <w:rPr>
          <w:rFonts w:ascii="Times New Roman" w:cs="Times New Roman" w:eastAsia="Times New Roman" w:hAnsi="Times New Roman"/>
          <w:sz w:val="14"/>
          <w:szCs w:val="14"/>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u w:val="single" w:color="auto"/>
          <w:color w:val="auto"/>
        </w:rPr>
        <w:t>Commercial loans</w:t>
      </w:r>
      <w:r>
        <w:rPr>
          <w:rFonts w:ascii="Times New Roman" w:cs="Times New Roman" w:eastAsia="Times New Roman" w:hAnsi="Times New Roman"/>
          <w:sz w:val="14"/>
          <w:szCs w:val="14"/>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Consumer loans</w:t>
      </w:r>
      <w:r>
        <w:rPr>
          <w:rFonts w:ascii="Times New Roman" w:cs="Times New Roman" w:eastAsia="Times New Roman" w:hAnsi="Times New Roman"/>
          <w:sz w:val="14"/>
          <w:szCs w:val="14"/>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Quality Indicators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Loans rated pass</w:t>
      </w:r>
      <w:r>
        <w:rPr>
          <w:rFonts w:ascii="Times New Roman" w:cs="Times New Roman" w:eastAsia="Times New Roman" w:hAnsi="Times New Roman"/>
          <w:sz w:val="14"/>
          <w:szCs w:val="14"/>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Loans rated watch</w:t>
      </w:r>
      <w:r>
        <w:rPr>
          <w:rFonts w:ascii="Times New Roman" w:cs="Times New Roman" w:eastAsia="Times New Roman" w:hAnsi="Times New Roman"/>
          <w:sz w:val="14"/>
          <w:szCs w:val="14"/>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Loans rated substandard</w:t>
      </w:r>
      <w:r>
        <w:rPr>
          <w:rFonts w:ascii="Times New Roman" w:cs="Times New Roman" w:eastAsia="Times New Roman" w:hAnsi="Times New Roman"/>
          <w:sz w:val="14"/>
          <w:szCs w:val="14"/>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Loans rated doubtful</w:t>
      </w:r>
      <w:r>
        <w:rPr>
          <w:rFonts w:ascii="Times New Roman" w:cs="Times New Roman" w:eastAsia="Times New Roman" w:hAnsi="Times New Roman"/>
          <w:sz w:val="14"/>
          <w:szCs w:val="14"/>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9" w:name="page20"/>
    <w:bookmarkEnd w:id="19"/>
    <w:p>
      <w:pPr>
        <w:spacing w:after="0" w:line="287" w:lineRule="auto"/>
        <w:rPr>
          <w:sz w:val="20"/>
          <w:szCs w:val="20"/>
          <w:color w:val="auto"/>
        </w:rPr>
      </w:pPr>
      <w:r>
        <w:rPr>
          <w:rFonts w:ascii="Times New Roman" w:cs="Times New Roman" w:eastAsia="Times New Roman" w:hAnsi="Times New Roman"/>
          <w:sz w:val="14"/>
          <w:szCs w:val="14"/>
          <w:color w:val="auto"/>
        </w:rPr>
        <w:t>Table 4.2 presents the amortized cost basis of the Company’s loans by origination year, where origination is defined as the later of origination or renewal date, and credit quality indicator as of the periods indicated.</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4.2: Loans by Risk Category and Vintage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1"/>
                <w:szCs w:val="11"/>
                <w:color w:val="auto"/>
              </w:rPr>
              <w:t>Amortized Cost Basis by Origination Year as of March 31, 2025</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8"/>
                <w:szCs w:val="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140" w:type="dxa"/>
            <w:vAlign w:val="bottom"/>
          </w:tcPr>
          <w:p>
            <w:pPr>
              <w:spacing w:after="0"/>
              <w:rPr>
                <w:sz w:val="8"/>
                <w:szCs w:val="8"/>
                <w:color w:val="auto"/>
              </w:rPr>
            </w:pPr>
          </w:p>
        </w:tc>
        <w:tc>
          <w:tcPr>
            <w:tcW w:w="82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color w:val="auto"/>
              </w:rPr>
              <w:t>Revolving</w:t>
            </w:r>
          </w:p>
        </w:tc>
        <w:tc>
          <w:tcPr>
            <w:tcW w:w="220" w:type="dxa"/>
            <w:vAlign w:val="bottom"/>
          </w:tcPr>
          <w:p>
            <w:pPr>
              <w:spacing w:after="0"/>
              <w:rPr>
                <w:sz w:val="8"/>
                <w:szCs w:val="8"/>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2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422,735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299,751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881,165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612,219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494,109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2,836,526</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37,903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98,304</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3,653</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120,306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423,375</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309,330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920,170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637,311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520,359</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7,632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2,938,483</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land and development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3,554</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3,554</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88,230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112,762</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6,377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17,630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88,230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112,762</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construction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5,745</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5,745</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34,075</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4,770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9,429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8,350</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34,075</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42,338</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2,034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7,140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8,486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24,150</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43,626</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20,846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158,898</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12,373</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16,158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31,212</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19,182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27,347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22,857</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43,052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171,314</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34,988</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34,988</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30,474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277,264</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225,069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30,474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7,080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277,272</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157,750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718,999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446,856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921,196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646,757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553,132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3,506,150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45,191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111,965</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3,704</w:t>
            </w:r>
          </w:p>
        </w:tc>
        <w:tc>
          <w:tcPr>
            <w:tcW w:w="0" w:type="dxa"/>
            <w:vAlign w:val="bottom"/>
          </w:tcPr>
          <w:p>
            <w:pPr>
              <w:spacing w:after="0"/>
              <w:rPr>
                <w:sz w:val="1"/>
                <w:szCs w:val="1"/>
                <w:color w:val="auto"/>
              </w:rPr>
            </w:pPr>
          </w:p>
        </w:tc>
      </w:tr>
      <w:tr>
        <w:trPr>
          <w:trHeight w:val="150"/>
        </w:trPr>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157,750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720,140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457,108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967,497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674,437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580,544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64,343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3,621,819</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4"/>
          <w:szCs w:val="14"/>
          <w:u w:val="single" w:color="auto"/>
          <w:color w:val="auto"/>
        </w:rPr>
        <w:t>Table 4.2: Loans by Risk Category and Vintage (continued)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1"/>
                <w:szCs w:val="11"/>
                <w:color w:val="auto"/>
              </w:rPr>
              <w:t>Amortized Cost Basis by Origination Year as of December 31, 2024</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8"/>
                <w:szCs w:val="8"/>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140" w:type="dxa"/>
            <w:vAlign w:val="bottom"/>
          </w:tcPr>
          <w:p>
            <w:pPr>
              <w:spacing w:after="0"/>
              <w:rPr>
                <w:sz w:val="8"/>
                <w:szCs w:val="8"/>
                <w:color w:val="auto"/>
              </w:rPr>
            </w:pPr>
          </w:p>
        </w:tc>
        <w:tc>
          <w:tcPr>
            <w:tcW w:w="82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color w:val="auto"/>
              </w:rPr>
              <w:t>Revolving</w:t>
            </w:r>
          </w:p>
        </w:tc>
        <w:tc>
          <w:tcPr>
            <w:tcW w:w="220" w:type="dxa"/>
            <w:vAlign w:val="bottom"/>
          </w:tcPr>
          <w:p>
            <w:pPr>
              <w:spacing w:after="0"/>
              <w:rPr>
                <w:sz w:val="8"/>
                <w:szCs w:val="8"/>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2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 estate:</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427,209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298,408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881,675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618,052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312,622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2,744,010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42,531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31,895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107,936</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427,850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306,601</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924,206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649,947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219,325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321,523</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2,854,531</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land and development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111,033</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72,933</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13,112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11,231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111,033</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construction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32,796</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4,783</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9,483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6,246</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32,796</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45,928</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7,823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11,467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6,960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17,373</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47,220</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157,170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9,840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14,118</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26,536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20,728</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12,188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9,251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15,737</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55,914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171,336</w:t>
            </w:r>
          </w:p>
        </w:tc>
        <w:tc>
          <w:tcPr>
            <w:tcW w:w="0" w:type="dxa"/>
            <w:vAlign w:val="bottom"/>
          </w:tcPr>
          <w:p>
            <w:pPr>
              <w:spacing w:after="0"/>
              <w:rPr>
                <w:sz w:val="1"/>
                <w:szCs w:val="1"/>
                <w:color w:val="auto"/>
              </w:rPr>
            </w:pPr>
          </w:p>
        </w:tc>
      </w:tr>
      <w:tr>
        <w:trPr>
          <w:trHeight w:val="14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3,494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27,575</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3,494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27,575</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279,772</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6"/>
        </w:trPr>
        <w:tc>
          <w:tcPr>
            <w:tcW w:w="252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232,420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33,453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7,883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5,812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279,781</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721,468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436,545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937,756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657,915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352,868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3,406,698</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53,162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34,476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123,346</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2,642</w:t>
            </w:r>
          </w:p>
        </w:tc>
        <w:tc>
          <w:tcPr>
            <w:tcW w:w="0" w:type="dxa"/>
            <w:vAlign w:val="bottom"/>
          </w:tcPr>
          <w:p>
            <w:pPr>
              <w:spacing w:after="0"/>
              <w:rPr>
                <w:sz w:val="1"/>
                <w:szCs w:val="1"/>
                <w:color w:val="auto"/>
              </w:rPr>
            </w:pPr>
          </w:p>
        </w:tc>
      </w:tr>
      <w:tr>
        <w:trPr>
          <w:trHeight w:val="150"/>
        </w:trPr>
        <w:tc>
          <w:tcPr>
            <w:tcW w:w="25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722,610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445,039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990,927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692,391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253,971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363,106</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64,642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3,532,686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this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Table 4.3 shows the age analysis of past due loans by class as of the dates shown.</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4.3: Age Analysis of Past Due Loans by Class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Past Due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Greater Than 90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 Loans</w:t>
            </w:r>
          </w:p>
        </w:tc>
        <w:tc>
          <w:tcPr>
            <w:tcW w:w="0" w:type="dxa"/>
            <w:vAlign w:val="bottom"/>
          </w:tcPr>
          <w:p>
            <w:pPr>
              <w:spacing w:after="0"/>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30-59 Days</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60-89 Days</w:t>
            </w:r>
          </w:p>
        </w:tc>
        <w:tc>
          <w:tcPr>
            <w:tcW w:w="1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Days</w:t>
            </w: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Past Due</w:t>
            </w: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Current</w:t>
            </w:r>
          </w:p>
        </w:tc>
        <w:tc>
          <w:tcPr>
            <w:tcW w:w="200" w:type="dxa"/>
            <w:vAlign w:val="bottom"/>
          </w:tcPr>
          <w:p>
            <w:pPr>
              <w:spacing w:after="0"/>
              <w:rPr>
                <w:sz w:val="16"/>
                <w:szCs w:val="16"/>
                <w:color w:val="auto"/>
              </w:rPr>
            </w:pPr>
          </w:p>
        </w:tc>
        <w:tc>
          <w:tcPr>
            <w:tcW w:w="11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Receivable</w:t>
            </w:r>
          </w:p>
        </w:tc>
        <w:tc>
          <w:tcPr>
            <w:tcW w:w="0" w:type="dxa"/>
            <w:vAlign w:val="bottom"/>
          </w:tcPr>
          <w:p>
            <w:pPr>
              <w:spacing w:after="0"/>
              <w:rPr>
                <w:sz w:val="1"/>
                <w:szCs w:val="1"/>
                <w:color w:val="auto"/>
              </w:rPr>
            </w:pPr>
          </w:p>
        </w:tc>
      </w:tr>
      <w:tr>
        <w:trPr>
          <w:trHeight w:val="16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2,938,097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2,938,483</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112,762</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5,745</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34,075</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43,626</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171,314</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34,988</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277,272</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3,621,819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2,854,531</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47,220</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171,336</w:t>
            </w:r>
          </w:p>
        </w:tc>
        <w:tc>
          <w:tcPr>
            <w:tcW w:w="0" w:type="dxa"/>
            <w:vAlign w:val="bottom"/>
          </w:tcPr>
          <w:p>
            <w:pPr>
              <w:spacing w:after="0"/>
              <w:rPr>
                <w:sz w:val="1"/>
                <w:szCs w:val="1"/>
                <w:color w:val="auto"/>
              </w:rPr>
            </w:pPr>
          </w:p>
        </w:tc>
      </w:tr>
      <w:tr>
        <w:trPr>
          <w:trHeight w:val="18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279,781</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3,531,512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3,532,686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loans greater than 90 days past due and still accruing interest income as of March 31, 2025 or December 31, 2024.</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collateral dependent loans were in process of foreclosure at March 31, 2025 or December 31, 2024. The Company had one collateral dependent commercial real estate loan outstanding as of March 31, 2025 and December 31, 2024 in the amounts of $1.7 million and $1.8 million, respectively, for which the borrower was experiencing financial difficulty.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Non-accrual loans, segregated by class, as of March 31, 2025 and December 31, 2024 are shown in Table 4.4.</w:t>
            </w: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4.4: Non-accrual Loans</w:t>
            </w:r>
          </w:p>
        </w:tc>
        <w:tc>
          <w:tcPr>
            <w:tcW w:w="54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1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1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non-accrual loans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interest income was recognized on non-accrual loans in the three months ended March 31, 2025 or March 31, 2024. Non-accrual real estate loans did not have an allowance for credit losses as of March 31, 2025. Interest income can be recognized on non-accrual loans in cases where resolution occurs through a sale or full payment is received on the non-accrual loan.</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amount of foregone interest income related to non-accrual loans was $35.2 thousand for the three months ended March 31, 2025, as compared to $39.2 thousand for the three months ended March 31,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40"/>
        </w:trPr>
        <w:tc>
          <w:tcPr>
            <w:tcW w:w="53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Table 4.5 discloses activity in the allowance for credit losses for the periods indicated.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4.5: Allowance for Credit Losses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24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Recoveries</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Provision (Benefit)</w:t>
            </w:r>
          </w:p>
        </w:tc>
        <w:tc>
          <w:tcPr>
            <w:tcW w:w="180" w:type="dxa"/>
            <w:vAlign w:val="bottom"/>
          </w:tcPr>
          <w:p>
            <w:pPr>
              <w:spacing w:after="0"/>
              <w:rPr>
                <w:sz w:val="16"/>
                <w:szCs w:val="16"/>
                <w:color w:val="auto"/>
              </w:rPr>
            </w:pPr>
          </w:p>
        </w:tc>
        <w:tc>
          <w:tcPr>
            <w:tcW w:w="12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Ending Balance</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27,027</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180"/>
        </w:trPr>
        <w:tc>
          <w:tcPr>
            <w:tcW w:w="2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28,895</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w:t>
            </w:r>
          </w:p>
        </w:tc>
      </w:tr>
      <w:tr>
        <w:trPr>
          <w:trHeight w:val="180"/>
        </w:trPr>
        <w:tc>
          <w:tcPr>
            <w:tcW w:w="2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0"/>
        </w:trPr>
        <w:tc>
          <w:tcPr>
            <w:tcW w:w="2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Unfunded Loan Commitment Reserves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4.6: Unfunded Loan Commitment Reserves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540" w:type="dxa"/>
            <w:vAlign w:val="bottom"/>
          </w:tcPr>
          <w:p>
            <w:pPr>
              <w:spacing w:after="0"/>
              <w:rPr>
                <w:sz w:val="14"/>
                <w:szCs w:val="14"/>
                <w:color w:val="auto"/>
              </w:rPr>
            </w:pPr>
          </w:p>
        </w:tc>
        <w:tc>
          <w:tcPr>
            <w:tcW w:w="14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March 31, 2024</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29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center"/>
              <w:ind w:left="1309"/>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(benefit)</w:t>
            </w:r>
          </w:p>
        </w:tc>
        <w:tc>
          <w:tcPr>
            <w:tcW w:w="2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left="1289"/>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29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center"/>
              <w:ind w:left="1309"/>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349"/>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29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color w:val="auto"/>
        </w:rPr>
        <w:t>Pledged Loans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FHLB line of credit is secured under terms of a collateral agreement by a pledge of certain qualifying loans with unpaid principal balances of $1.9 billion at March 31, 2025 and December 31, 2024. In addition, the Company pledges eligible tenants in common loans, which totaled $1.2 billion at March 31, 2025 and December 31, 2024, to secure its borrowing capacity with the Federal Reserve Discount Window. See Note 6, Subordinated Notes and Other Borrowings, for further discussion of these borrowings.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 5: Interest-Bearing Deposits</w:t>
            </w: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40"/>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5.1 shows the composition of interest-bearing deposits as of March 31, 2025 and December 31, 2024.</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5.1: Interest-Bearing Deposits</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8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315,217</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124,702</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1,577,473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1,525,292</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 $250 or more</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344,129</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time accounts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425,149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326,025</w:t>
            </w:r>
          </w:p>
        </w:tc>
      </w:tr>
      <w:tr>
        <w:trPr>
          <w:trHeight w:val="171"/>
        </w:trPr>
        <w:tc>
          <w:tcPr>
            <w:tcW w:w="20" w:type="dxa"/>
            <w:vAlign w:val="bottom"/>
          </w:tcPr>
          <w:p>
            <w:pPr>
              <w:spacing w:after="0"/>
              <w:rPr>
                <w:sz w:val="14"/>
                <w:szCs w:val="14"/>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2,802,702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2,635,365</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Time deposits totaled $801.4 million and $670.2 million as of March 31, 2025 and December 31, 2024, respectively. Scheduled maturities of time deposits as of March 31, 2025 for the next five years are shown in Table 5.2.</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5.2: Scheduled Maturities of Time Deposits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Borders>
              <w:top w:val="single" w:sz="8" w:color="auto"/>
            </w:tcBorders>
            <w:shd w:val="clear" w:color="auto" w:fill="CCEEFF"/>
          </w:tcPr>
          <w:p>
            <w:pPr>
              <w:jc w:val="right"/>
              <w:ind w:right="8889"/>
              <w:spacing w:after="0"/>
              <w:rPr>
                <w:sz w:val="20"/>
                <w:szCs w:val="20"/>
                <w:color w:val="auto"/>
              </w:rPr>
            </w:pPr>
            <w:r>
              <w:rPr>
                <w:rFonts w:ascii="Times New Roman" w:cs="Times New Roman" w:eastAsia="Times New Roman" w:hAnsi="Times New Roman"/>
                <w:sz w:val="14"/>
                <w:szCs w:val="14"/>
                <w:color w:val="auto"/>
                <w:w w:val="99"/>
              </w:rPr>
              <w:t>2025</w:t>
            </w:r>
          </w:p>
        </w:tc>
        <w:tc>
          <w:tcPr>
            <w:tcW w:w="800" w:type="dxa"/>
            <w:vAlign w:val="bottom"/>
            <w:tcBorders>
              <w:top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770,268</w:t>
            </w:r>
          </w:p>
        </w:tc>
      </w:tr>
      <w:tr>
        <w:trPr>
          <w:trHeight w:val="180"/>
        </w:trPr>
        <w:tc>
          <w:tcPr>
            <w:tcW w:w="9260" w:type="dxa"/>
            <w:vAlign w:val="bottom"/>
          </w:tcPr>
          <w:p>
            <w:pPr>
              <w:jc w:val="right"/>
              <w:ind w:right="8889"/>
              <w:spacing w:after="0"/>
              <w:rPr>
                <w:sz w:val="20"/>
                <w:szCs w:val="20"/>
                <w:color w:val="auto"/>
              </w:rPr>
            </w:pPr>
            <w:r>
              <w:rPr>
                <w:rFonts w:ascii="Times New Roman" w:cs="Times New Roman" w:eastAsia="Times New Roman" w:hAnsi="Times New Roman"/>
                <w:sz w:val="14"/>
                <w:szCs w:val="14"/>
                <w:color w:val="auto"/>
                <w:w w:val="99"/>
              </w:rPr>
              <w:t>2026</w:t>
            </w:r>
          </w:p>
        </w:tc>
        <w:tc>
          <w:tcPr>
            <w:tcW w:w="8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30,025</w:t>
            </w:r>
          </w:p>
        </w:tc>
      </w:tr>
      <w:tr>
        <w:trPr>
          <w:trHeight w:val="180"/>
        </w:trPr>
        <w:tc>
          <w:tcPr>
            <w:tcW w:w="9260" w:type="dxa"/>
            <w:vAlign w:val="bottom"/>
            <w:shd w:val="clear" w:color="auto" w:fill="CCEEFF"/>
          </w:tcPr>
          <w:p>
            <w:pPr>
              <w:jc w:val="right"/>
              <w:ind w:right="8889"/>
              <w:spacing w:after="0"/>
              <w:rPr>
                <w:sz w:val="20"/>
                <w:szCs w:val="20"/>
                <w:color w:val="auto"/>
              </w:rPr>
            </w:pPr>
            <w:r>
              <w:rPr>
                <w:rFonts w:ascii="Times New Roman" w:cs="Times New Roman" w:eastAsia="Times New Roman" w:hAnsi="Times New Roman"/>
                <w:sz w:val="14"/>
                <w:szCs w:val="14"/>
                <w:color w:val="auto"/>
                <w:w w:val="99"/>
              </w:rPr>
              <w:t>2027</w:t>
            </w:r>
          </w:p>
        </w:tc>
        <w:tc>
          <w:tcPr>
            <w:tcW w:w="8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180"/>
        </w:trPr>
        <w:tc>
          <w:tcPr>
            <w:tcW w:w="9260" w:type="dxa"/>
            <w:vAlign w:val="bottom"/>
          </w:tcPr>
          <w:p>
            <w:pPr>
              <w:jc w:val="right"/>
              <w:ind w:right="8889"/>
              <w:spacing w:after="0"/>
              <w:rPr>
                <w:sz w:val="20"/>
                <w:szCs w:val="20"/>
                <w:color w:val="auto"/>
              </w:rPr>
            </w:pPr>
            <w:r>
              <w:rPr>
                <w:rFonts w:ascii="Times New Roman" w:cs="Times New Roman" w:eastAsia="Times New Roman" w:hAnsi="Times New Roman"/>
                <w:sz w:val="14"/>
                <w:szCs w:val="14"/>
                <w:color w:val="auto"/>
                <w:w w:val="99"/>
              </w:rPr>
              <w:t>2028</w:t>
            </w:r>
          </w:p>
        </w:tc>
        <w:tc>
          <w:tcPr>
            <w:tcW w:w="8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260" w:type="dxa"/>
            <w:vAlign w:val="bottom"/>
            <w:shd w:val="clear" w:color="auto" w:fill="CCEEFF"/>
          </w:tcPr>
          <w:p>
            <w:pPr>
              <w:jc w:val="right"/>
              <w:ind w:right="8889"/>
              <w:spacing w:after="0"/>
              <w:rPr>
                <w:sz w:val="20"/>
                <w:szCs w:val="20"/>
                <w:color w:val="auto"/>
              </w:rPr>
            </w:pPr>
            <w:r>
              <w:rPr>
                <w:rFonts w:ascii="Times New Roman" w:cs="Times New Roman" w:eastAsia="Times New Roman" w:hAnsi="Times New Roman"/>
                <w:sz w:val="14"/>
                <w:szCs w:val="14"/>
                <w:color w:val="auto"/>
                <w:w w:val="99"/>
              </w:rPr>
              <w:t>2029</w:t>
            </w:r>
          </w:p>
        </w:tc>
        <w:tc>
          <w:tcPr>
            <w:tcW w:w="8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9260" w:type="dxa"/>
            <w:vAlign w:val="bottom"/>
          </w:tcPr>
          <w:p>
            <w:pPr>
              <w:jc w:val="right"/>
              <w:ind w:right="7969"/>
              <w:spacing w:after="0"/>
              <w:rPr>
                <w:sz w:val="20"/>
                <w:szCs w:val="20"/>
                <w:color w:val="auto"/>
              </w:rPr>
            </w:pPr>
            <w:r>
              <w:rPr>
                <w:rFonts w:ascii="Times New Roman" w:cs="Times New Roman" w:eastAsia="Times New Roman" w:hAnsi="Times New Roman"/>
                <w:sz w:val="14"/>
                <w:szCs w:val="14"/>
                <w:color w:val="auto"/>
              </w:rPr>
              <w:t>Total time deposits</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801,386</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March 31, 2025 or December 31, 2024. The composition of network deposits as of March 31, 2025 and December 31, 2024 is shown in Table 5.3.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5.3: Network Deposits</w:t>
            </w:r>
          </w:p>
        </w:tc>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CDARS</w:t>
            </w:r>
          </w:p>
        </w:tc>
        <w:tc>
          <w:tcPr>
            <w:tcW w:w="3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ICS</w:t>
            </w:r>
          </w:p>
        </w:tc>
        <w:tc>
          <w:tcPr>
            <w:tcW w:w="3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676,433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674,453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5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network deposits</w:t>
            </w:r>
          </w:p>
        </w:tc>
        <w:tc>
          <w:tcPr>
            <w:tcW w:w="3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695,112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693,745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26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3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5.4 presents interest expense recognized on interest-bearing deposits for the periods ended March 31, 2025 and 2024.</w:t>
            </w: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5.4: Interest Expense Recognized on Interest-Bearing Deposits</w:t>
            </w:r>
          </w:p>
        </w:tc>
        <w:tc>
          <w:tcPr>
            <w:tcW w:w="320" w:type="dxa"/>
            <w:vAlign w:val="bottom"/>
          </w:tcPr>
          <w:p>
            <w:pPr>
              <w:spacing w:after="0"/>
              <w:rPr>
                <w:sz w:val="24"/>
                <w:szCs w:val="24"/>
                <w:color w:val="auto"/>
              </w:rPr>
            </w:pPr>
          </w:p>
        </w:tc>
        <w:tc>
          <w:tcPr>
            <w:tcW w:w="2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Borders>
              <w:top w:val="single" w:sz="8" w:color="auto"/>
            </w:tcBorders>
          </w:tcPr>
          <w:p>
            <w:pPr>
              <w:spacing w:after="0"/>
              <w:rPr>
                <w:sz w:val="16"/>
                <w:szCs w:val="16"/>
                <w:color w:val="auto"/>
              </w:rPr>
            </w:pP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540" w:type="dxa"/>
            <w:vAlign w:val="bottom"/>
          </w:tcPr>
          <w:p>
            <w:pPr>
              <w:spacing w:after="0"/>
              <w:rPr>
                <w:sz w:val="14"/>
                <w:szCs w:val="14"/>
                <w:color w:val="auto"/>
              </w:rPr>
            </w:pPr>
          </w:p>
        </w:tc>
        <w:tc>
          <w:tcPr>
            <w:tcW w:w="14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March 31, 2024</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 $250 or more</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time accounts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interest expense on interest-bearing deposits</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21,948</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Subordinated Notes and Other Borrowings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(7.58% as of March 31, 2025)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$0.4 million has been amortized as of March 31, 2025. The Company reflects debt issuance costs as a direct deduction from the face of the note. The debt issuance costs are amortized into interest expense through the maturity period. At March 31, 2025 and December 31, 2024, the carrying value of the Company’s subordinated notes outstanding was $73.9 million.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Other borrowings</w:t>
      </w:r>
      <w:r>
        <w:rPr>
          <w:rFonts w:ascii="Times New Roman" w:cs="Times New Roman" w:eastAsia="Times New Roman" w:hAnsi="Times New Roman"/>
          <w:sz w:val="14"/>
          <w:szCs w:val="14"/>
          <w:color w:val="auto"/>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6.1.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6.1: Financing Availability with the FHLB</w:t>
            </w:r>
          </w:p>
        </w:tc>
        <w:tc>
          <w:tcPr>
            <w:tcW w:w="43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financing ability from the FHLB</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1,276,072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1,212,209</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outstanding borrowings</w:t>
            </w:r>
          </w:p>
        </w:tc>
        <w:tc>
          <w:tcPr>
            <w:tcW w:w="320" w:type="dxa"/>
            <w:vAlign w:val="bottom"/>
          </w:tcPr>
          <w:p>
            <w:pPr>
              <w:spacing w:after="0"/>
              <w:rPr>
                <w:sz w:val="15"/>
                <w:szCs w:val="15"/>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LCs pledged to secure State of California deposits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281,500</w:t>
            </w:r>
          </w:p>
        </w:tc>
      </w:tr>
      <w:tr>
        <w:trPr>
          <w:trHeight w:val="180"/>
        </w:trPr>
        <w:tc>
          <w:tcPr>
            <w:tcW w:w="20" w:type="dxa"/>
            <w:vAlign w:val="bottom"/>
            <w:tcBorders>
              <w:bottom w:val="single" w:sz="8" w:color="CCEEFF"/>
            </w:tcBorders>
          </w:tcPr>
          <w:p>
            <w:pPr>
              <w:spacing w:after="0"/>
              <w:rPr>
                <w:sz w:val="15"/>
                <w:szCs w:val="15"/>
                <w:color w:val="auto"/>
              </w:rPr>
            </w:pPr>
          </w:p>
        </w:tc>
        <w:tc>
          <w:tcPr>
            <w:tcW w:w="7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Less: LCs pledged to secure local agency deposits</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420,000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420,000</w:t>
            </w:r>
          </w:p>
        </w:tc>
      </w:tr>
      <w:tr>
        <w:trPr>
          <w:trHeight w:val="171"/>
        </w:trPr>
        <w:tc>
          <w:tcPr>
            <w:tcW w:w="20" w:type="dxa"/>
            <w:vAlign w:val="bottom"/>
            <w:shd w:val="clear" w:color="auto" w:fill="CCEEFF"/>
          </w:tcPr>
          <w:p>
            <w:pPr>
              <w:spacing w:after="0"/>
              <w:rPr>
                <w:sz w:val="14"/>
                <w:szCs w:val="14"/>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LCs issued</w:t>
            </w:r>
          </w:p>
        </w:tc>
        <w:tc>
          <w:tcPr>
            <w:tcW w:w="3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701,500</w:t>
            </w:r>
          </w:p>
        </w:tc>
      </w:tr>
      <w:tr>
        <w:trPr>
          <w:trHeight w:val="171"/>
        </w:trPr>
        <w:tc>
          <w:tcPr>
            <w:tcW w:w="20" w:type="dxa"/>
            <w:vAlign w:val="bottom"/>
          </w:tcPr>
          <w:p>
            <w:pPr>
              <w:spacing w:after="0"/>
              <w:rPr>
                <w:sz w:val="14"/>
                <w:szCs w:val="14"/>
                <w:color w:val="auto"/>
              </w:rPr>
            </w:pPr>
          </w:p>
        </w:tc>
        <w:tc>
          <w:tcPr>
            <w:tcW w:w="71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Available borrowing capacity with the FHLB</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544,572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510,709</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March 31, 2025 and December 31, 2024, the Company had the ability to borrow from the Federal Reserve Discount Window. The borrowings were available at an interest rate of 4.50% as of March 31, 2025. At March 31, 2025 and December 31, 2024, the borrowing capacity under this arrangement was $856.4 million and $862.1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amounts outstanding at March 31, 2025 or December 31, 2024. The borrowing line is secured by certain liens on the Company’s loans and certain available-for-sale securities.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March 31, 2025 and December 31, 2024, the Company had five unsecured federal funds lines of credit totaling $175.0 million with five of its correspondent banks. The borrowings were available at interest rates ranging from 4.50% to 5.70% as of March 31, 2025. There were no amounts outstanding at March 31, 2025 or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Shareholders’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EPS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7.1: EPS</w:t>
            </w:r>
          </w:p>
        </w:tc>
        <w:tc>
          <w:tcPr>
            <w:tcW w:w="320" w:type="dxa"/>
            <w:vAlign w:val="bottom"/>
          </w:tcPr>
          <w:p>
            <w:pPr>
              <w:spacing w:after="0"/>
              <w:rPr>
                <w:sz w:val="13"/>
                <w:szCs w:val="13"/>
                <w:color w:val="auto"/>
              </w:rPr>
            </w:pPr>
          </w:p>
        </w:tc>
        <w:tc>
          <w:tcPr>
            <w:tcW w:w="2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7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count and earnings per common share)</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March 31, 2025</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March 31, 2024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weighted average common shares outstanding</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21,209,881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17,190,867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Add: Dilutive effects of assumed vesting of restricted stock</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43,707</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82,127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1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dilutive weighted average common shares outstanding</w:t>
            </w:r>
          </w:p>
        </w:tc>
        <w:tc>
          <w:tcPr>
            <w:tcW w:w="32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21,253,588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17,272,994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1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71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 EPS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1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Diluted EPS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8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have any anti-dilutive shares at March 31, 2025 or March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declared on January 16, 2025, and the Company subsequently paid, a cash dividend of $0.20 per share, totaling $4.3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 Stock-Based Incentive Arrangement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w:t>
      </w:r>
    </w:p>
    <w:p>
      <w:pPr>
        <w:sectPr>
          <w:pgSz w:w="11900" w:h="16838" w:orient="portrait"/>
          <w:cols w:equalWidth="0" w:num="1">
            <w:col w:w="11280"/>
          </w:cols>
          <w:pgMar w:left="300" w:top="931" w:right="319" w:bottom="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27" w:name="page28"/>
    <w:bookmarkEnd w:id="27"/>
    <w:p>
      <w:pPr>
        <w:jc w:val="both"/>
        <w:spacing w:after="0" w:line="287" w:lineRule="auto"/>
        <w:rPr>
          <w:sz w:val="20"/>
          <w:szCs w:val="20"/>
          <w:color w:val="auto"/>
        </w:rPr>
      </w:pPr>
      <w:r>
        <w:rPr>
          <w:rFonts w:ascii="Times New Roman" w:cs="Times New Roman" w:eastAsia="Times New Roman" w:hAnsi="Times New Roman"/>
          <w:sz w:val="14"/>
          <w:szCs w:val="14"/>
          <w:color w:val="auto"/>
        </w:rPr>
        <w:t>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both the three months ended March 31, 2025 and the three months ended March 31, 2024, $0.3 million of non-cash stock compensation expense was recognized.</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March 31, 2025, there was approximately $2.1 million of unrecognized compensation expense related to the 111,786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and related expense are expected to be recognized over the weighted average term remaining on the unvested restricted shares of 2.82 years as of March 31, 2025. The impact of tax benefits for dividends paid on unvested restricted stock on the Company’s unaudited consolidated statements of income for the three months ended March 31, 2025 and March 31, 2024 was immaterial.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7.2 summarizes activity related to restricted shares for the periods indicated.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7.2: Unvested Restricted Share Activity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600" w:type="dxa"/>
            <w:vAlign w:val="bottom"/>
            <w:tcBorders>
              <w:top w:val="single" w:sz="8" w:color="auto"/>
            </w:tcBorders>
          </w:tcPr>
          <w:p>
            <w:pPr>
              <w:spacing w:after="0"/>
              <w:rPr>
                <w:sz w:val="19"/>
                <w:szCs w:val="19"/>
                <w:color w:val="auto"/>
              </w:rPr>
            </w:pPr>
          </w:p>
        </w:tc>
        <w:tc>
          <w:tcPr>
            <w:tcW w:w="33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For the three months ended March 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89"/>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89"/>
              <w:spacing w:after="0"/>
              <w:rPr>
                <w:sz w:val="20"/>
                <w:szCs w:val="20"/>
                <w:color w:val="auto"/>
              </w:rPr>
            </w:pPr>
            <w:r>
              <w:rPr>
                <w:rFonts w:ascii="Times New Roman" w:cs="Times New Roman" w:eastAsia="Times New Roman" w:hAnsi="Times New Roman"/>
                <w:sz w:val="14"/>
                <w:szCs w:val="14"/>
                <w:color w:val="auto"/>
                <w:w w:val="99"/>
              </w:rPr>
              <w:t>2024</w:t>
            </w:r>
          </w:p>
        </w:tc>
      </w:tr>
      <w:tr>
        <w:trPr>
          <w:trHeight w:val="42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Weighted Average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Weighted Average</w:t>
            </w:r>
          </w:p>
        </w:tc>
      </w:tr>
      <w:tr>
        <w:trPr>
          <w:trHeight w:val="191"/>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Grant Date Fair Value</w:t>
            </w: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Grant Date Fair Value</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the period balance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120,577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r>
      <w:tr>
        <w:trPr>
          <w:trHeight w:val="180"/>
        </w:trPr>
        <w:tc>
          <w:tcPr>
            <w:tcW w:w="20" w:type="dxa"/>
            <w:vAlign w:val="bottom"/>
          </w:tcPr>
          <w:p>
            <w:pPr>
              <w:spacing w:after="0"/>
              <w:rPr>
                <w:sz w:val="15"/>
                <w:szCs w:val="15"/>
                <w:color w:val="auto"/>
              </w:rPr>
            </w:pP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r>
      <w:tr>
        <w:trPr>
          <w:trHeight w:val="180"/>
        </w:trPr>
        <w:tc>
          <w:tcPr>
            <w:tcW w:w="20" w:type="dxa"/>
            <w:vAlign w:val="bottom"/>
            <w:shd w:val="clear" w:color="auto" w:fill="CCEEFF"/>
          </w:tcPr>
          <w:p>
            <w:pPr>
              <w:spacing w:after="0"/>
              <w:rPr>
                <w:sz w:val="15"/>
                <w:szCs w:val="15"/>
                <w:color w:val="auto"/>
              </w:rPr>
            </w:pPr>
          </w:p>
        </w:tc>
        <w:tc>
          <w:tcPr>
            <w:tcW w:w="5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Shares vested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80"/>
        </w:trPr>
        <w:tc>
          <w:tcPr>
            <w:tcW w:w="20" w:type="dxa"/>
            <w:vAlign w:val="bottom"/>
            <w:tcBorders>
              <w:bottom w:val="single" w:sz="8" w:color="CCEEFF"/>
            </w:tcBorders>
          </w:tcPr>
          <w:p>
            <w:pPr>
              <w:spacing w:after="0"/>
              <w:rPr>
                <w:sz w:val="15"/>
                <w:szCs w:val="15"/>
                <w:color w:val="auto"/>
              </w:rPr>
            </w:pPr>
          </w:p>
        </w:tc>
        <w:tc>
          <w:tcPr>
            <w:tcW w:w="59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Shares 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the period balance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111,786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 with Off-Balance Sheet Risk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amounts of unfunded loan commitments and standby letters of credit not reflected in the unaudited consolidated balance sheets at the dates indicated are presented in Table 8.1.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8.1: Unfunded Loan Commitments and Standby Letters of Credit</w:t>
            </w:r>
          </w:p>
        </w:tc>
        <w:tc>
          <w:tcPr>
            <w:tcW w:w="30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March 31, 2025</w:t>
            </w:r>
          </w:p>
        </w:tc>
        <w:tc>
          <w:tcPr>
            <w:tcW w:w="260" w:type="dxa"/>
            <w:vAlign w:val="bottom"/>
          </w:tcPr>
          <w:p>
            <w:pPr>
              <w:spacing w:after="0"/>
              <w:rPr>
                <w:sz w:val="16"/>
                <w:szCs w:val="16"/>
                <w:color w:val="auto"/>
              </w:rPr>
            </w:pPr>
          </w:p>
        </w:tc>
        <w:tc>
          <w:tcPr>
            <w:tcW w:w="17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215,712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230,063</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Undisbursed commercial real estate loans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98,508</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Undisbursed construction loans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74,671</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Agricultural lines of credit</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21,155</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Undisbursed residential real estate loans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Undisbursed agricultural real estate loans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r>
        <w:trPr>
          <w:trHeight w:val="171"/>
        </w:trPr>
        <w:tc>
          <w:tcPr>
            <w:tcW w:w="20" w:type="dxa"/>
            <w:vAlign w:val="bottom"/>
          </w:tcPr>
          <w:p>
            <w:pPr>
              <w:spacing w:after="0"/>
              <w:rPr>
                <w:sz w:val="14"/>
                <w:szCs w:val="14"/>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commitments and standby letters of credit</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389,533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433,595</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$0.5 million as of March 31, 2025 and $0.7 million as of December 31, 2024, which is recorded in “Interest payable and other liabilities” in the unaudited consolidated balance sheets.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Concentrations of credit risk</w:t>
      </w:r>
      <w:r>
        <w:rPr>
          <w:rFonts w:ascii="Times New Roman" w:cs="Times New Roman" w:eastAsia="Times New Roman" w:hAnsi="Times New Roman"/>
          <w:sz w:val="14"/>
          <w:szCs w:val="14"/>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management’s judgment, a concentration of loans exists in real estate related loans, which represented approximately 86.62% of the Company’s loan portfolio at March 31, 2025 and 86.41% of the Company’s loan portfolio at December 31, 2024.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Deposit concentrations</w:t>
      </w:r>
      <w:r>
        <w:rPr>
          <w:rFonts w:ascii="Times New Roman" w:cs="Times New Roman" w:eastAsia="Times New Roman" w:hAnsi="Times New Roman"/>
          <w:sz w:val="14"/>
          <w:szCs w:val="14"/>
          <w:color w:val="auto"/>
        </w:rPr>
        <w:t>: At March 31, 2025, the Company had 104 deposit relationships that exceeded $5.0 million each, totaling $2.3 billion, or approximately 60.87% of total deposits. The Company’s largest single deposit relationship at March 31, 2025 totaled $400.0 million, or approximately 10.71% of total deposits. Management maintains the Company’s liquidity position and lines of credit with correspondent banks to mitigate the risk of large withdrawals by this group of large depositors.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Contingencies</w:t>
      </w:r>
      <w:r>
        <w:rPr>
          <w:rFonts w:ascii="Times New Roman" w:cs="Times New Roman" w:eastAsia="Times New Roman" w:hAnsi="Times New Roman"/>
          <w:sz w:val="14"/>
          <w:szCs w:val="14"/>
          <w:color w:val="auto"/>
        </w:rPr>
        <w:t>: 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Correspondent banking agreements</w:t>
      </w:r>
      <w:r>
        <w:rPr>
          <w:rFonts w:ascii="Times New Roman" w:cs="Times New Roman" w:eastAsia="Times New Roman" w:hAnsi="Times New Roman"/>
          <w:sz w:val="14"/>
          <w:szCs w:val="14"/>
          <w:color w:val="auto"/>
        </w:rPr>
        <w:t>: The Company maintains funds on deposit with other FDIC-insured financial institutions under correspondent banking agreements. Uninsured deposits through these agreements totaled approximately $37.8 million and $29.2 million at March 31, 2025 and December 31, 2024, respectively.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Equity investments</w:t>
      </w:r>
      <w:r>
        <w:rPr>
          <w:rFonts w:ascii="Times New Roman" w:cs="Times New Roman" w:eastAsia="Times New Roman" w:hAnsi="Times New Roman"/>
          <w:sz w:val="14"/>
          <w:szCs w:val="14"/>
          <w:color w:val="auto"/>
        </w:rPr>
        <w:t>: The Company has committed to and is invested in a limited number of venture funds. As of March 31, 2025 and December 31, 2024, the estimated remaining commitment for these funds totaled $14.6 million and $10.8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 Matters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Note 9: Subsequent Events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April 17, 2025, the board of directors of the Company declared a cash dividend of $0.20 per common share, which the Company expects to pay on May 12, 2025 to shareholders of record as of May 5, 2025.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2024 Annual Report on Form 10-K, which was filed with the SEC on February 28, 2025. Average balances, including balances used in calculating certain financial ratios, are generally comprised of average daily balances.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06"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concentration of our business in California, and specifically within Northern California, including risks associated with any downturn in the real estate sector;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interest rates that affect the pricing of our loans and deposits, our net interest income, and our borrowers’ ability to repay loans;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economy, including an economic slowdown, recession, inflation, deflation, tariffs, housing prices, employment levels, rate of growth, and general business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market conditions and economic trends nationally, regionally, and particularly in Northern California and California;</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recent and future legislative and regulatory changes, including changes in banking, securities, and tax laws and regulations and their application by our regulators;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from a wide variety of local, regional, national, and other providers of financial and investment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our loan portfolios, and specifically with our commercial real estate loans;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liquidity and to maintain capital necessary to fund our growth strategy and operations and to satisfy minimum regulatory capital levels;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strategic focus on lending to small to medium-sized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the assumptions and estimates we make in establishing reserves for potential credit losses and the value of loan collateral and securities;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nonperforming assets and the costs associated with resolving problem loans, if 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1" w:name="page32"/>
    <w:bookmarkEnd w:id="31"/>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various governmental and regulatory requirements applicable to financial institutions, including supervisory actions by federal and state banking agencies;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monetary and fiscal policies, including the policies of the Federal Reserve;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unauthorized access, cybersecurity breaches, cyber-crime, and other threats and disruptions to data security;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maintain, and improve effective risk management framework, disclosure controls and procedures, and internal controls over financial reporting;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adopt and successfully integrate new initiatives or technologies into our business in a strategic manner;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executive officers and key employees and their customer and community relationships;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future U.S. federal government shutdown and uncertainty regarding the U.S. federal government’s debt limit and credit rating;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or impact of climate change or natural or man-made disasters or calamities, such as wildfires, droughts, mudslides, floods, and earthquakes, and particularly in California, and specifically Northern California;</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impact of local, regional, and global business, economic, and political conditions and geopolitical events, such as pandemics, civil unrest, wars, and acts of terrorism;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that are discussed in the section entitled “Management’s Discussion and Analysis of Financial Condition and Results of Operations.”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2024 Annual Report on Form 10-K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eight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March 31, 2025, we had total assets of $4.2 billion, total loans held for investment of $3.6 billion, and total deposits of $3.7 billion.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2024 Annual Report on Form 10-K and the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Our most significant accounting policies and our critical accounting estimates are described in greater detail in Note 1, Basis of Presentation, in our audited consolidated financial statements and Item</w:t>
      </w:r>
    </w:p>
    <w:p>
      <w:pPr>
        <w:spacing w:after="0" w:line="23" w:lineRule="exact"/>
        <w:rPr>
          <w:sz w:val="20"/>
          <w:szCs w:val="20"/>
          <w:color w:val="auto"/>
        </w:rPr>
      </w:pPr>
    </w:p>
    <w:p>
      <w:pPr>
        <w:jc w:val="both"/>
        <w:ind w:firstLine="5"/>
        <w:spacing w:after="0" w:line="255" w:lineRule="auto"/>
        <w:tabs>
          <w:tab w:leader="none" w:pos="14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Discussion and Analysis of Financial Condition and Results of Operations - Critical Accounting Estimates included in our 2024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With the exception of the changes to the ACL described below, there have been no significant changes concerning our critical accounting estimates as described in our 2024 Annual Report on Form 10-K.</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ACL represents the estimated probable credit losses in our loan and investment portfolios and is estimated as of March 31, 2025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and other environmental factors to reflect current conditions. The most significant components of the qualitative and environmental factors used to estimate the allowance for credit losses are adjustments relating to prevailing economic conditions, concentrations within the loan portfolio, and external factors. The prevailing economic conditions factor is estimated based on a range of potential economic conditions and is applied at both the portfolio and individual concentration level based on various factors. The concentrations within the loan portfolio factor is estimated based on concentrations at the loan pool level. The external factor is estimated based on current external factors, such as environmental factors, which could impact the loan portfolio.</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twelve months ended December 31, 2024, we refined our methodology of measuring the ACL on three pools of loans: Multifamily, C&amp;I SBA, and CRE Non-Owner Occupied loans. Within the Multifamily pool, Manufactured Home Community (“MHC”) loans were segregated from traditional Multifamily as we identified a data source to provide sufficient historical peer loss data specific to MHC loans. This segregation now adjusts for differences in the risk characteristics and performance of MHCs compared to traditional Multifamily properties. Losses are estimated using a discounted cash flow analysis using individual probability of default and loss given default rates on a loan-by-loan basis. Applying this adjusted loss rate led to a decrease in the ACL for the MHC pool as of June 30, 2024 of approximately $5.8 million. During routine monitoring of charge-off activity within the C&amp;I SBA pool, we identified an increased level of charge-offs during the first six months of 2024, reflecting a change in the credit quality of the pool. In response to this, we increased the expected loss rates to be more in line with net charge-off rates during the first six months of 2024, as this time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4"/>
          <w:szCs w:val="14"/>
          <w:color w:val="auto"/>
        </w:rPr>
        <w:t>period reflects what is expected based on our current economic outlook for loans in the C&amp;I SBA pool. This adjustment reflects our estimate for future loss rates and increased the required reserves related to the C&amp;I SBA pool by approximately $4.6 million as of June 30, 2024. Within the CRE Non-Owner Occupied portfolio, RV Park loans were segregated from traditional CRE Non-Owner Occupied as we identified a data source to provide sufficient historical peer loss data specific to RV Park loans. This segregation now adjusts for differences in the risk characteristics and performance of RV Park loans compared to traditional CRE Non-Owner Occupied properties. We used calculations of individual probability of default and loss given default on a loan-by-loan basis to derive an estimated loss rate. Applying this adjusted loss rate led to a decrease in the ACL for the RV Park pool of approximately $3.3 million as of September 30, 2024.</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for the three months ended March 31, 2025 totaled $13.1 million, as compared to net income of $10.6 million for the three months ended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highlights of our operating and financial performance, and financial condition for the dates and periods presented:</w:t>
      </w:r>
    </w:p>
    <w:p>
      <w:pPr>
        <w:spacing w:after="0" w:line="177" w:lineRule="exact"/>
        <w:rPr>
          <w:sz w:val="20"/>
          <w:szCs w:val="20"/>
          <w:color w:val="auto"/>
        </w:rPr>
      </w:pPr>
    </w:p>
    <w:p>
      <w:pPr>
        <w:jc w:val="both"/>
        <w:ind w:left="520" w:hanging="260"/>
        <w:spacing w:after="0" w:line="262"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Deposits. </w:t>
      </w:r>
      <w:r>
        <w:rPr>
          <w:rFonts w:ascii="Times New Roman" w:cs="Times New Roman" w:eastAsia="Times New Roman" w:hAnsi="Times New Roman"/>
          <w:sz w:val="14"/>
          <w:szCs w:val="14"/>
          <w:color w:val="auto"/>
        </w:rPr>
        <w:t>Total deposits increased by $178.4 million, or 5.01%, from $3.6 billion at December 31, 2024 to $3.7 billion at March 31, 2025. Non-wholesale deposits increased by $48.4 million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the first three months of 2025 to $3.0 billion. Wholesale deposits, which the Company defines as brokered deposits and California Time Deposit Program deposits, increased by $130.0 million in the first three months of 2025 to $689.9 million. Non-interest-bearing deposits increased by $11.0 million in the first three months of 2025 to $933.7 million, and represented 24.99% of total deposits at March 31, 2025, as compared to 25.93% of total deposits at December 31, 2024. Our loan to deposit ratio was 97.01% at March 31, 2025, as compared to 99.38% at December 31, 2024.</w:t>
      </w:r>
    </w:p>
    <w:p>
      <w:pPr>
        <w:spacing w:after="0" w:line="1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Assets. </w:t>
      </w:r>
      <w:r>
        <w:rPr>
          <w:rFonts w:ascii="Times New Roman" w:cs="Times New Roman" w:eastAsia="Times New Roman" w:hAnsi="Times New Roman"/>
          <w:sz w:val="14"/>
          <w:szCs w:val="14"/>
          <w:color w:val="auto"/>
        </w:rPr>
        <w:t>Total assets were $4.2 billion at March 31, 2025, representing a $191.8 million, or 4.73%, increase compared to $4.1 billion at December 31, 2024.</w:t>
      </w:r>
    </w:p>
    <w:p>
      <w:pPr>
        <w:spacing w:after="0" w:line="17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Total loans held for investment were $3.6 billion at March 31, 2025, as compared to $3.5 billion at December 31, 2024, an increase of $89.1 million, or 2.52%. The increase was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result of $259.3 million in loan originations and advances, partially offset by $65.6 million and $104.6 million in loan payoffs and paydowns, respectively. The $89.1 million increase in total loans held for investment included $19.8 million in purchases of loans within the consumer concentration of the loan portfolio.</w:t>
      </w:r>
    </w:p>
    <w:p>
      <w:pPr>
        <w:spacing w:after="0" w:line="133"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Credit Quality. </w:t>
      </w:r>
      <w:r>
        <w:rPr>
          <w:rFonts w:ascii="Times New Roman" w:cs="Times New Roman" w:eastAsia="Times New Roman" w:hAnsi="Times New Roman"/>
          <w:sz w:val="14"/>
          <w:szCs w:val="14"/>
          <w:color w:val="auto"/>
        </w:rPr>
        <w:t>Credit quality remains strong, with non-accrual loans representing $1.8 million, or 0.05% of total loans held for investment, at both March 31, 2025 and December 31, 2024.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ratio of the allowance for credit losses to total loans held for investment was 1.08% at March 31, 2025 and 1.07% at December 31, 2024.</w:t>
      </w:r>
    </w:p>
    <w:p>
      <w:pPr>
        <w:spacing w:after="0" w:line="120"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Net Interest Margin. </w:t>
      </w:r>
      <w:r>
        <w:rPr>
          <w:rFonts w:ascii="Times New Roman" w:cs="Times New Roman" w:eastAsia="Times New Roman" w:hAnsi="Times New Roman"/>
          <w:sz w:val="14"/>
          <w:szCs w:val="14"/>
          <w:color w:val="auto"/>
        </w:rPr>
        <w:t>Net interest margin was 3.45% for the three months ended March 31, 2025, and 3.14% for the three months ended March 31, 2024. The increase in net interest margin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three months ended March 31, 2025 compared to the three months ended March 31, 2024 was primarily due to a higher balance of loans with higher yields, partially offset by an increase in interest expense due to larger average deposit balances.</w:t>
      </w:r>
    </w:p>
    <w:p>
      <w:pPr>
        <w:spacing w:after="0" w:line="133"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Efficiency Ratio. </w:t>
      </w:r>
      <w:r>
        <w:rPr>
          <w:rFonts w:ascii="Times New Roman" w:cs="Times New Roman" w:eastAsia="Times New Roman" w:hAnsi="Times New Roman"/>
          <w:sz w:val="14"/>
          <w:szCs w:val="14"/>
          <w:color w:val="auto"/>
        </w:rPr>
        <w:t>Efficiency ratio was 42.58% for the three months ended March 31, 2025, down from 44.50% for the corresponding period of 2024, mainly due to a $9.5 million, or 20.08%,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in interest and fee income during the same period.</w:t>
      </w:r>
    </w:p>
    <w:p>
      <w:pPr>
        <w:spacing w:after="0" w:line="120"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Capital Ratios</w:t>
      </w:r>
      <w:r>
        <w:rPr>
          <w:rFonts w:ascii="Times New Roman" w:cs="Times New Roman" w:eastAsia="Times New Roman" w:hAnsi="Times New Roman"/>
          <w:sz w:val="14"/>
          <w:szCs w:val="14"/>
          <w:color w:val="auto"/>
        </w:rPr>
        <w:t>. All capital ratios were above well-capitalized regulatory thresholds as of March 31, 2025. The total risk-based capital ratio for the Company was 13.97% at March 31, 2025,</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compared to 13.99% at December 31, 2024. The Tier 1 leverage ratio was 10.17% at March 31, 2025, as compared to 10.05% at December 31, 2024. For additional information about the regulatory capital requirements applicable to the Company and the Bank, see the section entitled “—Financial Condition Summary—Capital Adequacy” below.</w:t>
      </w:r>
    </w:p>
    <w:p>
      <w:pPr>
        <w:spacing w:after="0" w:line="13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Dividends. </w:t>
      </w:r>
      <w:r>
        <w:rPr>
          <w:rFonts w:ascii="Times New Roman" w:cs="Times New Roman" w:eastAsia="Times New Roman" w:hAnsi="Times New Roman"/>
          <w:sz w:val="14"/>
          <w:szCs w:val="14"/>
          <w:color w:val="auto"/>
        </w:rPr>
        <w:t>The board of directors declared a cash dividend of $0.20 per share on January 16, 2025.</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auto"/>
        </w:rPr>
        <w:t>Highlights of our financial results are presented in the following tables: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1: Highlights of Financial Results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Selected financial condition data:</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loans held for investment</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deposits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subordinated notes, net</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 quality ratios: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Allowance for credit losses to nonperforming loans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Capital ratios: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capital (to risk-weighted assets)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Tier 1 capital (to risk-weighted assets)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Tier 1 leverage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shareholders’ equity to total assets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Tangible shareholders’ equity to tangible assets</w:t>
      </w:r>
      <w:r>
        <w:rPr>
          <w:rFonts w:ascii="Times New Roman" w:cs="Times New Roman" w:eastAsia="Times New Roman" w:hAnsi="Times New Roman"/>
          <w:sz w:val="18"/>
          <w:szCs w:val="18"/>
          <w:color w:val="auto"/>
          <w:vertAlign w:val="superscript"/>
        </w:rPr>
        <w:t>1</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2: Highlights of Financial Results (continued)</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data:</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interest income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Non-interest income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Non-interest expense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 common share data: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Earnings per common share: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Basic</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Diluted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Book value per share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Tangible book value per share</w:t>
      </w:r>
      <w:r>
        <w:rPr>
          <w:rFonts w:ascii="Times New Roman" w:cs="Times New Roman" w:eastAsia="Times New Roman" w:hAnsi="Times New Roman"/>
          <w:sz w:val="18"/>
          <w:szCs w:val="18"/>
          <w:color w:val="auto"/>
          <w:vertAlign w:val="superscript"/>
        </w:rPr>
        <w:t>2</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Performance and other financial ratios: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ROAA</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ROAE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interest margin</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Cost of funds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Efficiency ratio</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dividend payout ratio on common stock</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6"/>
                <w:szCs w:val="16"/>
                <w:color w:val="auto"/>
              </w:rPr>
            </w:pPr>
          </w:p>
        </w:tc>
        <w:tc>
          <w:tcPr>
            <w:tcW w:w="18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47"/>
        </w:trPr>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4,245,057</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4,053,278</w:t>
            </w:r>
          </w:p>
        </w:tc>
      </w:tr>
      <w:tr>
        <w:trPr>
          <w:trHeight w:val="180"/>
        </w:trPr>
        <w:tc>
          <w:tcPr>
            <w:tcW w:w="34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3,621,819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3,532,686</w:t>
            </w:r>
          </w:p>
        </w:tc>
      </w:tr>
      <w:tr>
        <w:trPr>
          <w:trHeight w:val="180"/>
        </w:trPr>
        <w:tc>
          <w:tcPr>
            <w:tcW w:w="34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3,736,354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3,557,994</w:t>
            </w:r>
          </w:p>
        </w:tc>
      </w:tr>
      <w:tr>
        <w:trPr>
          <w:trHeight w:val="180"/>
        </w:trPr>
        <w:tc>
          <w:tcPr>
            <w:tcW w:w="34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73,932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73,895</w:t>
            </w:r>
          </w:p>
        </w:tc>
      </w:tr>
      <w:tr>
        <w:trPr>
          <w:trHeight w:val="184"/>
        </w:trPr>
        <w:tc>
          <w:tcPr>
            <w:tcW w:w="340" w:type="dxa"/>
            <w:vAlign w:val="bottom"/>
          </w:tcPr>
          <w:p>
            <w:pPr>
              <w:spacing w:after="0"/>
              <w:rPr>
                <w:sz w:val="16"/>
                <w:szCs w:val="16"/>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406,451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396,624</w:t>
            </w:r>
          </w:p>
        </w:tc>
      </w:tr>
      <w:tr>
        <w:trPr>
          <w:trHeight w:val="357"/>
        </w:trPr>
        <w:tc>
          <w:tcPr>
            <w:tcW w:w="3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2,222.32 %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2,101.78 %</w:t>
            </w:r>
          </w:p>
        </w:tc>
      </w:tr>
      <w:tr>
        <w:trPr>
          <w:trHeight w:val="184"/>
        </w:trPr>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357"/>
        </w:trPr>
        <w:tc>
          <w:tcPr>
            <w:tcW w:w="3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9.79 %</w:t>
            </w:r>
          </w:p>
        </w:tc>
      </w:tr>
      <w:tr>
        <w:trPr>
          <w:trHeight w:val="184"/>
        </w:trPr>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-1717040</wp:posOffset>
            </wp:positionV>
            <wp:extent cx="716153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-1487805</wp:posOffset>
            </wp:positionV>
            <wp:extent cx="716153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-1259205</wp:posOffset>
            </wp:positionV>
            <wp:extent cx="7161530" cy="114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-1029970</wp:posOffset>
            </wp:positionV>
            <wp:extent cx="7161530" cy="114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-800735</wp:posOffset>
            </wp:positionV>
            <wp:extent cx="7161530" cy="114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-571500</wp:posOffset>
            </wp:positionV>
            <wp:extent cx="7161530" cy="114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-342900</wp:posOffset>
            </wp:positionV>
            <wp:extent cx="716153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-113665</wp:posOffset>
            </wp:positionV>
            <wp:extent cx="7161530" cy="114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-1952625</wp:posOffset>
            </wp:positionV>
            <wp:extent cx="7161530" cy="121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347"/>
        </w:trPr>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33,977</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26,744</w:t>
            </w:r>
          </w:p>
        </w:tc>
      </w:tr>
      <w:tr>
        <w:trPr>
          <w:trHeight w:val="180"/>
        </w:trPr>
        <w:tc>
          <w:tcPr>
            <w:tcW w:w="34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900</w:t>
            </w:r>
          </w:p>
        </w:tc>
      </w:tr>
      <w:tr>
        <w:trPr>
          <w:trHeight w:val="180"/>
        </w:trPr>
        <w:tc>
          <w:tcPr>
            <w:tcW w:w="34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1,833</w:t>
            </w:r>
          </w:p>
        </w:tc>
      </w:tr>
      <w:tr>
        <w:trPr>
          <w:trHeight w:val="180"/>
        </w:trPr>
        <w:tc>
          <w:tcPr>
            <w:tcW w:w="340" w:type="dxa"/>
            <w:vAlign w:val="bottom"/>
          </w:tcPr>
          <w:p>
            <w:pPr>
              <w:spacing w:after="0"/>
              <w:rPr>
                <w:sz w:val="15"/>
                <w:szCs w:val="15"/>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15,045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12,716</w:t>
            </w:r>
          </w:p>
        </w:tc>
      </w:tr>
      <w:tr>
        <w:trPr>
          <w:trHeight w:val="184"/>
        </w:trPr>
        <w:tc>
          <w:tcPr>
            <w:tcW w:w="340" w:type="dxa"/>
            <w:vAlign w:val="bottom"/>
          </w:tcPr>
          <w:p>
            <w:pPr>
              <w:spacing w:after="0"/>
              <w:rPr>
                <w:sz w:val="16"/>
                <w:szCs w:val="16"/>
                <w:color w:val="auto"/>
              </w:rPr>
            </w:pP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13,111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10,631</w:t>
            </w:r>
          </w:p>
        </w:tc>
      </w:tr>
      <w:tr>
        <w:trPr>
          <w:trHeight w:val="739"/>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24"/>
                <w:szCs w:val="2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0.62</w:t>
            </w:r>
          </w:p>
        </w:tc>
      </w:tr>
      <w:tr>
        <w:trPr>
          <w:trHeight w:val="180"/>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0.62</w:t>
            </w:r>
          </w:p>
        </w:tc>
      </w:tr>
      <w:tr>
        <w:trPr>
          <w:trHeight w:val="180"/>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16.86</w:t>
            </w:r>
          </w:p>
        </w:tc>
      </w:tr>
      <w:tr>
        <w:trPr>
          <w:trHeight w:val="184"/>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16.86</w:t>
            </w:r>
          </w:p>
        </w:tc>
      </w:tr>
      <w:tr>
        <w:trPr>
          <w:trHeight w:val="559"/>
        </w:trPr>
        <w:tc>
          <w:tcPr>
            <w:tcW w:w="3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2.62 %</w:t>
            </w:r>
          </w:p>
        </w:tc>
      </w:tr>
      <w:tr>
        <w:trPr>
          <w:trHeight w:val="180"/>
        </w:trPr>
        <w:tc>
          <w:tcPr>
            <w:tcW w:w="3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44.50 %</w:t>
            </w:r>
          </w:p>
        </w:tc>
      </w:tr>
      <w:tr>
        <w:trPr>
          <w:trHeight w:val="184"/>
        </w:trPr>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-2202180</wp:posOffset>
            </wp:positionV>
            <wp:extent cx="716153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-1972945</wp:posOffset>
            </wp:positionV>
            <wp:extent cx="7161530" cy="114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-1744345</wp:posOffset>
            </wp:positionV>
            <wp:extent cx="7161530" cy="128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-1501775</wp:posOffset>
            </wp:positionV>
            <wp:extent cx="7161530"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-1272540</wp:posOffset>
            </wp:positionV>
            <wp:extent cx="7161530"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-1043305</wp:posOffset>
            </wp:positionV>
            <wp:extent cx="7161530" cy="114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-800735</wp:posOffset>
            </wp:positionV>
            <wp:extent cx="7161530" cy="11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-571500</wp:posOffset>
            </wp:positionV>
            <wp:extent cx="7161530" cy="114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-342900</wp:posOffset>
            </wp:positionV>
            <wp:extent cx="7161530" cy="11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-113665</wp:posOffset>
            </wp:positionV>
            <wp:extent cx="7161530" cy="11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-2437765</wp:posOffset>
            </wp:positionV>
            <wp:extent cx="7161530" cy="12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260" w:space="720"/>
            <w:col w:w="4300"/>
          </w:cols>
          <w:pgMar w:left="300" w:top="931" w:right="31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36" w:name="page37"/>
    <w:bookmarkEnd w:id="36"/>
    <w:p>
      <w:pPr>
        <w:jc w:val="both"/>
        <w:ind w:left="255" w:hanging="255"/>
        <w:spacing w:after="0" w:line="244" w:lineRule="auto"/>
        <w:tabs>
          <w:tab w:leader="none" w:pos="248"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53" w:lineRule="exact"/>
        <w:rPr>
          <w:sz w:val="20"/>
          <w:szCs w:val="20"/>
          <w:color w:val="auto"/>
        </w:rPr>
      </w:pPr>
    </w:p>
    <w:p>
      <w:pPr>
        <w:jc w:val="both"/>
        <w:ind w:left="255" w:hanging="255"/>
        <w:spacing w:after="0" w:line="241" w:lineRule="auto"/>
        <w:tabs>
          <w:tab w:leader="none" w:pos="24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56" w:lineRule="exact"/>
        <w:rPr>
          <w:sz w:val="20"/>
          <w:szCs w:val="20"/>
          <w:color w:val="auto"/>
        </w:rPr>
      </w:pPr>
    </w:p>
    <w:p>
      <w:pPr>
        <w:ind w:left="5575" w:right="3300" w:hanging="5575"/>
        <w:spacing w:after="0" w:line="835" w:lineRule="auto"/>
        <w:tabs>
          <w:tab w:leader="none" w:pos="254"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dividend payout ratio on common stock is calculated as dividends on common shares divided by basic earnings per common share.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-290195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93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of our results of operations compares the three months ended March 31, 2025 to the three months ended March 31, 2024. The results of operations for the three months ended March 31, 2025 are not necessarily indicative of the results of operations that may be expected for the year ending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interest income increased by $7.2 million, or 27.05%, for the three months ended March 31, 2025, compared to the three months ended March 31, 2024, and our net interest margin increased 31 basis points during the same period. The increase was primarily due to an increase in interest income driven by a higher balance of loans with higher yields, partially offset by an increase in interest expense due to larger average deposit balances. Additional detail relating to net interest margin in each period is provided below.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8" w:name="page39"/>
    <w:bookmarkEnd w:id="38"/>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Average balance sheet, interest, and yield/rate analysis. </w:t>
      </w:r>
      <w:r>
        <w:rPr>
          <w:rFonts w:ascii="Times New Roman" w:cs="Times New Roman" w:eastAsia="Times New Roman" w:hAnsi="Times New Roman"/>
          <w:sz w:val="14"/>
          <w:szCs w:val="14"/>
          <w:color w:val="auto"/>
        </w:rPr>
        <w:t>Table 3 presents average balance sheet information, interest income, interest expense, and the corresponding average yield earned or rate 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each period reported. The average balances are daily averages and include both performing and nonperforming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 Average Balances, Interest, and Yield/Rate</w:t>
            </w:r>
          </w:p>
        </w:tc>
        <w:tc>
          <w:tcPr>
            <w:tcW w:w="120" w:type="dxa"/>
            <w:vAlign w:val="bottom"/>
          </w:tcPr>
          <w:p>
            <w:pPr>
              <w:spacing w:after="0"/>
              <w:rPr>
                <w:sz w:val="13"/>
                <w:szCs w:val="13"/>
                <w:color w:val="auto"/>
              </w:rPr>
            </w:pPr>
          </w:p>
        </w:tc>
        <w:tc>
          <w:tcPr>
            <w:tcW w:w="2560" w:type="dxa"/>
            <w:vAlign w:val="bottom"/>
            <w:gridSpan w:val="6"/>
            <w:vMerge w:val="restart"/>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vMerge w:val="restart"/>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20" w:type="dxa"/>
            <w:vAlign w:val="bottom"/>
            <w:tcBorders>
              <w:top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vMerge w:val="continue"/>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6"/>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1"/>
                <w:szCs w:val="11"/>
                <w:color w:val="auto"/>
              </w:rPr>
            </w:pPr>
          </w:p>
        </w:tc>
        <w:tc>
          <w:tcPr>
            <w:tcW w:w="11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tcPr>
          <w:p>
            <w:pPr>
              <w:jc w:val="right"/>
              <w:ind w:right="249"/>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20" w:type="dxa"/>
            <w:vAlign w:val="bottom"/>
          </w:tcPr>
          <w:p>
            <w:pPr>
              <w:jc w:val="right"/>
              <w:ind w:right="249"/>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9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3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Interest-earning deposits in banks</w:t>
            </w:r>
            <w:r>
              <w:rPr>
                <w:rFonts w:ascii="Times New Roman" w:cs="Times New Roman" w:eastAsia="Times New Roman" w:hAnsi="Times New Roman"/>
                <w:sz w:val="18"/>
                <w:szCs w:val="18"/>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328,571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233,002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1,2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109,177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980" w:type="dxa"/>
            <w:vAlign w:val="bottom"/>
            <w:tcBorders>
              <w:bottom w:val="single" w:sz="8" w:color="CCEEFF"/>
            </w:tcBorders>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Loans held for investment and sale</w:t>
            </w:r>
            <w:r>
              <w:rPr>
                <w:rFonts w:ascii="Times New Roman" w:cs="Times New Roman" w:eastAsia="Times New Roman" w:hAnsi="Times New Roman"/>
                <w:sz w:val="18"/>
                <w:szCs w:val="18"/>
                <w:color w:val="auto"/>
                <w:vertAlign w:val="superscript"/>
              </w:rPr>
              <w:t>1,3</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3,567,992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52,931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3,082,290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Total interest-earning assets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3,997,037</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57,087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3,424,469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gridSpan w:val="3"/>
          </w:tcPr>
          <w:p>
            <w:pPr>
              <w:ind w:left="80"/>
              <w:spacing w:after="0" w:line="171" w:lineRule="exact"/>
              <w:rPr>
                <w:sz w:val="20"/>
                <w:szCs w:val="20"/>
                <w:color w:val="auto"/>
              </w:rPr>
            </w:pPr>
            <w:r>
              <w:rPr>
                <w:rFonts w:ascii="Times New Roman" w:cs="Times New Roman" w:eastAsia="Times New Roman" w:hAnsi="Times New Roman"/>
                <w:sz w:val="14"/>
                <w:szCs w:val="14"/>
                <w:color w:val="auto"/>
              </w:rPr>
              <w:t>Interest receivable and other assets, net</w:t>
            </w:r>
            <w:r>
              <w:rPr>
                <w:rFonts w:ascii="Times New Roman" w:cs="Times New Roman" w:eastAsia="Times New Roman" w:hAnsi="Times New Roman"/>
                <w:sz w:val="18"/>
                <w:szCs w:val="18"/>
                <w:color w:val="auto"/>
                <w:vertAlign w:val="superscript"/>
              </w:rPr>
              <w:t>4</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93,543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93,983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4,090,580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3,518,452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Interest-bearing transaction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303,822</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300,325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Savings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124,561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Money market accounts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1,540,879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1,410,264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4"/>
                <w:szCs w:val="14"/>
                <w:color w:val="auto"/>
              </w:rPr>
              <w:t>Time accounts</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4"/>
                <w:szCs w:val="14"/>
                <w:color w:val="auto"/>
              </w:rPr>
              <w:t>Subordinated notes and other borrowings</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73,908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6.37 %</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2,748,736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2,347,511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910,954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Interest payable and other liabilities</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4,090,580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3,518,452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980" w:type="dxa"/>
            <w:vAlign w:val="bottom"/>
            <w:tcBorders>
              <w:top w:val="single" w:sz="8" w:color="CCEEFF"/>
              <w:bottom w:val="single" w:sz="8" w:color="CCEEFF"/>
            </w:tcBorders>
            <w:gridSpan w:val="3"/>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Net interest spread</w:t>
            </w:r>
            <w:r>
              <w:rPr>
                <w:rFonts w:ascii="Times New Roman" w:cs="Times New Roman" w:eastAsia="Times New Roman" w:hAnsi="Times New Roman"/>
                <w:sz w:val="15"/>
                <w:szCs w:val="15"/>
                <w:color w:val="auto"/>
                <w:vertAlign w:val="superscript"/>
              </w:rPr>
              <w:t>5</w:t>
            </w: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auto"/>
            </w:tcBorders>
            <w:shd w:val="clear" w:color="auto" w:fill="CCEEFF"/>
          </w:tcPr>
          <w:p>
            <w:pPr>
              <w:spacing w:after="0"/>
              <w:rPr>
                <w:sz w:val="16"/>
                <w:szCs w:val="16"/>
                <w:color w:val="auto"/>
              </w:rPr>
            </w:pPr>
          </w:p>
        </w:tc>
        <w:tc>
          <w:tcPr>
            <w:tcW w:w="92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2.38 %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auto"/>
            </w:tcBorders>
            <w:shd w:val="clear" w:color="auto" w:fill="CCEEFF"/>
          </w:tcPr>
          <w:p>
            <w:pPr>
              <w:spacing w:after="0"/>
              <w:rPr>
                <w:sz w:val="16"/>
                <w:szCs w:val="16"/>
                <w:color w:val="auto"/>
              </w:rPr>
            </w:pPr>
          </w:p>
        </w:tc>
        <w:tc>
          <w:tcPr>
            <w:tcW w:w="92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2.02 %</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tcPr>
          <w:p>
            <w:pPr>
              <w:spacing w:after="0"/>
              <w:rPr>
                <w:sz w:val="12"/>
                <w:szCs w:val="12"/>
                <w:color w:val="auto"/>
              </w:rPr>
            </w:pPr>
          </w:p>
        </w:tc>
        <w:tc>
          <w:tcPr>
            <w:tcW w:w="3980" w:type="dxa"/>
            <w:vAlign w:val="bottom"/>
            <w:tcBorders>
              <w:top w:val="single" w:sz="8" w:color="CCEEFF"/>
            </w:tcBorders>
            <w:gridSpan w:val="3"/>
          </w:tcPr>
          <w:p>
            <w:pPr>
              <w:spacing w:after="0" w:line="143" w:lineRule="exact"/>
              <w:rPr>
                <w:sz w:val="20"/>
                <w:szCs w:val="20"/>
                <w:color w:val="auto"/>
              </w:rPr>
            </w:pPr>
            <w:r>
              <w:rPr>
                <w:rFonts w:ascii="Times New Roman" w:cs="Times New Roman" w:eastAsia="Times New Roman" w:hAnsi="Times New Roman"/>
                <w:sz w:val="13"/>
                <w:szCs w:val="13"/>
                <w:color w:val="auto"/>
              </w:rPr>
              <w:t>Net interest income/margin</w:t>
            </w:r>
            <w:r>
              <w:rPr>
                <w:rFonts w:ascii="Times New Roman" w:cs="Times New Roman" w:eastAsia="Times New Roman" w:hAnsi="Times New Roman"/>
                <w:sz w:val="16"/>
                <w:szCs w:val="16"/>
                <w:color w:val="auto"/>
                <w:vertAlign w:val="superscript"/>
              </w:rPr>
              <w:t>6</w:t>
            </w:r>
          </w:p>
        </w:tc>
        <w:tc>
          <w:tcPr>
            <w:tcW w:w="12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33,977</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3.45 %</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26,744</w:t>
            </w: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income/expense is divided by the actual number of days in the period multiplied by the actual number of days in the year to correspond to stated interest rate terms, where applicable.</w:t>
      </w:r>
    </w:p>
    <w:p>
      <w:pPr>
        <w:spacing w:after="0" w:line="133"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Yields on available-for-sale securities are calculated based on fair value. Investment security interest is earned monthly on a 30/360 day basis. Yields are not calculated on a tax-equivalent basis.</w:t>
      </w:r>
    </w:p>
    <w:p>
      <w:pPr>
        <w:spacing w:after="0" w:line="156" w:lineRule="exact"/>
        <w:rPr>
          <w:sz w:val="20"/>
          <w:szCs w:val="20"/>
          <w:color w:val="auto"/>
        </w:rPr>
      </w:pPr>
    </w:p>
    <w:p>
      <w:pPr>
        <w:ind w:left="260" w:hanging="255"/>
        <w:spacing w:after="0" w:line="230" w:lineRule="auto"/>
        <w:tabs>
          <w:tab w:leader="none" w:pos="25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pacing w:after="0" w:line="134"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Allowance for credit losses is included in interest receivable and other assets, net.</w:t>
      </w:r>
    </w:p>
    <w:p>
      <w:pPr>
        <w:spacing w:after="0" w:line="133"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spread represents the average yield earned on interest-earning assets minus the average rate paid on interest-bearing liabilities.</w:t>
      </w:r>
    </w:p>
    <w:p>
      <w:pPr>
        <w:spacing w:after="0" w:line="156" w:lineRule="exact"/>
        <w:rPr>
          <w:sz w:val="20"/>
          <w:szCs w:val="20"/>
          <w:color w:val="auto"/>
        </w:rPr>
      </w:pPr>
    </w:p>
    <w:p>
      <w:pPr>
        <w:ind w:left="260" w:hanging="255"/>
        <w:spacing w:after="0" w:line="230" w:lineRule="auto"/>
        <w:tabs>
          <w:tab w:leader="none" w:pos="253"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9" w:name="page40"/>
    <w:bookmarkEnd w:id="39"/>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Analysis of changes in interest income and expenses. </w:t>
      </w:r>
      <w:r>
        <w:rPr>
          <w:rFonts w:ascii="Times New Roman" w:cs="Times New Roman" w:eastAsia="Times New Roman" w:hAnsi="Times New Roman"/>
          <w:sz w:val="14"/>
          <w:szCs w:val="14"/>
          <w:color w:val="auto"/>
        </w:rPr>
        <w:t>Increases and decreases in interest income and interest expense result from changes in average balances (volume) of interest-earning assets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4: Interest Income and Expense Change Analysis</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120" w:type="dxa"/>
            <w:vAlign w:val="bottom"/>
            <w:tcBorders>
              <w:top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60" w:type="dxa"/>
            <w:vAlign w:val="bottom"/>
            <w:gridSpan w:val="4"/>
          </w:tcPr>
          <w:p>
            <w:pPr>
              <w:jc w:val="center"/>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March 31, 2025 compared to</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6"/>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the three months ended March 31, 2024</w:t>
            </w:r>
          </w:p>
        </w:tc>
        <w:tc>
          <w:tcPr>
            <w:tcW w:w="820" w:type="dxa"/>
            <w:vAlign w:val="bottom"/>
            <w:tcBorders>
              <w:bottom w:val="single" w:sz="8" w:color="auto"/>
            </w:tcBorders>
          </w:tcPr>
          <w:p>
            <w:pPr>
              <w:spacing w:after="0"/>
              <w:rPr>
                <w:sz w:val="16"/>
                <w:szCs w:val="16"/>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Increase (Decrease)</w:t>
            </w:r>
          </w:p>
        </w:tc>
      </w:tr>
      <w:tr>
        <w:trPr>
          <w:trHeight w:val="198"/>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Interest-earning deposits in banks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6"/>
        </w:trPr>
        <w:tc>
          <w:tcPr>
            <w:tcW w:w="2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2"/>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and sale</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r>
      <w:tr>
        <w:trPr>
          <w:trHeight w:val="192"/>
        </w:trPr>
        <w:tc>
          <w:tcPr>
            <w:tcW w:w="2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9,546</w:t>
            </w:r>
          </w:p>
        </w:tc>
      </w:tr>
      <w:tr>
        <w:trPr>
          <w:trHeight w:val="198"/>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2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7"/>
        </w:trPr>
        <w:tc>
          <w:tcPr>
            <w:tcW w:w="20" w:type="dxa"/>
            <w:vAlign w:val="bottom"/>
            <w:shd w:val="clear" w:color="auto" w:fill="CCEEFF"/>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96"/>
        </w:trPr>
        <w:tc>
          <w:tcPr>
            <w:tcW w:w="2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r>
      <w:tr>
        <w:trPr>
          <w:trHeight w:val="202"/>
        </w:trPr>
        <w:tc>
          <w:tcPr>
            <w:tcW w:w="20" w:type="dxa"/>
            <w:vAlign w:val="bottom"/>
            <w:shd w:val="clear" w:color="auto" w:fill="CCEEFF"/>
          </w:tcPr>
          <w:p>
            <w:pPr>
              <w:spacing w:after="0"/>
              <w:rPr>
                <w:sz w:val="17"/>
                <w:szCs w:val="17"/>
                <w:color w:val="auto"/>
              </w:rPr>
            </w:pPr>
          </w:p>
        </w:tc>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other borrowings</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2"/>
        </w:trPr>
        <w:tc>
          <w:tcPr>
            <w:tcW w:w="2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2,313</w:t>
            </w:r>
          </w:p>
        </w:tc>
      </w:tr>
      <w:tr>
        <w:trPr>
          <w:trHeight w:val="218"/>
        </w:trPr>
        <w:tc>
          <w:tcPr>
            <w:tcW w:w="20" w:type="dxa"/>
            <w:vAlign w:val="bottom"/>
            <w:shd w:val="clear" w:color="auto" w:fill="CCEEFF"/>
          </w:tcPr>
          <w:p>
            <w:pPr>
              <w:spacing w:after="0"/>
              <w:rPr>
                <w:sz w:val="18"/>
                <w:szCs w:val="18"/>
                <w:color w:val="auto"/>
              </w:rPr>
            </w:pPr>
          </w:p>
        </w:tc>
        <w:tc>
          <w:tcPr>
            <w:tcW w:w="6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net interest income/margin</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interest income during the three months ended March 31, 2025 increased by $7.2 million, or 27.05%, to $34.0 million compared to $26.7 million during the three months ended March 31, 2024. Net interest margin totaled 3.45% for the three months ended March 31, 2025, an increase of 31 basis points compared to the same quarter of the prior year. The increase in net interest income is primarily attributable to an additional $9.1 million in loan interest income due to a $485.7 million, or 15.76%, increase in the average balance of loans and a 31 basis point improvement in the average yield on loans during the three months ended March 31, 2025 compared to the same quarter of the prior year. The increase in interest income was partially offset by a $2.4 million increase in deposit interest expense compared to the same quarter of the prior year. The increase in deposit interest expense is primarily attributable to a $478.9 million, or 15.42%, increase in the average balance of deposits and a five basis point increase in the average cost of deposits during the three months ended March 31, 2025 compared to the same quarter of the prior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loan losses in our loan portfolio at the balance sheet date.</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a $1.9 million provision for credit losses in the first quarter of 2025, compared to a $0.9 million provision for credit losses for the same period of 2024. The provision recorded during the three months ended March 31, 2025 reflects loan growth and adjustments to expectations for credit losses based on economic trends and forecasts at the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Non-interest income is a secondary contributor to our net income, following interest income. Non-interest income consists of service charges on deposit accounts, net gain on sale of securities, gain on sale of loans, loan-related fees, FHLB stock dividends, earnings on BOLI, and other income.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4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5 details the components of non-interest income for the periods indicated.</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5: Non-interest Income</w:t>
            </w:r>
          </w:p>
        </w:tc>
        <w:tc>
          <w:tcPr>
            <w:tcW w:w="200" w:type="dxa"/>
            <w:vAlign w:val="bottom"/>
          </w:tcPr>
          <w:p>
            <w:pPr>
              <w:spacing w:after="0"/>
              <w:rPr>
                <w:sz w:val="24"/>
                <w:szCs w:val="24"/>
                <w:color w:val="auto"/>
              </w:rPr>
            </w:pPr>
          </w:p>
        </w:tc>
        <w:tc>
          <w:tcPr>
            <w:tcW w:w="310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Gain on sale of loans</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fees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FHLB stock dividends</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on BOLI</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Gain on sale of loans. </w:t>
      </w:r>
      <w:r>
        <w:rPr>
          <w:rFonts w:ascii="Times New Roman" w:cs="Times New Roman" w:eastAsia="Times New Roman" w:hAnsi="Times New Roman"/>
          <w:sz w:val="14"/>
          <w:szCs w:val="14"/>
          <w:color w:val="auto"/>
        </w:rPr>
        <w:t>The decrease related primarily to an overall decline in the volume of loans sold, partially offset by an improvement in the effective yield of loans sold. During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March 31, 2025, approximately $1.7 million of loans were sold with an effective yield of 7.24%, as compared to approximately $5.2 million of loans sold with an effective yield of 7.08% during the three months ended March 31, 2024.</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The decrease related primarily to $0.3 million of income received on equity investments in venture-backed funds during the three months ended March 31, 2024, which did not reoccur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the three months ended March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 the past several years, we have invested significant resources in personnel, technology, and infrastructure. As we execute initiatives based on growth, we expect non-interest expense to grow.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expense has increased throughout the periods presented below; however, we expect our efficiency ratio will improve going forward due, in part, to our past investment in infrastructure.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6 details the components of non-interest expense for the periods indicated.</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6: Non-interest Expense</w:t>
            </w:r>
          </w:p>
        </w:tc>
        <w:tc>
          <w:tcPr>
            <w:tcW w:w="200" w:type="dxa"/>
            <w:vAlign w:val="bottom"/>
          </w:tcPr>
          <w:p>
            <w:pPr>
              <w:spacing w:after="0"/>
              <w:rPr>
                <w:sz w:val="24"/>
                <w:szCs w:val="24"/>
                <w:color w:val="auto"/>
              </w:rPr>
            </w:pPr>
          </w:p>
        </w:tc>
        <w:tc>
          <w:tcPr>
            <w:tcW w:w="310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Occupancy and equipment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processing and software</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FDIC insurance</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Advertising and promotional</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expenses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6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1" w:name="page42"/>
    <w:bookmarkEnd w:id="41"/>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Salaries and employee benefits</w:t>
      </w:r>
      <w:r>
        <w:rPr>
          <w:rFonts w:ascii="Times New Roman" w:cs="Times New Roman" w:eastAsia="Times New Roman" w:hAnsi="Times New Roman"/>
          <w:sz w:val="14"/>
          <w:szCs w:val="14"/>
          <w:color w:val="auto"/>
        </w:rPr>
        <w:t>. The increase related primarily to: (i) a $1.6 million increase in salaries, benefits, and bonus expense, mainly related to a 13.19% increase in headcount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March 31, 2024 and March 31, 2025; and (ii) a $0.1 million increase in commissions paid. This increase was partially offset by a $0.2 million increase in loan origination costs due to a greater number of loan originations, net of purchased consumer loans, period-over-period.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Data processing and software. </w:t>
      </w:r>
      <w:r>
        <w:rPr>
          <w:rFonts w:ascii="Times New Roman" w:cs="Times New Roman" w:eastAsia="Times New Roman" w:hAnsi="Times New Roman"/>
          <w:sz w:val="14"/>
          <w:szCs w:val="14"/>
          <w:color w:val="auto"/>
        </w:rPr>
        <w:t>The increase was primarily due to: (i) increased usage of our digital banking platform; (ii) higher transaction volumes related to the increased number of loan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 accounts; and (iii) an increased number of licenses required for new users on our loan origination and documentation system.</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w:t>
      </w:r>
      <w:r>
        <w:rPr>
          <w:rFonts w:ascii="Times New Roman" w:cs="Times New Roman" w:eastAsia="Times New Roman" w:hAnsi="Times New Roman"/>
          <w:sz w:val="14"/>
          <w:szCs w:val="14"/>
          <w:color w:val="auto"/>
        </w:rPr>
        <w:t>The increase was primarily due to $0.1 million in fees paid for compensation consulting services and $0.1 million in consulting services relating to operations in San Francisco,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neither of which occurred in the three months ended March 31, 2024.</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operating expenses. </w:t>
      </w:r>
      <w:r>
        <w:rPr>
          <w:rFonts w:ascii="Times New Roman" w:cs="Times New Roman" w:eastAsia="Times New Roman" w:hAnsi="Times New Roman"/>
          <w:sz w:val="14"/>
          <w:szCs w:val="14"/>
          <w:color w:val="auto"/>
        </w:rPr>
        <w:t>The increase was primarily due to individually immaterial increases in expenses related to operations, including administrative and operational expenses such as travel,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subscriptions, and professional association memberships.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provision for income taxes was $5.3 million for the three months ended March 31, 2025, a $1.0 million increase from the three months ended March 31, 2024. This increase was primarily driven by an increase in taxable income. The effective tax rates were 28.71% and 28.94% for the three months ended March 31, 2025 and March 31,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 SUMMARY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compares our financial condition as of March 31, 2025 to our financial condition as of December 31, 2024. Table 7 summarizes selected components of our unaudited consolidated balance sheets as of March 31, 2025 and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7: Selected Components of Consolidated Balance Sheets (Unaudited)</w:t>
            </w: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62"/>
        </w:trPr>
        <w:tc>
          <w:tcPr>
            <w:tcW w:w="20" w:type="dxa"/>
            <w:vAlign w:val="bottom"/>
          </w:tcPr>
          <w:p>
            <w:pPr>
              <w:spacing w:after="0"/>
              <w:rPr>
                <w:sz w:val="24"/>
                <w:szCs w:val="24"/>
                <w:color w:val="auto"/>
              </w:rPr>
            </w:pPr>
          </w:p>
        </w:tc>
        <w:tc>
          <w:tcPr>
            <w:tcW w:w="4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24"/>
                <w:szCs w:val="24"/>
                <w:color w:val="auto"/>
              </w:rPr>
            </w:pPr>
          </w:p>
        </w:tc>
        <w:tc>
          <w:tcPr>
            <w:tcW w:w="17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7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4,245,057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4,053,278</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452,571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3,621,819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3,532,686</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3,736,354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3,557,994</w:t>
            </w:r>
          </w:p>
        </w:tc>
      </w:tr>
      <w:tr>
        <w:trPr>
          <w:trHeight w:val="180"/>
        </w:trPr>
        <w:tc>
          <w:tcPr>
            <w:tcW w:w="20" w:type="dxa"/>
            <w:vAlign w:val="bottom"/>
          </w:tcPr>
          <w:p>
            <w:pPr>
              <w:spacing w:after="0"/>
              <w:rPr>
                <w:sz w:val="15"/>
                <w:szCs w:val="15"/>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net</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73,895</w:t>
            </w:r>
          </w:p>
        </w:tc>
      </w:tr>
      <w:tr>
        <w:trPr>
          <w:trHeight w:val="180"/>
        </w:trPr>
        <w:tc>
          <w:tcPr>
            <w:tcW w:w="20" w:type="dxa"/>
            <w:vAlign w:val="bottom"/>
            <w:shd w:val="clear" w:color="auto" w:fill="CCEEFF"/>
          </w:tcPr>
          <w:p>
            <w:pPr>
              <w:spacing w:after="0"/>
              <w:rPr>
                <w:sz w:val="15"/>
                <w:szCs w:val="15"/>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396,624</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March 31, 2025, total assets were $4.2 billion, an increase of $191.8 million from $4.1 billion at December 31, 2024, primarily due to a $100.2 million increase in cash and cash equivalents and an $89.1 million increase in total loans held for investment. The $89.1 million increase in total loans held for investment between December 31, 2024 and March 31, 2025 was a result of $259.3 million in loan originations and advances, partially offset by $65.6 million and $104.6 million in loan payoffs and paydowns, respectively. The $89.1 million increase in total loans held for investment included $19.8 million in purchases of loans within the consumer concentration of the loan portfolio.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cash and cash equivalents were $452.6 million at March 31, 2025, an increase of $100.2 million from $352.3 million at December 31, 2024. The increase in cash and cash equivalents was primarily due to net cash inflows related to financing and operating activities of $174.1 million and $15.5 million, respectively, partially offset by net cash outflows related to investing activities of $89.3 million.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Investment Portfolio</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with minimal credit and interest rate risk. Most of our securities are classified as available-for-sale, although we have one long-term, fixed rate municipal security classified as held-to-maturity.</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total securities available-for-sale and held-to-maturity amounted to $99.7 million at March 31, 2025 and $100.9 million at December 31, 2024, representing a decrease of $1.2 million during the same period. The decrease to available-for-sale securities was primarily due to maturities, prepayments, and calls of $2.0 million and an unrealized gain on securities of $1.0 million, with the remainder of the change due to amortization of premiums. For the three months ended March 31, 2025, other comprehensive gain was $0.7 million, primarily due to rate changes and other market conditions on securities during that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8 presents the carrying value of our investment portfolio as of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8: Carrying Value of Investment Securities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top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4"/>
                <w:szCs w:val="14"/>
                <w:color w:val="auto"/>
              </w:rPr>
            </w:pPr>
          </w:p>
        </w:tc>
        <w:tc>
          <w:tcPr>
            <w:tcW w:w="2880" w:type="dxa"/>
            <w:vAlign w:val="bottom"/>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4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 (at fair value):</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7.60 %</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37,072</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available-for-sale</w:t>
            </w:r>
          </w:p>
        </w:tc>
        <w:tc>
          <w:tcPr>
            <w:tcW w:w="1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10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97.41 %</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10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99,696</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Table 9 presents the carrying value of our securities by their stated maturities, as well as the weighted average yields for each maturity range, as of the dates shown.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w w:val="99"/>
              </w:rPr>
              <w:t>Table 9: Stated Maturities and Weighted Average Yields - Investment Securities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Due in one year or less</w:t>
            </w:r>
          </w:p>
        </w:tc>
        <w:tc>
          <w:tcPr>
            <w:tcW w:w="17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Due after one year through</w:t>
            </w:r>
          </w:p>
        </w:tc>
        <w:tc>
          <w:tcPr>
            <w:tcW w:w="100" w:type="dxa"/>
            <w:vAlign w:val="bottom"/>
          </w:tcPr>
          <w:p>
            <w:pPr>
              <w:spacing w:after="0"/>
              <w:rPr>
                <w:sz w:val="13"/>
                <w:szCs w:val="13"/>
                <w:color w:val="auto"/>
              </w:rPr>
            </w:pPr>
          </w:p>
        </w:tc>
        <w:tc>
          <w:tcPr>
            <w:tcW w:w="16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100" w:type="dxa"/>
            <w:vAlign w:val="bottom"/>
          </w:tcPr>
          <w:p>
            <w:pPr>
              <w:spacing w:after="0"/>
              <w:rPr>
                <w:sz w:val="13"/>
                <w:szCs w:val="13"/>
                <w:color w:val="auto"/>
              </w:rPr>
            </w:pPr>
          </w:p>
        </w:tc>
        <w:tc>
          <w:tcPr>
            <w:tcW w:w="16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100" w:type="dxa"/>
            <w:vAlign w:val="bottom"/>
          </w:tcPr>
          <w:p>
            <w:pPr>
              <w:spacing w:after="0"/>
              <w:rPr>
                <w:sz w:val="13"/>
                <w:szCs w:val="13"/>
                <w:color w:val="auto"/>
              </w:rPr>
            </w:pPr>
          </w:p>
        </w:tc>
        <w:tc>
          <w:tcPr>
            <w:tcW w:w="1620" w:type="dxa"/>
            <w:vAlign w:val="bottom"/>
            <w:gridSpan w:val="3"/>
            <w:vMerge w:val="restart"/>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100" w:type="dxa"/>
            <w:vAlign w:val="bottom"/>
          </w:tcPr>
          <w:p>
            <w:pPr>
              <w:spacing w:after="0"/>
              <w:rPr>
                <w:sz w:val="16"/>
                <w:szCs w:val="16"/>
                <w:color w:val="auto"/>
              </w:rPr>
            </w:pPr>
          </w:p>
        </w:tc>
        <w:tc>
          <w:tcPr>
            <w:tcW w:w="16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10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Average Yield</w:t>
            </w:r>
          </w:p>
        </w:tc>
        <w:tc>
          <w:tcPr>
            <w:tcW w:w="0" w:type="dxa"/>
            <w:vAlign w:val="bottom"/>
          </w:tcPr>
          <w:p>
            <w:pPr>
              <w:spacing w:after="0"/>
              <w:rPr>
                <w:sz w:val="1"/>
                <w:szCs w:val="1"/>
                <w:color w:val="auto"/>
              </w:rPr>
            </w:pPr>
          </w:p>
        </w:tc>
      </w:tr>
      <w:tr>
        <w:trPr>
          <w:trHeight w:val="353"/>
        </w:trPr>
        <w:tc>
          <w:tcPr>
            <w:tcW w:w="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28,292</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8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Loan Portfolio</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March 31, 2025 and December 31, 2024, our total loans amounted to $3.6 billion and $3.5 billion, respectively. Table 10 presents the balance and associated percentage of each major product type within our portfolio as of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10: Loans Outstanding</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2,941,201</w:t>
            </w:r>
          </w:p>
        </w:tc>
        <w:tc>
          <w:tcPr>
            <w:tcW w:w="2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81.11 %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4.70 %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Consumer and other</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277,093</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gross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3,623,790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99.93 %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3,534,606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gross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3,626,459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3,537,853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Net deferred loan fees</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CCEEFF"/>
            </w:tcBorders>
            <w:vMerge w:val="continue"/>
          </w:tcPr>
          <w:p>
            <w:pPr>
              <w:spacing w:after="0"/>
              <w:rPr>
                <w:sz w:val="11"/>
                <w:szCs w:val="11"/>
                <w:color w:val="auto"/>
              </w:rPr>
            </w:pPr>
          </w:p>
        </w:tc>
        <w:tc>
          <w:tcPr>
            <w:tcW w:w="4960" w:type="dxa"/>
            <w:vAlign w:val="bottom"/>
            <w:tcBorders>
              <w:bottom w:val="single" w:sz="8" w:color="CCEEFF"/>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3,624,488</w:t>
            </w:r>
          </w:p>
        </w:tc>
        <w:tc>
          <w:tcPr>
            <w:tcW w:w="2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3,535,933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Residential real estate and construction real estate loans consist of loans secured by single-family and multifamily residential properties, which are both owner-occupied and investor-owned.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Farmland loans consist of loans used to purchase, refinance, or improve farmland secured by farming properties themselves. The farmland is generally located in or near our market.</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5" w:name="page46"/>
    <w:bookmarkEnd w:id="45"/>
    <w:p>
      <w:pPr>
        <w:jc w:val="both"/>
        <w:spacing w:after="0" w:line="287" w:lineRule="auto"/>
        <w:rPr>
          <w:sz w:val="20"/>
          <w:szCs w:val="20"/>
          <w:color w:val="auto"/>
        </w:rPr>
      </w:pPr>
      <w:r>
        <w:rPr>
          <w:rFonts w:ascii="Times New Roman" w:cs="Times New Roman" w:eastAsia="Times New Roman" w:hAnsi="Times New Roman"/>
          <w:sz w:val="14"/>
          <w:szCs w:val="14"/>
          <w:color w:val="auto"/>
        </w:rPr>
        <w:t>Consumer and other loans consist primarily of loans purchased in a loan purchase program with a non-bank lender, generally made to professionals for the purpose of large personal or household purchases. The loans are unsecured, fixed rate loans. Consumer and other loans also include loans purchased or originated through financing partnerships which are no longer active.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Table 11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11, may be obtained for loans that are downgraded to watch or substandard. Loans over $2.0 million are reviewed annually, at which time an internal assessment of collateral values is completed.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Table 11: Commercial Real Estate Loans</w:t>
            </w:r>
          </w:p>
        </w:tc>
        <w:tc>
          <w:tcPr>
            <w:tcW w:w="10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of Commercial Real</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100" w:type="dxa"/>
            <w:vAlign w:val="bottom"/>
            <w:vMerge w:val="restart"/>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Collateral Value</w:t>
            </w:r>
          </w:p>
        </w:tc>
        <w:tc>
          <w:tcPr>
            <w:tcW w:w="80" w:type="dxa"/>
            <w:vAlign w:val="bottom"/>
          </w:tcPr>
          <w:p>
            <w:pPr>
              <w:spacing w:after="0"/>
              <w:rPr>
                <w:sz w:val="13"/>
                <w:szCs w:val="13"/>
                <w:color w:val="auto"/>
              </w:rPr>
            </w:pPr>
          </w:p>
        </w:tc>
        <w:tc>
          <w:tcPr>
            <w:tcW w:w="156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Minimum LTV</w:t>
            </w:r>
          </w:p>
        </w:tc>
        <w:tc>
          <w:tcPr>
            <w:tcW w:w="100" w:type="dxa"/>
            <w:vAlign w:val="bottom"/>
            <w:vMerge w:val="restart"/>
          </w:tcPr>
          <w:p>
            <w:pPr>
              <w:spacing w:after="0"/>
              <w:rPr>
                <w:sz w:val="13"/>
                <w:szCs w:val="13"/>
                <w:color w:val="auto"/>
              </w:rPr>
            </w:pPr>
          </w:p>
        </w:tc>
        <w:tc>
          <w:tcPr>
            <w:tcW w:w="156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Maximum LTV</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918,864</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31.24 %</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1,637,759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14.15 %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RV Park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378,525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661,462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272,441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549,633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237,128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527,874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Mini storage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198,126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393,377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16.14 %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Faith-based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187,733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498,447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185,543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395,489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14.28 %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562,841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1,214,600</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134.92 %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2,941,201</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5,878,641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891,935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1,586,109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RV Park</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371,733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648,272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17.94 %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283,394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569,677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Industrial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224,860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500,307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73.91 %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Faith-based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184,151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492,030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Mini storage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177,854</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16.23 %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69.19 %</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172,592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371,634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Office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145,986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338,474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404,668</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855,084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112.07 %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5,723,024</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Types of collateral in the “all other types” category are those that individually make up less than 5.00% of the commercial real estate concentration.</w:t>
      </w:r>
    </w:p>
    <w:p>
      <w:pPr>
        <w:spacing w:after="0" w:line="133"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Minimum LTV and maximum LTV not shown for aggregated totals, as such values are meaningful only when presented by specific category.</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84.33% of loans held for investment at March 31, 2025. Commercial secured lending represents 4.70% of loans held for investment at March 31, 2025.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6" w:name="page47"/>
    <w:bookmarkEnd w:id="46"/>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 that our commercial real estate loan concentration is significant within our balance sheet. Commercial real estate loan balances as a percentage of risk-based capital were 576.23% and 571.91% as of March 31, 2025 and December 31, 2024, respectively. We have established internal concentration limits in the loan portfolio for commercial real estate loans by sector (e.g., manufactured home communities, self-storage, hospitality, etc.). All loan sectors were within our established limits as of March 31, 2025. Additionally, our loans are geographically concentrated with borrowers and collateralized properties primarily in California.</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12 sets forth the contractual maturities of our loan portfolio as of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12: Contractual Maturities - Gross Loans</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1 year through</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Due after 5 years through</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80" w:type="dxa"/>
            <w:vAlign w:val="bottom"/>
            <w:vMerge w:val="restart"/>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Due after 15 years</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2,423,349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2,941,201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277,093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2,862,750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3,626,459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2,383,655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173,795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279,584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2,834,820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3,537,853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Table 13 sets forth the sensitivity to interest rate changes of our loan portfolio as of the dates shown.</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Table 13: Sensitivity to Interest Rates - Gross Loans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2495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12"/>
          <w:szCs w:val="12"/>
          <w:color w:val="auto"/>
        </w:rPr>
        <w:t>Commercial</w:t>
      </w:r>
      <w:r>
        <w:rPr>
          <w:sz w:val="20"/>
          <w:szCs w:val="20"/>
          <w:color w:val="auto"/>
        </w:rPr>
        <w:tab/>
      </w:r>
      <w:r>
        <w:rPr>
          <w:rFonts w:ascii="Times New Roman" w:cs="Times New Roman" w:eastAsia="Times New Roman" w:hAnsi="Times New Roman"/>
          <w:sz w:val="12"/>
          <w:szCs w:val="12"/>
          <w:color w:val="auto"/>
        </w:rPr>
        <w:t>$</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construction</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Farmland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Unsecured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47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2"/>
          <w:szCs w:val="12"/>
          <w:color w:val="auto"/>
        </w:rPr>
        <w:t>Total</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61530" cy="2425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12"/>
          <w:szCs w:val="12"/>
          <w:color w:val="auto"/>
        </w:rPr>
        <w:t>Commercial</w:t>
      </w:r>
      <w:r>
        <w:rPr>
          <w:sz w:val="20"/>
          <w:szCs w:val="20"/>
          <w:color w:val="auto"/>
        </w:rPr>
        <w:tab/>
      </w:r>
      <w:r>
        <w:rPr>
          <w:rFonts w:ascii="Times New Roman" w:cs="Times New Roman" w:eastAsia="Times New Roman" w:hAnsi="Times New Roman"/>
          <w:sz w:val="12"/>
          <w:szCs w:val="12"/>
          <w:color w:val="auto"/>
        </w:rPr>
        <w:t>$</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Commercial construction</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Residential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Farmland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Unsecured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47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2"/>
          <w:szCs w:val="12"/>
          <w:color w:val="auto"/>
        </w:rPr>
        <w:t>Total</w:t>
      </w:r>
      <w:r>
        <w:rPr>
          <w:sz w:val="20"/>
          <w:szCs w:val="20"/>
          <w:color w:val="auto"/>
        </w:rPr>
        <w:tab/>
      </w:r>
      <w:r>
        <w:rPr>
          <w:rFonts w:ascii="Times New Roman" w:cs="Times New Roman" w:eastAsia="Times New Roman" w:hAnsi="Times New Roman"/>
          <w:sz w:val="12"/>
          <w:szCs w:val="12"/>
          <w:color w:val="auto"/>
        </w:rPr>
        <w: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w w:val="99"/>
              </w:rPr>
              <w:t>Fixed Interest Rates</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Floating or Adjustable Rates</w:t>
            </w:r>
          </w:p>
        </w:tc>
        <w:tc>
          <w:tcPr>
            <w:tcW w:w="420" w:type="dxa"/>
            <w:vAlign w:val="bottom"/>
          </w:tcPr>
          <w:p>
            <w:pPr>
              <w:spacing w:after="0"/>
              <w:rPr>
                <w:sz w:val="17"/>
                <w:szCs w:val="17"/>
                <w:color w:val="auto"/>
              </w:rPr>
            </w:pPr>
          </w:p>
        </w:tc>
        <w:tc>
          <w:tcPr>
            <w:tcW w:w="140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765"/>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603,698</w:t>
            </w:r>
          </w:p>
        </w:tc>
        <w:tc>
          <w:tcPr>
            <w:tcW w:w="660" w:type="dxa"/>
            <w:vAlign w:val="bottom"/>
            <w:tcBorders>
              <w:top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2,337,503</w:t>
            </w:r>
          </w:p>
        </w:tc>
        <w:tc>
          <w:tcPr>
            <w:tcW w:w="80" w:type="dxa"/>
            <w:vAlign w:val="bottom"/>
          </w:tcPr>
          <w:p>
            <w:pPr>
              <w:spacing w:after="0"/>
              <w:rPr>
                <w:sz w:val="24"/>
                <w:szCs w:val="2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2,941,201</w:t>
            </w:r>
          </w:p>
        </w:tc>
      </w:tr>
      <w:tr>
        <w:trPr>
          <w:trHeight w:val="21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1,401</w:t>
            </w:r>
          </w:p>
        </w:tc>
        <w:tc>
          <w:tcPr>
            <w:tcW w:w="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113,002</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4,466</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34,053</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4,819</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43,643</w:t>
            </w:r>
          </w:p>
        </w:tc>
      </w:tr>
      <w:tr>
        <w:trPr>
          <w:trHeight w:val="403"/>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48,316</w:t>
            </w: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124,878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173,194</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23,636</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34,970</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276,968</w:t>
            </w:r>
          </w:p>
        </w:tc>
        <w:tc>
          <w:tcPr>
            <w:tcW w:w="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277,093</w:t>
            </w:r>
          </w:p>
        </w:tc>
      </w:tr>
      <w:tr>
        <w:trPr>
          <w:trHeight w:val="187"/>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963,304</w:t>
            </w: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2,663,155</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3,626,459</w:t>
            </w:r>
          </w:p>
        </w:tc>
      </w:tr>
      <w:tr>
        <w:trPr>
          <w:trHeight w:val="20"/>
        </w:trPr>
        <w:tc>
          <w:tcPr>
            <w:tcW w:w="1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953"/>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587,825</w:t>
            </w: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2,269,348</w:t>
            </w:r>
          </w:p>
        </w:tc>
        <w:tc>
          <w:tcPr>
            <w:tcW w:w="80" w:type="dxa"/>
            <w:vAlign w:val="bottom"/>
          </w:tcPr>
          <w:p>
            <w:pPr>
              <w:spacing w:after="0"/>
              <w:rPr>
                <w:sz w:val="24"/>
                <w:szCs w:val="2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1,416</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4,495</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4,873</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403"/>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48,587</w:t>
            </w: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125,208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173,795</w:t>
            </w:r>
          </w:p>
        </w:tc>
      </w:tr>
      <w:tr>
        <w:trPr>
          <w:trHeight w:val="20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19,988</w:t>
            </w: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207"/>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279,458</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192"/>
        </w:trPr>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946,642</w:t>
            </w:r>
          </w:p>
        </w:tc>
        <w:tc>
          <w:tcPr>
            <w:tcW w:w="6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2,591,211</w:t>
            </w: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3,537,853</w:t>
            </w:r>
          </w:p>
        </w:tc>
      </w:tr>
      <w:tr>
        <w:trPr>
          <w:trHeight w:val="20"/>
        </w:trPr>
        <w:tc>
          <w:tcPr>
            <w:tcW w:w="1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-6350</wp:posOffset>
            </wp:positionV>
            <wp:extent cx="115887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58875" cy="698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-1939925</wp:posOffset>
            </wp:positionV>
            <wp:extent cx="115887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58875" cy="6985"/>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5720" w:space="220"/>
            <w:col w:w="5340"/>
          </w:cols>
          <w:pgMar w:left="300" w:top="931" w:right="319" w:bottom="1440" w:gutter="0" w:footer="0" w:header="0"/>
        </w:sect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ACL. We periodically employ the use of an independent consulting firm to evaluate our underwriting and risk assessment process. Like other financial institutions, we are subject to</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the risk that our loan portfolio will be exposed to increasing pressures from deteriorating borrower credit due to general economic conditions and rising interest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Nonperforming Assets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SBA Loans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the Company sold five SBA 7(a) loans with government-guaranteed portions totaling approximately $1.7 million. The Company received gross proceeds of $1.8 million on the loans sold during the three months ended March 31, 2025, resulting in the recognition of net gains on sale of $0.1 million during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Non-accrual Loans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14 provides details of our nonperforming and restructured assets and certain other related information as of the dates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14: Nonperforming and Restructured Assets</w:t>
            </w:r>
          </w:p>
        </w:tc>
        <w:tc>
          <w:tcPr>
            <w:tcW w:w="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5"/>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2"/>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Real estate:</w:t>
            </w: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1,750</w:t>
            </w:r>
          </w:p>
        </w:tc>
      </w:tr>
      <w:tr>
        <w:trPr>
          <w:trHeight w:val="196"/>
        </w:trPr>
        <w:tc>
          <w:tcPr>
            <w:tcW w:w="20" w:type="dxa"/>
            <w:vAlign w:val="bottom"/>
          </w:tcPr>
          <w:p>
            <w:pPr>
              <w:spacing w:after="0"/>
              <w:rPr>
                <w:sz w:val="17"/>
                <w:szCs w:val="17"/>
                <w:color w:val="auto"/>
              </w:rPr>
            </w:pPr>
          </w:p>
        </w:tc>
        <w:tc>
          <w:tcPr>
            <w:tcW w:w="6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Secured</w:t>
            </w:r>
          </w:p>
        </w:tc>
        <w:tc>
          <w:tcPr>
            <w:tcW w:w="3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r>
      <w:tr>
        <w:trPr>
          <w:trHeight w:val="192"/>
        </w:trPr>
        <w:tc>
          <w:tcPr>
            <w:tcW w:w="20" w:type="dxa"/>
            <w:vAlign w:val="bottom"/>
            <w:tcBorders>
              <w:bottom w:val="single" w:sz="8" w:color="CCEEFF"/>
            </w:tcBorders>
          </w:tcPr>
          <w:p>
            <w:pPr>
              <w:spacing w:after="0"/>
              <w:rPr>
                <w:sz w:val="16"/>
                <w:szCs w:val="16"/>
                <w:color w:val="auto"/>
              </w:rPr>
            </w:pPr>
          </w:p>
        </w:tc>
        <w:tc>
          <w:tcPr>
            <w:tcW w:w="6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non-accrual loans</w:t>
            </w: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1,798</w:t>
            </w:r>
          </w:p>
        </w:tc>
      </w:tr>
      <w:tr>
        <w:trPr>
          <w:trHeight w:val="102"/>
        </w:trPr>
        <w:tc>
          <w:tcPr>
            <w:tcW w:w="2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4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Loans past due 90 days or more and still accruing:</w:t>
            </w: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192"/>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loans past due and still accruing</w:t>
            </w:r>
          </w:p>
        </w:tc>
        <w:tc>
          <w:tcPr>
            <w:tcW w:w="3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0" w:type="dxa"/>
            <w:vAlign w:val="bottom"/>
            <w:tcBorders>
              <w:bottom w:val="single" w:sz="8" w:color="CCEEFF"/>
            </w:tcBorders>
          </w:tcPr>
          <w:p>
            <w:pPr>
              <w:spacing w:after="0"/>
              <w:rPr>
                <w:sz w:val="16"/>
                <w:szCs w:val="16"/>
                <w:color w:val="auto"/>
              </w:rPr>
            </w:pPr>
          </w:p>
        </w:tc>
        <w:tc>
          <w:tcPr>
            <w:tcW w:w="6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nonperforming loans</w:t>
            </w:r>
          </w:p>
        </w:tc>
        <w:tc>
          <w:tcPr>
            <w:tcW w:w="34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1,798</w:t>
            </w:r>
          </w:p>
        </w:tc>
      </w:tr>
      <w:tr>
        <w:trPr>
          <w:trHeight w:val="102"/>
        </w:trPr>
        <w:tc>
          <w:tcPr>
            <w:tcW w:w="2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4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Real estate owned</w:t>
            </w: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87</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4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Performing LMs (not included above)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17"/>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period end nonperforming loans</w:t>
            </w: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2,222.32 %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2,101.78 %</w:t>
            </w:r>
          </w:p>
        </w:tc>
      </w:tr>
      <w:tr>
        <w:trPr>
          <w:trHeight w:val="201"/>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Nonperforming loans to loans held for investment</w:t>
            </w:r>
          </w:p>
        </w:tc>
        <w:tc>
          <w:tcPr>
            <w:tcW w:w="3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202"/>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191"/>
        </w:trPr>
        <w:tc>
          <w:tcPr>
            <w:tcW w:w="20" w:type="dxa"/>
            <w:vAlign w:val="bottom"/>
          </w:tcPr>
          <w:p>
            <w:pPr>
              <w:spacing w:after="0"/>
              <w:rPr>
                <w:sz w:val="16"/>
                <w:szCs w:val="16"/>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Nonperforming loans plus performing LMs to loans held for investment</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nonperforming loans to loans held for investment was 0.05% at March 31, 2025, which is unchanged from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color w:val="auto"/>
        </w:rPr>
        <w:t>Potential Problem Loans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banking industry defines loans graded substandard or doubtful as “classified” loans. Table 15 shows our levels of classified loans as of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15: Gross Loans Held for Investment by Credit Quality Risk Rating</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Watch</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Doubtful</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2,839,218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2,941,201</w:t>
            </w: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113,002</w:t>
            </w: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34,053</w:t>
            </w: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43,643</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170,525</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34,970</w:t>
            </w:r>
          </w:p>
        </w:tc>
      </w:tr>
      <w:tr>
        <w:trPr>
          <w:trHeight w:val="201"/>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277,085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277,093</w:t>
            </w: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3,623,790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2,746,594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196"/>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196"/>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196"/>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207"/>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170,548</w:t>
            </w:r>
          </w:p>
        </w:tc>
      </w:tr>
      <w:tr>
        <w:trPr>
          <w:trHeight w:val="202"/>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201"/>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3,534,606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designated as watch and substandard, which are not considered adversely classified, decreased to $115.7 million at March 31, 2025 from $126.0 million at December 31, 2024. There were no loans with doubtful risk grades at March 31, 2025 or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0" w:name="page51"/>
    <w:bookmarkEnd w:id="50"/>
    <w:p>
      <w:pPr>
        <w:jc w:val="both"/>
        <w:spacing w:after="0" w:line="270" w:lineRule="auto"/>
        <w:rPr>
          <w:sz w:val="20"/>
          <w:szCs w:val="20"/>
          <w:color w:val="auto"/>
        </w:rPr>
      </w:pPr>
      <w:r>
        <w:rPr>
          <w:rFonts w:ascii="Times New Roman" w:cs="Times New Roman" w:eastAsia="Times New Roman" w:hAnsi="Times New Roman"/>
          <w:sz w:val="14"/>
          <w:szCs w:val="14"/>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March 31, 2025, the Company’s allowance for credit losses was $39.2 million, as compared to $37.8 million at December 31, 2024. The $1.4 million increase in the allowance is due to a $2.2 million provision for credit losses recorded during the three months ended March 31, 2025, partially offset by net charge-offs mainly attributable to commercial and industrial loans of $0.7 million, during the same period.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the entire allowance for credit losses is available to absorb losses from any and all loans, Table 16 represents management’s allocation of our allowance for credit losses by loan category, and the balance of loans in each category as a percentage of total loans,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16: Allocation of the Allowance for Credit Losses</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5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of Loans to Total</w:t>
            </w:r>
          </w:p>
        </w:tc>
        <w:tc>
          <w:tcPr>
            <w:tcW w:w="142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Allowance for Credit</w:t>
            </w:r>
          </w:p>
        </w:tc>
        <w:tc>
          <w:tcPr>
            <w:tcW w:w="1460" w:type="dxa"/>
            <w:vAlign w:val="bottom"/>
          </w:tcPr>
          <w:p>
            <w:pPr>
              <w:jc w:val="right"/>
              <w:ind w:right="49"/>
              <w:spacing w:after="0" w:line="160" w:lineRule="exact"/>
              <w:rPr>
                <w:sz w:val="20"/>
                <w:szCs w:val="20"/>
                <w:color w:val="auto"/>
              </w:rPr>
            </w:pPr>
            <w:r>
              <w:rPr>
                <w:rFonts w:ascii="Times New Roman" w:cs="Times New Roman" w:eastAsia="Times New Roman" w:hAnsi="Times New Roman"/>
                <w:sz w:val="14"/>
                <w:szCs w:val="14"/>
                <w:b w:val="1"/>
                <w:bCs w:val="1"/>
                <w:color w:val="auto"/>
              </w:rPr>
              <w:t>% of Loans to Total</w:t>
            </w:r>
          </w:p>
        </w:tc>
      </w:tr>
      <w:tr>
        <w:trPr>
          <w:trHeight w:val="197"/>
        </w:trPr>
        <w:tc>
          <w:tcPr>
            <w:tcW w:w="2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Loans</w:t>
            </w:r>
          </w:p>
        </w:tc>
      </w:tr>
      <w:tr>
        <w:trPr>
          <w:trHeight w:val="192"/>
        </w:trPr>
        <w:tc>
          <w:tcPr>
            <w:tcW w:w="20" w:type="dxa"/>
            <w:vAlign w:val="bottom"/>
            <w:shd w:val="clear" w:color="auto" w:fill="CCEEFF"/>
          </w:tcPr>
          <w:p>
            <w:pPr>
              <w:spacing w:after="0"/>
              <w:rPr>
                <w:sz w:val="16"/>
                <w:szCs w:val="16"/>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27,027</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81.11 %</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80.75 %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0.11 %</w:t>
            </w: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construction</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0.13 %</w:t>
            </w: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Farmland</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196"/>
        </w:trPr>
        <w:tc>
          <w:tcPr>
            <w:tcW w:w="20" w:type="dxa"/>
            <w:vAlign w:val="bottom"/>
          </w:tcPr>
          <w:p>
            <w:pPr>
              <w:spacing w:after="0"/>
              <w:rPr>
                <w:sz w:val="17"/>
                <w:szCs w:val="17"/>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5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Secured</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4.91 %</w:t>
            </w:r>
          </w:p>
        </w:tc>
      </w:tr>
      <w:tr>
        <w:trPr>
          <w:trHeight w:val="201"/>
        </w:trPr>
        <w:tc>
          <w:tcPr>
            <w:tcW w:w="20" w:type="dxa"/>
            <w:vAlign w:val="bottom"/>
          </w:tcPr>
          <w:p>
            <w:pPr>
              <w:spacing w:after="0"/>
              <w:rPr>
                <w:sz w:val="17"/>
                <w:szCs w:val="17"/>
                <w:color w:val="auto"/>
              </w:rPr>
            </w:pPr>
          </w:p>
        </w:tc>
        <w:tc>
          <w:tcPr>
            <w:tcW w:w="5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Unsecured</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0.78 %</w:t>
            </w:r>
          </w:p>
        </w:tc>
      </w:tr>
      <w:tr>
        <w:trPr>
          <w:trHeight w:val="202"/>
        </w:trPr>
        <w:tc>
          <w:tcPr>
            <w:tcW w:w="2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7.90 %</w:t>
            </w:r>
          </w:p>
        </w:tc>
      </w:tr>
      <w:tr>
        <w:trPr>
          <w:trHeight w:val="192"/>
        </w:trPr>
        <w:tc>
          <w:tcPr>
            <w:tcW w:w="20" w:type="dxa"/>
            <w:vAlign w:val="bottom"/>
          </w:tcPr>
          <w:p>
            <w:pPr>
              <w:spacing w:after="0"/>
              <w:rPr>
                <w:sz w:val="16"/>
                <w:szCs w:val="16"/>
                <w:color w:val="auto"/>
              </w:rPr>
            </w:pPr>
          </w:p>
        </w:tc>
        <w:tc>
          <w:tcPr>
            <w:tcW w:w="54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Total allowance for credit losses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39,224</w:t>
            </w:r>
          </w:p>
        </w:tc>
        <w:tc>
          <w:tcPr>
            <w:tcW w:w="8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37,791</w:t>
            </w:r>
          </w:p>
        </w:tc>
        <w:tc>
          <w:tcPr>
            <w:tcW w:w="8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the allowance for credit losses to total loans held for investment was 1.08% at March 31, 2025, as compared to 1.07% at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161"/>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17: Activity Within the Allowance for Credit Losses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32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6"/>
                <w:szCs w:val="16"/>
                <w:color w:val="auto"/>
              </w:rPr>
            </w:pPr>
          </w:p>
        </w:tc>
        <w:tc>
          <w:tcPr>
            <w:tcW w:w="3020" w:type="dxa"/>
            <w:vAlign w:val="bottom"/>
            <w:gridSpan w:val="3"/>
          </w:tcPr>
          <w:p>
            <w:pPr>
              <w:jc w:val="right"/>
              <w:ind w:right="112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34"/>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8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right"/>
              <w:ind w:right="9"/>
              <w:spacing w:after="0" w:line="134" w:lineRule="exact"/>
              <w:rPr>
                <w:sz w:val="20"/>
                <w:szCs w:val="20"/>
                <w:color w:val="auto"/>
              </w:rPr>
            </w:pPr>
            <w:r>
              <w:rPr>
                <w:rFonts w:ascii="Times New Roman" w:cs="Times New Roman" w:eastAsia="Times New Roman" w:hAnsi="Times New Roman"/>
                <w:sz w:val="14"/>
                <w:szCs w:val="14"/>
                <w:b w:val="1"/>
                <w:bCs w:val="1"/>
                <w:color w:val="auto"/>
              </w:rPr>
              <w:t>% of Average Loans Held</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8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right"/>
              <w:ind w:right="9"/>
              <w:spacing w:after="0" w:line="134" w:lineRule="exact"/>
              <w:rPr>
                <w:sz w:val="20"/>
                <w:szCs w:val="20"/>
                <w:color w:val="auto"/>
              </w:rPr>
            </w:pPr>
            <w:r>
              <w:rPr>
                <w:rFonts w:ascii="Times New Roman" w:cs="Times New Roman" w:eastAsia="Times New Roman" w:hAnsi="Times New Roman"/>
                <w:sz w:val="14"/>
                <w:szCs w:val="14"/>
                <w:b w:val="1"/>
                <w:bCs w:val="1"/>
                <w:color w:val="auto"/>
              </w:rPr>
              <w:t>% of Average Loans Held</w:t>
            </w:r>
          </w:p>
        </w:tc>
        <w:tc>
          <w:tcPr>
            <w:tcW w:w="0" w:type="dxa"/>
            <w:vAlign w:val="bottom"/>
          </w:tcPr>
          <w:p>
            <w:pPr>
              <w:spacing w:after="0"/>
              <w:rPr>
                <w:sz w:val="1"/>
                <w:szCs w:val="1"/>
                <w:color w:val="auto"/>
              </w:rPr>
            </w:pPr>
          </w:p>
        </w:tc>
      </w:tr>
      <w:tr>
        <w:trPr>
          <w:trHeight w:val="191"/>
        </w:trPr>
        <w:tc>
          <w:tcPr>
            <w:tcW w:w="44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0" w:type="dxa"/>
            <w:vAlign w:val="bottom"/>
          </w:tcPr>
          <w:p>
            <w:pPr>
              <w:spacing w:after="0"/>
              <w:rPr>
                <w:sz w:val="1"/>
                <w:szCs w:val="1"/>
                <w:color w:val="auto"/>
              </w:rPr>
            </w:pPr>
          </w:p>
        </w:tc>
      </w:tr>
      <w:tr>
        <w:trPr>
          <w:trHeight w:val="192"/>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3,565,830</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3,069,466</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37,791</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34,431</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 recoveries: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(681)</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(816)</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7"/>
                <w:szCs w:val="17"/>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Net charge-offs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(717)</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(828)</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39,224</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34,653</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3,621,819</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3,104,130</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loans held for investment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ratio of the allowance for credit losses to loans held for investment decreased from 1.12% as of March 31, 2024 to 1.08% as of March 31, 2025. Net charge-offs as a percent of average loans held for investment decreased from 0.03% to 0.02% for the three months ended March 31, 2024 and March 31,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first three months of 2025, total liabilities increased by $182.0 million from $3.7 billion as of December 31, 2024 to $3.8 billion as of March 31, 2025. This increase was primarily due to an increase in total deposits of $178.4 million, comprised of an increase of $167.3 million in interest-bearing deposits and an increase of $11.0 million in non-interest-bearing deposits. The increase in interest-bearing deposits was largely due to increases in time and money market deposits of $131.2 million and $52.2 million,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Representing 97.34% of our total liabilities as of March 31, 2025, deposits are our primary source of funding for our business operations.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deposits increased by $178.4 million, or 5.01%, to $3.7 billion at March 31, 2025 from $3.6 billion at December 31, 2024. The increase was attributable to growth in both non-wholesale and wholesale deposits, which the Company defines as brokered deposits and California Time Deposit Program deposits. Non-interest-bearing deposits increased by $11.0 million from December 31, 2024 to $933.7 million at March 31, 2025, representing 24.99% of total deposits at that date, as compared to 25.93% of total deposits at December 31, 2024. Our loan to deposit ratio was 97.01% at March 31, 2025, as compared to 99.38% at December 31, 2024. We intend to continue to operate our business with close monitoring of the loan to deposit ratio.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Table 18 summarizes our deposit composition by average deposit balances and average rates paid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Table 18: Deposit Composition by Average Balances and Rates Paid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9"/>
        </w:trPr>
        <w:tc>
          <w:tcPr>
            <w:tcW w:w="20" w:type="dxa"/>
            <w:vAlign w:val="bottom"/>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60" w:type="dxa"/>
            <w:vAlign w:val="bottom"/>
            <w:tcBorders>
              <w:bottom w:val="single" w:sz="8" w:color="auto"/>
            </w:tcBorders>
          </w:tcPr>
          <w:p>
            <w:pPr>
              <w:spacing w:after="0"/>
              <w:rPr>
                <w:sz w:val="16"/>
                <w:szCs w:val="16"/>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r>
      <w:tr>
        <w:trPr>
          <w:trHeight w:val="192"/>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303,822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300,325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9.67 %</w:t>
            </w:r>
          </w:p>
        </w:tc>
      </w:tr>
      <w:tr>
        <w:trPr>
          <w:trHeight w:val="196"/>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Money market and savings accounts</w:t>
            </w:r>
          </w:p>
        </w:tc>
        <w:tc>
          <w:tcPr>
            <w:tcW w:w="1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1,664,478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1,534,825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49.40 %</w:t>
            </w:r>
          </w:p>
        </w:tc>
      </w:tr>
      <w:tr>
        <w:trPr>
          <w:trHeight w:val="207"/>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706,528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13.83 %</w:t>
            </w:r>
          </w:p>
        </w:tc>
      </w:tr>
      <w:tr>
        <w:trPr>
          <w:trHeight w:val="196"/>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Demand accounts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910,954</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25.40 %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842,105</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27.10 %</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3,585,782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3,106,841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Uninsured and uncollateralized deposits totaled approximately $1.2 billion at March 31, 2025 and December 31, 2024.</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March 31, 2025, our 42 largest deposit relationships, each accounting for more than $10.0 million, totaled $1.8 billion, or 49.31% of our total deposits. The average age on deposit relationships of more than $5.0 million was approximately 8.80 years as of March 31, 2025. As of December 31, 2024, our 49 largest deposit relationships, each accounting for more than $10.0 million, totaled $1.8 billion, or 50.35% of our total deposits.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19 shows the entity types making up our large deposit relationships at the dates indicated.</w:t>
            </w: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19: Composition of Large Deposit Relationships</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0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2"/>
        </w:trPr>
        <w:tc>
          <w:tcPr>
            <w:tcW w:w="20" w:type="dxa"/>
            <w:vAlign w:val="bottom"/>
            <w:shd w:val="clear" w:color="auto" w:fill="CCEEFF"/>
          </w:tcPr>
          <w:p>
            <w:pPr>
              <w:spacing w:after="0"/>
              <w:rPr>
                <w:sz w:val="16"/>
                <w:szCs w:val="16"/>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Municipalities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695,040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674,094</w:t>
            </w:r>
          </w:p>
        </w:tc>
      </w:tr>
      <w:tr>
        <w:trPr>
          <w:trHeight w:val="196"/>
        </w:trPr>
        <w:tc>
          <w:tcPr>
            <w:tcW w:w="20" w:type="dxa"/>
            <w:vAlign w:val="bottom"/>
          </w:tcPr>
          <w:p>
            <w:pPr>
              <w:spacing w:after="0"/>
              <w:rPr>
                <w:sz w:val="17"/>
                <w:szCs w:val="17"/>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Non-profits</w:t>
            </w:r>
          </w:p>
        </w:tc>
        <w:tc>
          <w:tcPr>
            <w:tcW w:w="3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211,480</w:t>
            </w:r>
          </w:p>
        </w:tc>
      </w:tr>
      <w:tr>
        <w:trPr>
          <w:trHeight w:val="207"/>
        </w:trPr>
        <w:tc>
          <w:tcPr>
            <w:tcW w:w="20" w:type="dxa"/>
            <w:vAlign w:val="bottom"/>
            <w:shd w:val="clear" w:color="auto" w:fill="CCEEFF"/>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Businesses</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605,894</w:t>
            </w:r>
          </w:p>
        </w:tc>
      </w:tr>
      <w:tr>
        <w:trPr>
          <w:trHeight w:val="196"/>
        </w:trPr>
        <w:tc>
          <w:tcPr>
            <w:tcW w:w="20" w:type="dxa"/>
            <w:vAlign w:val="bottom"/>
            <w:tcBorders>
              <w:bottom w:val="single" w:sz="8" w:color="CCEEFF"/>
            </w:tcBorders>
          </w:tcPr>
          <w:p>
            <w:pPr>
              <w:spacing w:after="0"/>
              <w:rPr>
                <w:sz w:val="17"/>
                <w:szCs w:val="17"/>
                <w:color w:val="auto"/>
              </w:rPr>
            </w:pPr>
          </w:p>
        </w:tc>
        <w:tc>
          <w:tcPr>
            <w:tcW w:w="7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Brokered deposits</w:t>
            </w: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399,947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299,961</w:t>
            </w: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1,842,340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1,791,429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largest single deposit relationship at March 31, 2025 related to brokered deposits. The balance for this customer was $400.0 million, or approximately 10.71% of total deposits as of that date. At December 31, 2024, our largest single deposit relationship related to brokered deposits and had a balance of $300.0 million, or 8.43% of total deposits as of that date. As our demand deposits fluctuate, we have purchased brokered deposits as needed to supplement liquidity. We do not consider brokered deposits as core deposits, but as another deposit funding source for our loan growth.</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20 sets forth the maturity of time deposits as of March 31, 2025.</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20: Scheduled Maturities of Time Deposits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$250,000 or Greater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Less than $250,000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Uninsured Portion</w:t>
            </w:r>
          </w:p>
        </w:tc>
      </w:tr>
      <w:tr>
        <w:trPr>
          <w:trHeight w:val="192"/>
        </w:trPr>
        <w:tc>
          <w:tcPr>
            <w:tcW w:w="20" w:type="dxa"/>
            <w:vAlign w:val="bottom"/>
            <w:shd w:val="clear" w:color="auto" w:fill="CCEEFF"/>
          </w:tcPr>
          <w:p>
            <w:pPr>
              <w:spacing w:after="0"/>
              <w:rPr>
                <w:sz w:val="16"/>
                <w:szCs w:val="16"/>
                <w:color w:val="auto"/>
              </w:rPr>
            </w:pPr>
          </w:p>
        </w:tc>
        <w:tc>
          <w:tcPr>
            <w:tcW w:w="4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maturity:</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Three months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254,351</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316,505</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570,856</w:t>
            </w:r>
          </w:p>
        </w:tc>
        <w:tc>
          <w:tcPr>
            <w:tcW w:w="8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248,653</w:t>
            </w:r>
          </w:p>
        </w:tc>
      </w:tr>
      <w:tr>
        <w:trPr>
          <w:trHeight w:val="202"/>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three through six months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76,268</w:t>
            </w:r>
          </w:p>
        </w:tc>
      </w:tr>
      <w:tr>
        <w:trPr>
          <w:trHeight w:val="201"/>
        </w:trPr>
        <w:tc>
          <w:tcPr>
            <w:tcW w:w="20" w:type="dxa"/>
            <w:vAlign w:val="bottom"/>
          </w:tcPr>
          <w:p>
            <w:pPr>
              <w:spacing w:after="0"/>
              <w:rPr>
                <w:sz w:val="17"/>
                <w:szCs w:val="17"/>
                <w:color w:val="auto"/>
              </w:rPr>
            </w:pPr>
          </w:p>
        </w:tc>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Over six through twelve months</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32,956</w:t>
            </w:r>
          </w:p>
        </w:tc>
      </w:tr>
      <w:tr>
        <w:trPr>
          <w:trHeight w:val="202"/>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twelve months</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w:t>
            </w:r>
          </w:p>
        </w:tc>
      </w:tr>
      <w:tr>
        <w:trPr>
          <w:trHeight w:val="192"/>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376,237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425,149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801,386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359,539</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
        </w:trPr>
        <w:tc>
          <w:tcPr>
            <w:tcW w:w="20" w:type="dxa"/>
            <w:vAlign w:val="bottom"/>
            <w:tcBorders>
              <w:bottom w:val="single" w:sz="8" w:color="9A9A9A"/>
            </w:tcBorders>
          </w:tcPr>
          <w:p>
            <w:pPr>
              <w:spacing w:after="0"/>
              <w:rPr>
                <w:sz w:val="6"/>
                <w:szCs w:val="6"/>
                <w:color w:val="auto"/>
              </w:rPr>
            </w:pPr>
          </w:p>
        </w:tc>
        <w:tc>
          <w:tcPr>
            <w:tcW w:w="27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FHLB Advances and Other Borrowings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time to time, we utilize short-term collateralized FHLB borrowings to maintain adequate liquidity. There were no borrowings outstanding as of March 31, 2025 and December 31, 2024.</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2022, we issued subordinated notes of $75.0 million. This debt was issued to investors in private placement transactions. See Note 6, Subordinated Notes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21 is a summary of our outstanding subordinated notes as of March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21: Subordinated Notes Outstanding</w:t>
            </w: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 of Notes</w:t>
            </w:r>
          </w:p>
        </w:tc>
        <w:tc>
          <w:tcPr>
            <w:tcW w:w="1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Prepayment Right</w:t>
            </w:r>
          </w:p>
        </w:tc>
        <w:tc>
          <w:tcPr>
            <w:tcW w:w="8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192"/>
        </w:trPr>
        <w:tc>
          <w:tcPr>
            <w:tcW w:w="20" w:type="dxa"/>
            <w:vAlign w:val="bottom"/>
            <w:shd w:val="clear" w:color="auto" w:fill="CCEEFF"/>
          </w:tcPr>
          <w:p>
            <w:pPr>
              <w:spacing w:after="0"/>
              <w:rPr>
                <w:sz w:val="16"/>
                <w:szCs w:val="16"/>
                <w:color w:val="auto"/>
              </w:rPr>
            </w:pPr>
          </w:p>
        </w:tc>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2022</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August 17, 2027</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48195"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Fixed at 6.00% through September 1, 2027, then three-month Term SOFR plus 329.0 basis points (7.58% as of March 31, 2025) through maturity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Shareholders’ equity totaled $406.5 million at March 31, 2025 and $396.6 million at December 31, 2024. The increase in shareholders’ equity was primarily a result of net income recognized of $13.1 million and a $0.7 million increase in accumulated other comprehensive income, partially offset by $4.3 million in cash dividends paid during the three months ended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Management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4" w:name="page55"/>
    <w:bookmarkEnd w:id="54"/>
    <w:p>
      <w:pPr>
        <w:jc w:val="both"/>
        <w:spacing w:after="0" w:line="259" w:lineRule="auto"/>
        <w:rPr>
          <w:sz w:val="20"/>
          <w:szCs w:val="20"/>
          <w:color w:val="auto"/>
        </w:rPr>
      </w:pPr>
      <w:r>
        <w:rPr>
          <w:rFonts w:ascii="Times New Roman" w:cs="Times New Roman" w:eastAsia="Times New Roman" w:hAnsi="Times New Roman"/>
          <w:sz w:val="14"/>
          <w:szCs w:val="14"/>
          <w:color w:val="auto"/>
        </w:rPr>
        <w:t>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March 31, 2025, management believes the above-mentioned sources will provide adequate liquidity during the next twelve months for the Bank to meet its operating needs. In addition, in April 2024, the Company closed the 2024 Public Offering. The proceeds to the Company, after deducting underwriting discounts and commissions and offering expenses payable by the Company, were approximately $80.9 million, providing additional cash to support the Company’s ongoing operating needs.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2025, we had cash outflows of $86.4 million in loan originations and advances, net of principal collected, and $4.4 million in loans originated for sale.</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in the ordinary course of business, we enter into commitments to extend credit,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March 31, 2025, off-balance sheet commitments totaled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$389.5 million. We expect to fund these commitments to the extent utilized primarily through the repayment of existing loans, deposit growth, and liquid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Deposits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Deposits are our primary source of funding for our business operations, and the cost of deposits has a significant impact on our net interest income and net interest margin.</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2025, we had cash inflows of $178.4 million related to an increase in deposits.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twelve months following March 31, 2025, approximately $797.2 million of time deposits are expected to mature, which includes $399.9 million of brokered deposits.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cash and cash equivalents represented 12.11% of total deposits.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 Securities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investment securities totaled $99.7 million at March 31, 2025. Mortgage-backed securities and obligations of states and political subdivisions comprised 50.45% and 37.19%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$8.3 million from our securities over the twelve months following March 31, 2025. In future periods, we expect to maintain approximately the same level of cash flows from our securities. Depending on market yield and our liquidity, we may purchase securities as a use of cash in our interest-earning asset portfolio.</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we had cash proceeds from sales, maturities, calls, and prepayments of securities of $2.0 million. Additionally, at March 31, 2025, securities available-for-sale totaled $97.1 million, of which $94.0 million has been pledged as collateral for borrowings and other commitments.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FHLB Financing</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Bank is a shareholder of the FHLB, which enables the Bank to have access to lower-cost FHLB financing when necessary. At March 31, 2025, the Bank had no outstanding FHLB financing borrowings and a total financing availability of $544.6 million, net of letters of credit issued of $731.5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Reserve Discount Window</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the ability to borrow from the Federal Reserve Discount Window when necessary. At March 31, 2025, the Bank had no outstanding Federal Reserve Discount Window borrowings and a total financing availability of $856.4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Correspondent Bank Lines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the unused and available amount for borrowing from correspondent bank lines of credit was $175.0 million.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auto"/>
        </w:rPr>
        <w:t>Total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liquidity (consisting of cash and cash equivalents and unused and immediately available borrowing capacity as set forth in Table 22) was approximately $2.0 billion as of March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22: Total Liquidity</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Line of Credit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8"/>
              </w:rPr>
              <w:t>Letters of Credit Issued</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182"/>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1,276,072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544,572</w:t>
            </w:r>
          </w:p>
        </w:tc>
      </w:tr>
      <w:tr>
        <w:trPr>
          <w:trHeight w:val="180"/>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Discount Window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856,366</w:t>
            </w:r>
          </w:p>
        </w:tc>
      </w:tr>
      <w:tr>
        <w:trPr>
          <w:trHeight w:val="180"/>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Correspondent bank lines of credit</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r>
      <w:tr>
        <w:trPr>
          <w:trHeight w:val="180"/>
        </w:trPr>
        <w:tc>
          <w:tcPr>
            <w:tcW w:w="2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452,571</w:t>
            </w:r>
          </w:p>
        </w:tc>
      </w:tr>
      <w:tr>
        <w:trPr>
          <w:trHeight w:val="212"/>
        </w:trPr>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Future Contractual Obligations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estimated future contractual obligations as of March 31, 2025 include both current and long-term obligations. Under our operating leases, we have an operating lease liability of $6.6 million. We have a current obligation of $797.2 million and a long-term obligation of $4.2 million related to time deposits, as discussed in Note 5, Interest-Bearing Deposits. We have net subordinated notes of $73.9 million, all of which are long-term obligations. We also have contractual obligations on unfunded loan commitments and standby letters of credit totaling $389.5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use of liquidity for the Company is shareholder dividends. The Company paid dividends to its shareholders totaling $4.3 million during the three months ended March 31, 2025.</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2025 at a rate of $0.20 per share, our average total dividend paid each quarter would be approximately $4.3 million based on the number of currently outstanding shares if there are no increases or decreases in the number of shares, and given that unvested RSAs share equally in dividends with outstanding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Impact of Inflation</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6"/>
        </w:trPr>
        <w:tc>
          <w:tcPr>
            <w:tcW w:w="58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Historical Information</w:t>
            </w: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23 summarizes our consolidated cash flow activities.</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23: Consolidated Cash Flow Activities</w:t>
            </w:r>
          </w:p>
        </w:tc>
        <w:tc>
          <w:tcPr>
            <w:tcW w:w="3060" w:type="dxa"/>
            <w:vAlign w:val="bottom"/>
            <w:gridSpan w:val="4"/>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5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15,472</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(89,338)</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(77,415)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174,094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298,669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Activities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increased by $15.2 million for the three months ended March 31, 2025 compared to the three months ended March 31, 2024, primarily due to lower loans originated for sale, higher net change in interest payable and other liabilities, and a higher provision for credit losses. These sources of cash were partially offset by lower gross proceeds from sale of loans and lower net change in interest receivable and other assets. Cash provided by operating activities is subject to variability period-over-period as a result of timing differences, including with respect to the collection of receivables and payments of interest expense, accounts payable, and bonuses.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about our operating results, see “Results of Operations”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Investing Activities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increased by $77.4 million for the three months ended March 31, 2025 compared to the three months ended March 31, 2024, primarily due to higher originations of loans held for investment, net of repayments.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Financing Activities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(used in) financing activities increased by $298.7 million for the three months ended March 31, 2025 compared to the three months ended March 31, 2024, primarily due to an increase in deposits, partially offset by lower borrowings.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Adequacy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Bancorp and the Bank are subject to various regulatory capital requirements administered by the federal and state banking agencies. Failure to meet minimum capital requirements as set forth in Tables 24 and 25 can initiate certain mandatory and possibly additional discretionary actions by regulators that, if undertaken, could have a material effect on our unaudited consolidated financial statements</w:t>
      </w:r>
    </w:p>
    <w:p>
      <w:pPr>
        <w:spacing w:after="0" w:line="3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March 31, 2025, both Bancorp and the Bank were in compliance with all applicable regulatory capital requirements, and the Bank qualified as “well-capitalized” under the prompt corrective action framework.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8" w:name="page59"/>
    <w:bookmarkEnd w:id="58"/>
    <w:p>
      <w:pPr>
        <w:jc w:val="both"/>
        <w:spacing w:after="0" w:line="270" w:lineRule="auto"/>
        <w:rPr>
          <w:sz w:val="20"/>
          <w:szCs w:val="20"/>
          <w:color w:val="auto"/>
        </w:rPr>
      </w:pPr>
      <w:r>
        <w:rPr>
          <w:rFonts w:ascii="Times New Roman" w:cs="Times New Roman" w:eastAsia="Times New Roman" w:hAnsi="Times New Roman"/>
          <w:sz w:val="14"/>
          <w:szCs w:val="14"/>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capital adequacy ratios as of March 31, 2025 and December 31, 2024 for Bancorp and the Bank are presented in Tables 24 and 25. As of March 31, 2025 and December 31, 2024,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24: Capital Ratios for Bancorp</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24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r>
      <w:tr>
        <w:trPr>
          <w:trHeight w:val="208"/>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w w:val="99"/>
              </w:rPr>
              <w:t>Purposes</w:t>
            </w:r>
            <w:r>
              <w:rPr>
                <w:rFonts w:ascii="Times New Roman" w:cs="Times New Roman" w:eastAsia="Times New Roman" w:hAnsi="Times New Roman"/>
                <w:sz w:val="18"/>
                <w:szCs w:val="18"/>
                <w:b w:val="1"/>
                <w:bCs w:val="1"/>
                <w:color w:val="auto"/>
                <w:w w:val="99"/>
                <w:vertAlign w:val="superscript"/>
              </w:rPr>
              <w:t>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r>
      <w:tr>
        <w:trPr>
          <w:trHeight w:val="192"/>
        </w:trPr>
        <w:tc>
          <w:tcPr>
            <w:tcW w:w="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92"/>
        </w:trPr>
        <w:tc>
          <w:tcPr>
            <w:tcW w:w="20" w:type="dxa"/>
            <w:vAlign w:val="bottom"/>
            <w:shd w:val="clear" w:color="auto" w:fill="CCEEFF"/>
          </w:tcPr>
          <w:p>
            <w:pPr>
              <w:spacing w:after="0"/>
              <w:rPr>
                <w:sz w:val="16"/>
                <w:szCs w:val="16"/>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13.97 %</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417,586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6"/>
        </w:trPr>
        <w:tc>
          <w:tcPr>
            <w:tcW w:w="20" w:type="dxa"/>
            <w:vAlign w:val="bottom"/>
          </w:tcPr>
          <w:p>
            <w:pPr>
              <w:spacing w:after="0"/>
              <w:rPr>
                <w:sz w:val="17"/>
                <w:szCs w:val="17"/>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7"/>
                <w:szCs w:val="17"/>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207"/>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91"/>
        </w:trPr>
        <w:tc>
          <w:tcPr>
            <w:tcW w:w="20" w:type="dxa"/>
            <w:vAlign w:val="bottom"/>
          </w:tcPr>
          <w:p>
            <w:pPr>
              <w:spacing w:after="0"/>
              <w:rPr>
                <w:sz w:val="16"/>
                <w:szCs w:val="16"/>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10.05 %</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25: Capital Ratios for the Bank</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120" w:type="dxa"/>
            <w:vAlign w:val="bottom"/>
          </w:tcPr>
          <w:p>
            <w:pPr>
              <w:spacing w:after="0"/>
              <w:rPr>
                <w:sz w:val="15"/>
                <w:szCs w:val="15"/>
                <w:color w:val="auto"/>
              </w:rPr>
            </w:pPr>
          </w:p>
        </w:tc>
        <w:tc>
          <w:tcPr>
            <w:tcW w:w="238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r>
      <w:tr>
        <w:trPr>
          <w:trHeight w:val="211"/>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5"/>
              </w:rPr>
              <w:t>Purposes</w:t>
            </w:r>
            <w:r>
              <w:rPr>
                <w:rFonts w:ascii="Times New Roman" w:cs="Times New Roman" w:eastAsia="Times New Roman" w:hAnsi="Times New Roman"/>
                <w:sz w:val="18"/>
                <w:szCs w:val="18"/>
                <w:b w:val="1"/>
                <w:bCs w:val="1"/>
                <w:color w:val="auto"/>
                <w:w w:val="95"/>
                <w:vertAlign w:val="superscript"/>
              </w:rPr>
              <w:t>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r>
      <w:tr>
        <w:trPr>
          <w:trHeight w:val="192"/>
        </w:trPr>
        <w:tc>
          <w:tcPr>
            <w:tcW w:w="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511,341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378,953</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303,162</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12.48 %</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246,319</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371,520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6"/>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207"/>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241,488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91"/>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r>
    </w:tbl>
    <w:p>
      <w:pPr>
        <w:spacing w:after="0" w:line="207" w:lineRule="exact"/>
        <w:rPr>
          <w:sz w:val="20"/>
          <w:szCs w:val="20"/>
          <w:color w:val="auto"/>
        </w:rPr>
      </w:pPr>
    </w:p>
    <w:p>
      <w:pPr>
        <w:ind w:left="260" w:hanging="255"/>
        <w:spacing w:after="0"/>
        <w:tabs>
          <w:tab w:leader="none" w:pos="26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listed capital adequacy ratios exclude capital conservation buffers.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Legislative and Regulatory Developments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September 17, 2024, the FDIC finalized changes to its Statement of Policy on Bank Merger Transactions (the “Policy Statement”), which outlines factors that the FDIC will consider when evaluating a proposed bank merger transaction. On March 3, 2025, the FDIC issued a proposal to rescind the Policy Statement.</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30, 2024, the FDIC issued a proposed rule that would revise the FDIC’s regulations governing the classification and treatment of brokered deposits. On March 3, 2025, the FDIC withdrew the proposed rule.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24, 2023, the federal banking agencies issued a final rule amending their regulations implementing the Community Reinvestment Act (“CRA”) to substantially revise how they evaluate an insured depository institution’s record of satisfying the credit needs of its entire communities, including low- and moderate-income individuals and neighborhoods. On March 28, 2025, the agencies announced their intent to issue a proposal to rescind the October 2023 final rule, and to reinstate the CRA framework that existed prior to the October 2023 final rule. The Bank received a rating of “Satisfactory” in its most recent performance evaluation, which was conducted using the CRA framework that existed prior to the October 2023 final rule.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Glossary of Acronyms, Abbreviations, and Terms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Annual Report on</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Company’s  Annual  Report  on  Form  10-K  for  the  year</w:t>
            </w:r>
          </w:p>
        </w:tc>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ended</w:t>
            </w:r>
          </w:p>
        </w:tc>
        <w:tc>
          <w:tcPr>
            <w:tcW w:w="4560" w:type="dxa"/>
            <w:vAlign w:val="bottom"/>
            <w:shd w:val="clear" w:color="auto" w:fill="CCEEFF"/>
          </w:tcPr>
          <w:p>
            <w:pPr>
              <w:spacing w:after="0"/>
              <w:rPr>
                <w:sz w:val="13"/>
                <w:szCs w:val="13"/>
                <w:color w:val="auto"/>
              </w:rPr>
            </w:pPr>
          </w:p>
        </w:tc>
      </w:tr>
      <w:tr>
        <w:trPr>
          <w:trHeight w:val="19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 10-K</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2024</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FHLB</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Federal Home Loan Bank of San Francisco</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FHLMC</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Federal Home Loan Mortgage Corporation</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FNMA</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Federal National Mortgage Association</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Accounting Standards Update</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GAAP</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Bancorp</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Five Star Bancorp and its subsidiary</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GNMA</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Government National Mortgage Association</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Five Star Bank</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GSE</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Government Sponsored Entity</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Basel III</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 capital framework and rules for U.S. banking organizations</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IPO</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Initial Public Offering</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BOLI</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Bank-Owned Life Insurance</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LM</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Loan modification made to borrower experiencing financial difficulty</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CECL</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Expected Credit Loss</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NI</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Income</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CME</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Chicago Mercantile Exchange</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NII</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Interest Income</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OCI</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Comprehensive Income</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RSA</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Restricted Stock Award</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EPS</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per Share</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ROAA</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Return on Average Assets, annualized</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Economic Value of Equity</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ROAE</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Return on Average Equity, annualized</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ROUA</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Right-of-Use Asset</w:t>
            </w:r>
          </w:p>
        </w:tc>
      </w:tr>
      <w:tr>
        <w:trPr>
          <w:trHeight w:val="180"/>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SBA</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U.S. Small Business Administration</w:t>
            </w:r>
          </w:p>
        </w:tc>
      </w:tr>
      <w:tr>
        <w:trPr>
          <w:trHeight w:val="18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c>
          <w:tcPr>
            <w:tcW w:w="1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w:t>
            </w:r>
          </w:p>
        </w:tc>
        <w:tc>
          <w:tcPr>
            <w:tcW w:w="4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4"/>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FFIEC</w:t>
            </w:r>
          </w:p>
        </w:tc>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Federal Financial Institutions Examination Council</w:t>
            </w: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SOFR</w:t>
            </w:r>
          </w:p>
        </w:tc>
        <w:tc>
          <w:tcPr>
            <w:tcW w:w="45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707"/>
        </w:trPr>
        <w:tc>
          <w:tcPr>
            <w:tcW w:w="1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58</w:t>
            </w:r>
          </w:p>
        </w:tc>
        <w:tc>
          <w:tcPr>
            <w:tcW w:w="4560" w:type="dxa"/>
            <w:vAlign w:val="bottom"/>
          </w:tcPr>
          <w:p>
            <w:pPr>
              <w:spacing w:after="0"/>
              <w:rPr>
                <w:sz w:val="24"/>
                <w:szCs w:val="24"/>
                <w:color w:val="auto"/>
              </w:rPr>
            </w:pPr>
          </w:p>
        </w:tc>
      </w:tr>
      <w:tr>
        <w:trPr>
          <w:trHeight w:val="87"/>
        </w:trPr>
        <w:tc>
          <w:tcPr>
            <w:tcW w:w="140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total interest income was $57.1 million for the three months ended March 31, 2025 and $207.0 million for the year ended December 31, 2024. Our total interest expense was $23.1 million for the three months ended March 31, 2025 and $87.2 million for the year ended December 31, 2024. Overall, our net interest income was $34.0 million for the three months ended March 31, 2025 and $119.7 million for the year ended December 31, 2024.</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March 31, 2025, the Company carried a slightly higher balance of liabilities than assets that will reprice within the next twelve months in the event that interest rates fall.</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As of March 31, 2025, the overnight Federal Funds rate (the rate used in the interest rate shock scenarios listed below) was 4.33%, remaining constant from December 31, 2024. The scenarios presented assume that interest rates change instantaneously (“shock”) and that there are no significant changes in the structure of the Company’s balance sheet over the twelve months being measured.</w:t>
      </w:r>
    </w:p>
    <w:p>
      <w:pPr>
        <w:spacing w:after="0" w:line="3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Table 26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March 31, 2025 and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Table 26: Estimated Effect on Net Interest Income and EVE from Changing Interest Rates</w:t>
            </w:r>
          </w:p>
        </w:tc>
        <w:tc>
          <w:tcPr>
            <w:tcW w:w="380" w:type="dxa"/>
            <w:vAlign w:val="bottom"/>
            <w:gridSpan w:val="2"/>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auto"/>
            </w:tcBorders>
            <w:gridSpan w:val="4"/>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3820" w:type="dxa"/>
            <w:vAlign w:val="bottom"/>
            <w:tcBorders>
              <w:bottom w:val="single" w:sz="8" w:color="auto"/>
            </w:tcBorders>
            <w:gridSpan w:val="3"/>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88"/>
        </w:trPr>
        <w:tc>
          <w:tcPr>
            <w:tcW w:w="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80" w:type="dxa"/>
            <w:vAlign w:val="bottom"/>
          </w:tcPr>
          <w:p>
            <w:pPr>
              <w:spacing w:after="0"/>
              <w:rPr>
                <w:sz w:val="24"/>
                <w:szCs w:val="24"/>
                <w:color w:val="auto"/>
              </w:rPr>
            </w:pPr>
          </w:p>
        </w:tc>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 Change in NII</w:t>
            </w: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 Change in EVE</w:t>
            </w: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 Change in NII</w:t>
            </w:r>
          </w:p>
        </w:tc>
        <w:tc>
          <w:tcPr>
            <w:tcW w:w="18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 Change in EVE</w:t>
            </w:r>
          </w:p>
        </w:tc>
      </w:tr>
      <w:tr>
        <w:trPr>
          <w:trHeight w:val="191"/>
        </w:trPr>
        <w:tc>
          <w:tcPr>
            <w:tcW w:w="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basis points)</w:t>
            </w:r>
          </w:p>
        </w:tc>
        <w:tc>
          <w:tcPr>
            <w:tcW w:w="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 of NII)</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(as % of EVE)</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(as % of NII)</w:t>
            </w:r>
          </w:p>
        </w:tc>
        <w:tc>
          <w:tcPr>
            <w:tcW w:w="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(as % of EVE)</w:t>
            </w:r>
          </w:p>
        </w:tc>
      </w:tr>
      <w:tr>
        <w:trPr>
          <w:trHeight w:val="192"/>
        </w:trPr>
        <w:tc>
          <w:tcPr>
            <w:tcW w:w="20" w:type="dxa"/>
            <w:vAlign w:val="bottom"/>
            <w:shd w:val="clear" w:color="auto" w:fill="CCEEFF"/>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196"/>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+200 (shock)</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207"/>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96"/>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+ 0 (flat)</w:t>
            </w:r>
          </w:p>
        </w:tc>
        <w:tc>
          <w:tcPr>
            <w:tcW w:w="80" w:type="dxa"/>
            <w:vAlign w:val="bottom"/>
          </w:tcPr>
          <w:p>
            <w:pPr>
              <w:spacing w:after="0"/>
              <w:rPr>
                <w:sz w:val="17"/>
                <w:szCs w:val="17"/>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7"/>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r>
      <w:tr>
        <w:trPr>
          <w:trHeight w:val="196"/>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-200 (shock)</w:t>
            </w:r>
          </w:p>
        </w:tc>
        <w:tc>
          <w:tcPr>
            <w:tcW w:w="1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4.29 %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5.87 %</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6.40 %</w:t>
            </w:r>
          </w:p>
        </w:tc>
      </w:tr>
      <w:tr>
        <w:trPr>
          <w:trHeight w:val="207"/>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(shock)</w:t>
            </w:r>
          </w:p>
        </w:tc>
        <w:tc>
          <w:tcPr>
            <w:tcW w:w="1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7.61 %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7.95 %</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10.12 %</w:t>
            </w:r>
          </w:p>
        </w:tc>
      </w:tr>
      <w:tr>
        <w:trPr>
          <w:trHeight w:val="71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2" w:name="page63"/>
    <w:bookmarkEnd w:id="62"/>
    <w:p>
      <w:pPr>
        <w:jc w:val="both"/>
        <w:spacing w:after="0" w:line="267" w:lineRule="auto"/>
        <w:rPr>
          <w:sz w:val="20"/>
          <w:szCs w:val="20"/>
          <w:color w:val="auto"/>
        </w:rPr>
      </w:pPr>
      <w:r>
        <w:rPr>
          <w:rFonts w:ascii="Times New Roman" w:cs="Times New Roman" w:eastAsia="Times New Roman" w:hAnsi="Times New Roman"/>
          <w:sz w:val="14"/>
          <w:szCs w:val="14"/>
          <w:color w:val="auto"/>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Evaluation of Disclosure Controls and Procedures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the effectiveness as of March 31, 2025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Changes in Internal Control over Financial Reporting</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(as such term is defined in Rule 13a-15(f) under the Exchange Act) that occurred during the three months ended March 31, 2025 that has materially affected, or is reasonably likely to materially affect, such controls.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under Item 1A of the Company’s 2024 Annual Report on Form 10-K,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ind w:right="8860" w:firstLine="5"/>
        <w:spacing w:after="0" w:line="506" w:lineRule="auto"/>
        <w:tabs>
          <w:tab w:leader="none" w:pos="18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 xml:space="preserve">Unregistered Sales of Equity Securities </w:t>
      </w:r>
      <w:r>
        <w:rPr>
          <w:rFonts w:ascii="Times New Roman" w:cs="Times New Roman" w:eastAsia="Times New Roman" w:hAnsi="Times New Roman"/>
          <w:sz w:val="14"/>
          <w:szCs w:val="14"/>
          <w:color w:val="auto"/>
        </w:rPr>
        <w:t>None.</w:t>
      </w:r>
    </w:p>
    <w:p>
      <w:pPr>
        <w:ind w:left="200" w:hanging="195"/>
        <w:spacing w:after="0"/>
        <w:tabs>
          <w:tab w:leader="none" w:pos="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9" w:lineRule="exact"/>
        <w:rPr>
          <w:sz w:val="20"/>
          <w:szCs w:val="20"/>
          <w:color w:val="auto"/>
        </w:rPr>
      </w:pPr>
    </w:p>
    <w:p>
      <w:pPr>
        <w:ind w:right="8980" w:firstLine="5"/>
        <w:spacing w:after="0" w:line="504" w:lineRule="auto"/>
        <w:tabs>
          <w:tab w:leader="none" w:pos="18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 xml:space="preserve">Issuer Purchases of Equity Securities </w:t>
      </w:r>
      <w:r>
        <w:rPr>
          <w:rFonts w:ascii="Times New Roman" w:cs="Times New Roman" w:eastAsia="Times New Roman" w:hAnsi="Times New Roman"/>
          <w:sz w:val="14"/>
          <w:szCs w:val="14"/>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6"/>
        </w:trPr>
        <w:tc>
          <w:tcPr>
            <w:tcW w:w="60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0"/>
        </w:trPr>
        <w:tc>
          <w:tcPr>
            <w:tcW w:w="7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exhibits are filed as part of this report or hereby incorporated by references to filings previously made with the SEC.</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4"/>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153"/>
        </w:trPr>
        <w:tc>
          <w:tcPr>
            <w:tcW w:w="10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2"/>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80" w:type="dxa"/>
            <w:vAlign w:val="bottom"/>
            <w:tcBorders>
              <w:bottom w:val="single" w:sz="8" w:color="auto"/>
            </w:tcBorders>
            <w:gridSpan w:val="7"/>
          </w:tcPr>
          <w:p>
            <w:pPr>
              <w:ind w:left="18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155"/>
        </w:trPr>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4980" w:type="dxa"/>
            <w:vAlign w:val="bottom"/>
            <w:gridSpan w:val="7"/>
          </w:tcPr>
          <w:p>
            <w:pPr>
              <w:spacing w:after="0" w:line="155" w:lineRule="exact"/>
              <w:rPr>
                <w:sz w:val="20"/>
                <w:szCs w:val="20"/>
                <w:color w:val="auto"/>
              </w:rPr>
            </w:pPr>
            <w:r>
              <w:rPr>
                <w:rFonts w:ascii="Times New Roman" w:cs="Times New Roman" w:eastAsia="Times New Roman" w:hAnsi="Times New Roman"/>
                <w:sz w:val="14"/>
                <w:szCs w:val="14"/>
                <w:color w:val="0000FF"/>
              </w:rPr>
              <w:t>Second Amended and Restated Bylaws of Five Star Bancorp</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Filed</w:t>
            </w:r>
          </w:p>
        </w:tc>
      </w:tr>
      <w:tr>
        <w:trPr>
          <w:trHeight w:val="20"/>
        </w:trPr>
        <w:tc>
          <w:tcPr>
            <w:tcW w:w="102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49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13a-14(a)/15d-14(a), as</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 of 2002</w:t>
            </w:r>
          </w:p>
        </w:tc>
        <w:tc>
          <w:tcPr>
            <w:tcW w:w="10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49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13a-14(a)/15d-14(a), as</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 of 2002</w:t>
            </w:r>
          </w:p>
        </w:tc>
        <w:tc>
          <w:tcPr>
            <w:tcW w:w="108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49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1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2"/>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4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39"/>
        </w:trPr>
        <w:tc>
          <w:tcPr>
            <w:tcW w:w="1020" w:type="dxa"/>
            <w:vAlign w:val="bottom"/>
          </w:tcPr>
          <w:p>
            <w:pPr>
              <w:spacing w:after="0"/>
              <w:rPr>
                <w:sz w:val="12"/>
                <w:szCs w:val="12"/>
                <w:color w:val="auto"/>
              </w:rPr>
            </w:pPr>
          </w:p>
        </w:tc>
        <w:tc>
          <w:tcPr>
            <w:tcW w:w="3840" w:type="dxa"/>
            <w:vAlign w:val="bottom"/>
            <w:tcBorders>
              <w:bottom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140" w:type="dxa"/>
            <w:vAlign w:val="bottom"/>
            <w:gridSpan w:val="5"/>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4"/>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49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Interactive Data</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7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49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 in</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w:t>
            </w:r>
          </w:p>
        </w:tc>
      </w:tr>
      <w:tr>
        <w:trPr>
          <w:trHeight w:val="184"/>
        </w:trPr>
        <w:tc>
          <w:tcPr>
            <w:tcW w:w="1020" w:type="dxa"/>
            <w:vAlign w:val="bottom"/>
          </w:tcPr>
          <w:p>
            <w:pPr>
              <w:spacing w:after="0"/>
              <w:rPr>
                <w:sz w:val="16"/>
                <w:szCs w:val="16"/>
                <w:color w:val="auto"/>
              </w:rPr>
            </w:pPr>
          </w:p>
        </w:tc>
        <w:tc>
          <w:tcPr>
            <w:tcW w:w="49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Exhibit 101)</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176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Five Star Bancorp</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(registrant)</w:t>
            </w:r>
          </w:p>
        </w:tc>
      </w:tr>
      <w:tr>
        <w:trPr>
          <w:trHeight w:val="4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1880" w:type="dxa"/>
            <w:vAlign w:val="bottom"/>
          </w:tcPr>
          <w:p>
            <w:pPr>
              <w:spacing w:after="0"/>
              <w:rPr>
                <w:sz w:val="24"/>
                <w:szCs w:val="24"/>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187"/>
        </w:trPr>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88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19"/>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1880" w:type="dxa"/>
            <w:vAlign w:val="bottom"/>
          </w:tcPr>
          <w:p>
            <w:pPr>
              <w:spacing w:after="0"/>
              <w:rPr>
                <w:sz w:val="24"/>
                <w:szCs w:val="24"/>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Heather C. Luck</w:t>
            </w:r>
          </w:p>
        </w:tc>
      </w:tr>
      <w:tr>
        <w:trPr>
          <w:trHeight w:val="187"/>
        </w:trPr>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88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Heather C. Luck</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&amp;</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2"/>
        </w:trPr>
        <w:tc>
          <w:tcPr>
            <w:tcW w:w="3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721"/>
        </w:trPr>
        <w:tc>
          <w:tcPr>
            <w:tcW w:w="3500" w:type="dxa"/>
            <w:vAlign w:val="bottom"/>
          </w:tcPr>
          <w:p>
            <w:pPr>
              <w:spacing w:after="0"/>
              <w:rPr>
                <w:sz w:val="24"/>
                <w:szCs w:val="24"/>
                <w:color w:val="auto"/>
              </w:rPr>
            </w:pPr>
          </w:p>
        </w:tc>
        <w:tc>
          <w:tcPr>
            <w:tcW w:w="188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rPr>
              <w:t>63</w:t>
            </w:r>
          </w:p>
        </w:tc>
        <w:tc>
          <w:tcPr>
            <w:tcW w:w="4140" w:type="dxa"/>
            <w:vAlign w:val="bottom"/>
          </w:tcPr>
          <w:p>
            <w:pPr>
              <w:spacing w:after="0"/>
              <w:rPr>
                <w:sz w:val="24"/>
                <w:szCs w:val="24"/>
                <w:color w:val="auto"/>
              </w:rPr>
            </w:pPr>
          </w:p>
        </w:tc>
      </w:tr>
    </w:tbl>
    <w:p>
      <w:pPr>
        <w:sectPr>
          <w:pgSz w:w="11900" w:h="16838" w:orient="portrait"/>
          <w:cols w:equalWidth="0" w:num="1">
            <w:col w:w="11280"/>
          </w:cols>
          <w:pgMar w:left="300" w:top="929" w:right="319" w:bottom="1440"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James E. Beckwith, certify that:</w:t>
      </w:r>
    </w:p>
    <w:p>
      <w:pPr>
        <w:spacing w:after="0" w:line="179"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Five Star Bancorp (the “Registrant”);</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May 8,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Chief Executive Officer</w:t>
            </w:r>
          </w:p>
        </w:tc>
      </w:tr>
    </w:tbl>
    <w:p>
      <w:pPr>
        <w:sectPr>
          <w:pgSz w:w="11900" w:h="16838" w:orient="portrait"/>
          <w:cols w:equalWidth="0" w:num="1">
            <w:col w:w="11280"/>
          </w:cols>
          <w:pgMar w:left="300" w:top="929"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Heather C. Luck, certify that:</w:t>
      </w:r>
    </w:p>
    <w:p>
      <w:pPr>
        <w:spacing w:after="0" w:line="179"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Five Star Bancorp (the “Registrant”);</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May 8,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Heather C. Luck</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Heather C. Luck</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&amp; Chief Financial Officer</w:t>
            </w:r>
          </w:p>
        </w:tc>
      </w:tr>
    </w:tbl>
    <w:p>
      <w:pPr>
        <w:sectPr>
          <w:pgSz w:w="11900" w:h="16838" w:orient="portrait"/>
          <w:cols w:equalWidth="0" w:num="1">
            <w:col w:w="11280"/>
          </w:cols>
          <w:pgMar w:left="300" w:top="929"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3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Five Star Bancorp (the “Company”) for the period ended March 31, 2025,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May 8,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President &amp; Chief Executive Officer</w:t>
            </w:r>
          </w:p>
        </w:tc>
      </w:tr>
    </w:tbl>
    <w:p>
      <w:pPr>
        <w:sectPr>
          <w:pgSz w:w="11900" w:h="16838" w:orient="portrait"/>
          <w:cols w:equalWidth="0" w:num="1">
            <w:col w:w="11280"/>
          </w:cols>
          <w:pgMar w:left="300" w:top="759"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3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Five Star Bancorp (the “Company”) for the period ended March 31, 2025, as filed with the Securities and Exchange Commission on the date hereof (the “Report”), I, Heather C. Luck, Executive Vice President &amp; Chief Financial Officer of the Company, hereby certify pursuant to 18 U.S.C. Section 1350, as adopted pursuant to Section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rPr>
              <w:t>May 8, 2025</w:t>
            </w:r>
          </w:p>
        </w:tc>
        <w:tc>
          <w:tcPr>
            <w:tcW w:w="5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Heather C. Luck</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r>
      <w:tr>
        <w:trPr>
          <w:trHeight w:val="175"/>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116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Heather C. Luck</w:t>
            </w:r>
          </w:p>
        </w:tc>
      </w:tr>
      <w:tr>
        <w:trPr>
          <w:trHeight w:val="198"/>
        </w:trPr>
        <w:tc>
          <w:tcPr>
            <w:tcW w:w="5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&amp; Chief Financial Officer</w:t>
            </w:r>
          </w:p>
        </w:tc>
      </w:tr>
    </w:tbl>
    <w:p>
      <w:pPr>
        <w:spacing w:after="0" w:line="1" w:lineRule="exact"/>
        <w:rPr>
          <w:sz w:val="20"/>
          <w:szCs w:val="20"/>
          <w:color w:val="auto"/>
        </w:rPr>
      </w:pP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7"/>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2"/>
      <w:numFmt w:val="bullet"/>
      <w:start w:val="1"/>
    </w:lvl>
  </w:abstractNum>
  <w:abstractNum w:abstractNumId="9">
    <w:nsid w:val="6B68079A"/>
    <w:multiLevelType w:val="hybridMultilevel"/>
    <w:lvl w:ilvl="0">
      <w:lvlJc w:val="left"/>
      <w:lvlText w:val="3"/>
      <w:numFmt w:val="bullet"/>
      <w:start w:val="1"/>
    </w:lvl>
  </w:abstractNum>
  <w:abstractNum w:abstractNumId="10">
    <w:nsid w:val="4E6AFB66"/>
    <w:multiLevelType w:val="hybridMultilevel"/>
    <w:lvl w:ilvl="0">
      <w:lvlJc w:val="left"/>
      <w:lvlText w:val="4"/>
      <w:numFmt w:val="bullet"/>
      <w:start w:val="1"/>
    </w:lvl>
  </w:abstractNum>
  <w:abstractNum w:abstractNumId="11">
    <w:nsid w:val="25E45D32"/>
    <w:multiLevelType w:val="hybridMultilevel"/>
    <w:lvl w:ilvl="0">
      <w:lvlJc w:val="left"/>
      <w:lvlText w:val="5"/>
      <w:numFmt w:val="bullet"/>
      <w:start w:val="1"/>
    </w:lvl>
  </w:abstractNum>
  <w:abstractNum w:abstractNumId="12">
    <w:nsid w:val="519B500D"/>
    <w:multiLevelType w:val="hybridMultilevel"/>
    <w:lvl w:ilvl="0">
      <w:lvlJc w:val="left"/>
      <w:lvlText w:val="6"/>
      <w:numFmt w:val="bullet"/>
      <w:start w:val="1"/>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1"/>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2025-05-08T13:33:04Z</dcterms:created>
  <dcterms:modified xsi:type="dcterms:W3CDTF">2025-05-08T13:33:04Z</dcterms:modified>
</cp:coreProperties>
</file>