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99"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_________ to 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001-40379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FIVE STAR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2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6"/>
              </w:rPr>
              <w:t>California</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60" w:type="dxa"/>
            <w:vAlign w:val="bottom"/>
            <w:gridSpan w:val="2"/>
          </w:tcPr>
          <w:p>
            <w:pPr>
              <w:jc w:val="right"/>
              <w:ind w:right="1830"/>
              <w:spacing w:after="0"/>
              <w:rPr>
                <w:sz w:val="20"/>
                <w:szCs w:val="20"/>
                <w:color w:val="auto"/>
              </w:rPr>
            </w:pPr>
            <w:r>
              <w:rPr>
                <w:rFonts w:ascii="Arial" w:cs="Arial" w:eastAsia="Arial" w:hAnsi="Arial"/>
                <w:sz w:val="18"/>
                <w:szCs w:val="18"/>
                <w:b w:val="1"/>
                <w:bCs w:val="1"/>
                <w:color w:val="auto"/>
              </w:rPr>
              <w:t>75-3100966</w:t>
            </w:r>
          </w:p>
        </w:tc>
      </w:tr>
      <w:tr>
        <w:trPr>
          <w:trHeight w:val="216"/>
        </w:trPr>
        <w:tc>
          <w:tcPr>
            <w:tcW w:w="6200" w:type="dxa"/>
            <w:vAlign w:val="bottom"/>
            <w:gridSpan w:val="5"/>
          </w:tcPr>
          <w:p>
            <w:pPr>
              <w:jc w:val="center"/>
              <w:ind w:right="140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16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216"/>
        </w:trPr>
        <w:tc>
          <w:tcPr>
            <w:tcW w:w="1000" w:type="dxa"/>
            <w:vAlign w:val="bottom"/>
          </w:tcPr>
          <w:p>
            <w:pPr>
              <w:spacing w:after="0"/>
              <w:rPr>
                <w:sz w:val="18"/>
                <w:szCs w:val="18"/>
                <w:color w:val="auto"/>
              </w:rPr>
            </w:pPr>
          </w:p>
        </w:tc>
        <w:tc>
          <w:tcPr>
            <w:tcW w:w="326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1"/>
              </w:rPr>
              <w:t>3100 Zinfandel Drive, Suite 100</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6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1"/>
              </w:rPr>
              <w:t>Rancho Cordova, California</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60" w:type="dxa"/>
            <w:vAlign w:val="bottom"/>
            <w:gridSpan w:val="2"/>
          </w:tcPr>
          <w:p>
            <w:pPr>
              <w:jc w:val="right"/>
              <w:ind w:right="2030"/>
              <w:spacing w:after="0"/>
              <w:rPr>
                <w:sz w:val="20"/>
                <w:szCs w:val="20"/>
                <w:color w:val="auto"/>
              </w:rPr>
            </w:pPr>
            <w:r>
              <w:rPr>
                <w:rFonts w:ascii="Arial" w:cs="Arial" w:eastAsia="Arial" w:hAnsi="Arial"/>
                <w:sz w:val="18"/>
                <w:szCs w:val="18"/>
                <w:b w:val="1"/>
                <w:bCs w:val="1"/>
                <w:color w:val="auto"/>
              </w:rPr>
              <w:t>95670</w:t>
            </w:r>
          </w:p>
        </w:tc>
      </w:tr>
      <w:tr>
        <w:trPr>
          <w:trHeight w:val="234"/>
        </w:trPr>
        <w:tc>
          <w:tcPr>
            <w:tcW w:w="42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2"/>
              </w:rPr>
              <w:t>(Zip Code)</w:t>
            </w:r>
          </w:p>
        </w:tc>
      </w:tr>
      <w:tr>
        <w:trPr>
          <w:trHeight w:val="346"/>
        </w:trPr>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(916) 626-5000</w:t>
            </w:r>
          </w:p>
        </w:tc>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360" w:type="dxa"/>
            <w:vAlign w:val="bottom"/>
            <w:gridSpan w:val="5"/>
          </w:tcPr>
          <w:p>
            <w:pPr>
              <w:jc w:val="center"/>
              <w:ind w:right="18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234"/>
        </w:trPr>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360" w:type="dxa"/>
            <w:vAlign w:val="bottom"/>
            <w:gridSpan w:val="5"/>
          </w:tcPr>
          <w:p>
            <w:pPr>
              <w:jc w:val="center"/>
              <w:ind w:right="18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24"/>
        </w:trPr>
        <w:tc>
          <w:tcPr>
            <w:tcW w:w="1000" w:type="dxa"/>
            <w:vAlign w:val="bottom"/>
          </w:tcPr>
          <w:p>
            <w:pPr>
              <w:spacing w:after="0"/>
              <w:rPr>
                <w:sz w:val="24"/>
                <w:szCs w:val="24"/>
                <w:color w:val="auto"/>
              </w:rPr>
            </w:pPr>
          </w:p>
        </w:tc>
        <w:tc>
          <w:tcPr>
            <w:tcW w:w="326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89"/>
              </w:rPr>
              <w:t>Title of Class</w:t>
            </w:r>
          </w:p>
        </w:tc>
        <w:tc>
          <w:tcPr>
            <w:tcW w:w="19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1"/>
              </w:rPr>
              <w:t>Trading Symbol(s)</w:t>
            </w:r>
          </w:p>
        </w:tc>
        <w:tc>
          <w:tcPr>
            <w:tcW w:w="82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53"/>
        </w:trPr>
        <w:tc>
          <w:tcPr>
            <w:tcW w:w="4260" w:type="dxa"/>
            <w:vAlign w:val="bottom"/>
            <w:gridSpan w:val="3"/>
          </w:tcPr>
          <w:p>
            <w:pPr>
              <w:jc w:val="center"/>
              <w:ind w:right="1170"/>
              <w:spacing w:after="0"/>
              <w:rPr>
                <w:sz w:val="20"/>
                <w:szCs w:val="20"/>
                <w:color w:val="auto"/>
              </w:rPr>
            </w:pPr>
            <w:r>
              <w:rPr>
                <w:rFonts w:ascii="Arial" w:cs="Arial" w:eastAsia="Arial" w:hAnsi="Arial"/>
                <w:sz w:val="18"/>
                <w:szCs w:val="18"/>
                <w:b w:val="1"/>
                <w:bCs w:val="1"/>
                <w:color w:val="auto"/>
                <w:w w:val="89"/>
              </w:rPr>
              <w:t>Common Stock, no par value per share</w:t>
            </w: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FSBC</w:t>
            </w:r>
          </w:p>
        </w:tc>
        <w:tc>
          <w:tcPr>
            <w:tcW w:w="8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1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o No x</w:t>
      </w:r>
    </w:p>
    <w:p>
      <w:pPr>
        <w:spacing w:after="0" w:line="11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60" w:type="dxa"/>
            <w:vAlign w:val="bottom"/>
          </w:tcPr>
          <w:p>
            <w:pPr>
              <w:ind w:left="700"/>
              <w:spacing w:after="0"/>
              <w:rPr>
                <w:sz w:val="20"/>
                <w:szCs w:val="20"/>
                <w:color w:val="auto"/>
              </w:rPr>
            </w:pPr>
            <w:r>
              <w:rPr>
                <w:rFonts w:ascii="Arial" w:cs="Arial" w:eastAsia="Arial" w:hAnsi="Arial"/>
                <w:sz w:val="18"/>
                <w:szCs w:val="18"/>
                <w:color w:val="auto"/>
              </w:rPr>
              <w:t>o</w:t>
            </w:r>
          </w:p>
        </w:tc>
        <w:tc>
          <w:tcPr>
            <w:tcW w:w="446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640"/>
              <w:spacing w:after="0"/>
              <w:rPr>
                <w:sz w:val="20"/>
                <w:szCs w:val="20"/>
                <w:color w:val="auto"/>
              </w:rPr>
            </w:pPr>
            <w:r>
              <w:rPr>
                <w:rFonts w:ascii="Arial" w:cs="Arial" w:eastAsia="Arial" w:hAnsi="Arial"/>
                <w:sz w:val="18"/>
                <w:szCs w:val="18"/>
                <w:color w:val="auto"/>
                <w:w w:val="79"/>
              </w:rPr>
              <w:t>o</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700"/>
              <w:spacing w:after="0"/>
              <w:rPr>
                <w:sz w:val="20"/>
                <w:szCs w:val="20"/>
                <w:color w:val="auto"/>
              </w:rPr>
            </w:pPr>
            <w:r>
              <w:rPr>
                <w:rFonts w:ascii="Arial" w:cs="Arial" w:eastAsia="Arial" w:hAnsi="Arial"/>
                <w:sz w:val="18"/>
                <w:szCs w:val="18"/>
                <w:color w:val="auto"/>
              </w:rPr>
              <w:t>x</w:t>
            </w:r>
          </w:p>
        </w:tc>
        <w:tc>
          <w:tcPr>
            <w:tcW w:w="4460" w:type="dxa"/>
            <w:vAlign w:val="bottom"/>
          </w:tcPr>
          <w:p>
            <w:pPr>
              <w:ind w:left="174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640"/>
              <w:spacing w:after="0"/>
              <w:rPr>
                <w:sz w:val="20"/>
                <w:szCs w:val="20"/>
                <w:color w:val="auto"/>
              </w:rPr>
            </w:pPr>
            <w:r>
              <w:rPr>
                <w:rFonts w:ascii="Arial" w:cs="Arial" w:eastAsia="Arial" w:hAnsi="Arial"/>
                <w:sz w:val="18"/>
                <w:szCs w:val="18"/>
                <w:color w:val="auto"/>
                <w:w w:val="88"/>
              </w:rPr>
              <w:t>x</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60" w:type="dxa"/>
            <w:vAlign w:val="bottom"/>
          </w:tcPr>
          <w:p>
            <w:pPr>
              <w:ind w:left="700"/>
              <w:spacing w:after="0"/>
              <w:rPr>
                <w:sz w:val="20"/>
                <w:szCs w:val="20"/>
                <w:color w:val="auto"/>
              </w:rPr>
            </w:pPr>
            <w:r>
              <w:rPr>
                <w:rFonts w:ascii="Arial" w:cs="Arial" w:eastAsia="Arial" w:hAnsi="Arial"/>
                <w:sz w:val="18"/>
                <w:szCs w:val="18"/>
                <w:color w:val="auto"/>
              </w:rPr>
              <w:t>x</w:t>
            </w:r>
          </w:p>
        </w:tc>
        <w:tc>
          <w:tcPr>
            <w:tcW w:w="4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9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1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common equity of the registrant held by non-affiliates as of June 30, 2021 was $300.6 million. As of February 22, 2022, the number of shares outstanding of the registrant’s common stock was 17,246,549.</w:t>
      </w:r>
    </w:p>
    <w:p>
      <w:pPr>
        <w:spacing w:after="0" w:line="5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for its 2022</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8"/>
          </w:tcPr>
          <w:p>
            <w:pPr>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196"/>
        </w:trPr>
        <w:tc>
          <w:tcPr>
            <w:tcW w:w="10060" w:type="dxa"/>
            <w:vAlign w:val="bottom"/>
            <w:gridSpan w:val="3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840" w:type="dxa"/>
            <w:vAlign w:val="bottom"/>
          </w:tcPr>
          <w:p>
            <w:pPr>
              <w:spacing w:after="0"/>
              <w:rPr>
                <w:sz w:val="17"/>
                <w:szCs w:val="17"/>
                <w:color w:val="auto"/>
              </w:rPr>
            </w:pPr>
          </w:p>
        </w:tc>
        <w:tc>
          <w:tcPr>
            <w:tcW w:w="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r>
      <w:tr>
        <w:trPr>
          <w:trHeight w:val="412"/>
        </w:trPr>
        <w:tc>
          <w:tcPr>
            <w:tcW w:w="1140" w:type="dxa"/>
            <w:vAlign w:val="bottom"/>
            <w:tcBorders>
              <w:top w:val="single" w:sz="8" w:color="0000EE"/>
            </w:tcBorders>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600" w:type="dxa"/>
            <w:vAlign w:val="bottom"/>
            <w:gridSpan w:val="5"/>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1A.</w:t>
              </w:r>
            </w:hyperlink>
          </w:p>
        </w:tc>
        <w:tc>
          <w:tcPr>
            <w:tcW w:w="480" w:type="dxa"/>
            <w:vAlign w:val="bottom"/>
            <w:gridSpan w:val="3"/>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1B.</w:t>
              </w:r>
            </w:hyperlink>
          </w:p>
        </w:tc>
        <w:tc>
          <w:tcPr>
            <w:tcW w:w="480" w:type="dxa"/>
            <w:vAlign w:val="bottom"/>
            <w:gridSpan w:val="3"/>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2.</w:t>
              </w:r>
            </w:hyperlink>
          </w:p>
        </w:tc>
        <w:tc>
          <w:tcPr>
            <w:tcW w:w="140" w:type="dxa"/>
            <w:vAlign w:val="bottom"/>
            <w:tcBorders>
              <w:top w:val="single" w:sz="8" w:color="0000EE"/>
            </w:tcBorders>
            <w:gridSpan w:val="3"/>
          </w:tcPr>
          <w:p>
            <w:pPr>
              <w:spacing w:after="0"/>
              <w:rPr>
                <w:sz w:val="17"/>
                <w:szCs w:val="17"/>
                <w:color w:val="auto"/>
              </w:rPr>
            </w:pPr>
          </w:p>
        </w:tc>
        <w:tc>
          <w:tcPr>
            <w:tcW w:w="480" w:type="dxa"/>
            <w:vAlign w:val="bottom"/>
            <w:gridSpan w:val="3"/>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6880" w:type="dxa"/>
            <w:vAlign w:val="bottom"/>
            <w:gridSpan w:val="14"/>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620" w:type="dxa"/>
            <w:vAlign w:val="bottom"/>
            <w:gridSpan w:val="6"/>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7580" w:type="dxa"/>
            <w:vAlign w:val="bottom"/>
            <w:gridSpan w:val="18"/>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620" w:type="dxa"/>
            <w:vAlign w:val="bottom"/>
            <w:gridSpan w:val="6"/>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Mine Safety Disclosures</w:t>
              </w:r>
            </w:hyperlink>
          </w:p>
        </w:tc>
        <w:tc>
          <w:tcPr>
            <w:tcW w:w="7140" w:type="dxa"/>
            <w:vAlign w:val="bottom"/>
            <w:gridSpan w:val="16"/>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412"/>
        </w:trPr>
        <w:tc>
          <w:tcPr>
            <w:tcW w:w="114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24"/>
                <w:szCs w:val="24"/>
                <w:color w:val="auto"/>
              </w:rPr>
            </w:pPr>
          </w:p>
        </w:tc>
        <w:tc>
          <w:tcPr>
            <w:tcW w:w="540" w:type="dxa"/>
            <w:vAlign w:val="bottom"/>
            <w:gridSpan w:val="4"/>
          </w:tcPr>
          <w:p>
            <w:pPr>
              <w:spacing w:after="0"/>
              <w:rPr>
                <w:sz w:val="24"/>
                <w:szCs w:val="24"/>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Market for Registrant’s Common Equity, Related Stockholder Matters and Issuer Purchases of Equity Securities</w:t>
              </w:r>
            </w:hyperlink>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7.</w:t>
              </w:r>
            </w:hyperlink>
          </w:p>
        </w:tc>
        <w:tc>
          <w:tcPr>
            <w:tcW w:w="620" w:type="dxa"/>
            <w:vAlign w:val="bottom"/>
            <w:gridSpan w:val="6"/>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460" w:type="dxa"/>
            <w:vAlign w:val="bottom"/>
            <w:gridSpan w:val="4"/>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7A.</w:t>
              </w:r>
            </w:hyperlink>
          </w:p>
        </w:tc>
        <w:tc>
          <w:tcPr>
            <w:tcW w:w="480" w:type="dxa"/>
            <w:vAlign w:val="bottom"/>
            <w:gridSpan w:val="3"/>
          </w:tcPr>
          <w:p>
            <w:pPr>
              <w:spacing w:after="0"/>
              <w:rPr>
                <w:sz w:val="17"/>
                <w:szCs w:val="17"/>
                <w:color w:val="auto"/>
              </w:rPr>
            </w:pPr>
          </w:p>
        </w:tc>
        <w:tc>
          <w:tcPr>
            <w:tcW w:w="8920" w:type="dxa"/>
            <w:vAlign w:val="bottom"/>
            <w:gridSpan w:val="2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 About Market Risk</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480" w:type="dxa"/>
            <w:vAlign w:val="bottom"/>
            <w:gridSpan w:val="3"/>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4640" w:type="dxa"/>
            <w:vAlign w:val="bottom"/>
            <w:gridSpan w:val="7"/>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Item 9.</w:t>
              </w:r>
            </w:hyperlink>
          </w:p>
        </w:tc>
        <w:tc>
          <w:tcPr>
            <w:tcW w:w="620" w:type="dxa"/>
            <w:vAlign w:val="bottom"/>
            <w:gridSpan w:val="6"/>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Changes in and Disagreements with Accountants on Accounting and Financial Disclosure</w:t>
              </w:r>
            </w:hyperlink>
          </w:p>
        </w:tc>
        <w:tc>
          <w:tcPr>
            <w:tcW w:w="2440" w:type="dxa"/>
            <w:vAlign w:val="bottom"/>
            <w:gridSpan w:val="3"/>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Item 9A.</w:t>
              </w:r>
            </w:hyperlink>
          </w:p>
        </w:tc>
        <w:tc>
          <w:tcPr>
            <w:tcW w:w="480" w:type="dxa"/>
            <w:vAlign w:val="bottom"/>
            <w:gridSpan w:val="3"/>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Controls and Procedures</w:t>
              </w:r>
            </w:hyperlink>
          </w:p>
        </w:tc>
        <w:tc>
          <w:tcPr>
            <w:tcW w:w="7140" w:type="dxa"/>
            <w:vAlign w:val="bottom"/>
            <w:gridSpan w:val="16"/>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Item 9B.</w:t>
              </w:r>
            </w:hyperlink>
          </w:p>
        </w:tc>
        <w:tc>
          <w:tcPr>
            <w:tcW w:w="480" w:type="dxa"/>
            <w:vAlign w:val="bottom"/>
            <w:gridSpan w:val="3"/>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Other Information</w:t>
              </w:r>
            </w:hyperlink>
          </w:p>
        </w:tc>
        <w:tc>
          <w:tcPr>
            <w:tcW w:w="7600" w:type="dxa"/>
            <w:vAlign w:val="bottom"/>
            <w:gridSpan w:val="19"/>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412"/>
        </w:trPr>
        <w:tc>
          <w:tcPr>
            <w:tcW w:w="114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412"/>
        </w:trPr>
        <w:tc>
          <w:tcPr>
            <w:tcW w:w="660" w:type="dxa"/>
            <w:vAlign w:val="bottom"/>
            <w:tcBorders>
              <w:top w:val="single" w:sz="8" w:color="0000EE"/>
            </w:tcBorders>
            <w:gridSpan w:val="4"/>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Item 10.</w:t>
              </w:r>
            </w:hyperlink>
          </w:p>
        </w:tc>
        <w:tc>
          <w:tcPr>
            <w:tcW w:w="480" w:type="dxa"/>
            <w:vAlign w:val="bottom"/>
            <w:gridSpan w:val="3"/>
          </w:tcPr>
          <w:p>
            <w:pPr>
              <w:spacing w:after="0"/>
              <w:rPr>
                <w:sz w:val="24"/>
                <w:szCs w:val="24"/>
                <w:color w:val="auto"/>
              </w:rPr>
            </w:pPr>
          </w:p>
        </w:tc>
        <w:tc>
          <w:tcPr>
            <w:tcW w:w="8920" w:type="dxa"/>
            <w:vAlign w:val="bottom"/>
            <w:gridSpan w:val="2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Directors, Executive Officers and Corporate Governance</w:t>
              </w:r>
            </w:hyperlink>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Item 11.</w:t>
              </w:r>
            </w:hyperlink>
          </w:p>
        </w:tc>
        <w:tc>
          <w:tcPr>
            <w:tcW w:w="8920" w:type="dxa"/>
            <w:vAlign w:val="bottom"/>
            <w:gridSpan w:val="2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Item 12.</w:t>
              </w:r>
            </w:hyperlink>
          </w:p>
        </w:tc>
        <w:tc>
          <w:tcPr>
            <w:tcW w:w="8920" w:type="dxa"/>
            <w:vAlign w:val="bottom"/>
            <w:gridSpan w:val="2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Security Ownership of Certain Beneficial Owners and Management and Related Shareholder Matters</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13.</w:t>
              </w:r>
            </w:hyperlink>
          </w:p>
        </w:tc>
        <w:tc>
          <w:tcPr>
            <w:tcW w:w="8920" w:type="dxa"/>
            <w:vAlign w:val="bottom"/>
            <w:gridSpan w:val="2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14.</w:t>
              </w:r>
            </w:hyperlink>
          </w:p>
        </w:tc>
        <w:tc>
          <w:tcPr>
            <w:tcW w:w="8920" w:type="dxa"/>
            <w:vAlign w:val="bottom"/>
            <w:gridSpan w:val="2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PART IV</w:t>
              </w:r>
            </w:hyperlink>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412"/>
        </w:trPr>
        <w:tc>
          <w:tcPr>
            <w:tcW w:w="114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15.</w:t>
              </w:r>
            </w:hyperlink>
          </w:p>
        </w:tc>
        <w:tc>
          <w:tcPr>
            <w:tcW w:w="892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Exhibits and Financial Statement Schedules</w:t>
              </w:r>
            </w:hyperlink>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114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Item 16.</w:t>
              </w:r>
            </w:hyperlink>
          </w:p>
        </w:tc>
        <w:tc>
          <w:tcPr>
            <w:tcW w:w="8920" w:type="dxa"/>
            <w:vAlign w:val="bottom"/>
            <w:gridSpan w:val="23"/>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Form 10-K Summary</w:t>
              </w:r>
            </w:hyperlink>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412"/>
        </w:trPr>
        <w:tc>
          <w:tcPr>
            <w:tcW w:w="1140" w:type="dxa"/>
            <w:vAlign w:val="bottom"/>
            <w:gridSpan w:val="7"/>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SIGNATURES</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85" w:lineRule="exact"/>
        <w:rPr>
          <w:sz w:val="20"/>
          <w:szCs w:val="20"/>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 including as a result of the coronavirus, and variants thereof, including the Delta and Omicron variants (“COVID-19”), pandemic;</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occurrence or impact of climate change, natural or man-made disasters or calamities, such as wildfires, droughts, and earthquakes;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impact of the COVID-19 pandemic on our business and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market interest rates that affect the pricing of our loans and deposits and our net interest income;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to satisfy minimum regulatory capital levels;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effects of increased competition from a wide variety of local, regional, national, and other providers of financial and investment services;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Board of Governors of the Federal Reserve System (the “Federal Reserve”);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800" w:hanging="401"/>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U.S. economy, including an economic slowdown, inflation, deflation, housing prices, employment levels, rate of growth, and general business conditions;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that are discussed in the sections entitled “Management’s Discussion and Analysis of Financial Condition and Results of Operations” and “Risk Factors.”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Headquartered in the greater Sacramento metropolitan area of California, Five Star Bancorp (“Bancorp” or the “Company”) is a bank holding company that operates through its wholly owned subsidiary, Five Star Bank (“Five Star” or the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www.fivestarbank.com. Information on our website should not be considered a part of this Annual Report on Form 10-K.</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provides a broad range of banking products and services to small and medium-sized businesses, professionals, and individuals primarily in Northern California through seven branch offices, two loan production offices, the Internet, and its mobile banking application. The Bank’s deposits are insured in whole or in part by the Federal Deposit Insurance Corporation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As of December 31, 2021, we had total assets of $2.6 billion, total loans, net of allowance for loan losses, of $1.9 billion, and total deposits of $2.3 billion.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the Company completed its initial public offering (“IPO”), in which the Company issued 6,054,750 shares of common stock, no par value, including 789,750 shares sold pursuant to the underwriters’ exercise of their option to purchase additional shares. The securities were sold to the public at a price of $20.00 per share and began trading on the Nasdaq Global Select Market on May 5, 2021 resulting in total net proceeds less other related expenses, including audit fees, legal fees, listing fees, and other expenses, of $109.1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IPO, the Company also terminated its status as a Subchapter S corporation as of May 5, 2021 and became a taxable C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or “Five Star”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primarily in the Northern California region. Our primary loan products are commercial real estate loans, commercial loans, commercial land and construction loans, and farmland loans. Our primary deposit products are money market accounts, non-interest-bearing accounts, and interest checking accounts.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Sacramento Area has increased significantly, according to the FDIC Deposit Market Share Reports. We believe that our market growth confirms the quality of the purpose-driven and integrity-centered banking that we strive to deliver to our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a significant amount of Small Business Administration (“SBA”) loans to customers nationwide. To a lesser extent, we also offer residential real estate and construction loans and consumer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u w:val="single" w:color="auto"/>
          <w:color w:val="auto"/>
        </w:rPr>
        <w:t>Commercial real estate loans</w:t>
      </w:r>
      <w:r>
        <w:rPr>
          <w:rFonts w:ascii="Arial" w:cs="Arial" w:eastAsia="Arial" w:hAnsi="Arial"/>
          <w:sz w:val="16"/>
          <w:szCs w:val="16"/>
          <w:color w:val="auto"/>
        </w:rPr>
        <w:t>: As of December 31, 2021, we had $1.6 billion in total commercial real estate loans, representing 81.48% of total loans.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Commercial loans</w:t>
      </w:r>
      <w:r>
        <w:rPr>
          <w:rFonts w:ascii="Arial" w:cs="Arial" w:eastAsia="Arial" w:hAnsi="Arial"/>
          <w:sz w:val="18"/>
          <w:szCs w:val="18"/>
          <w:color w:val="auto"/>
        </w:rPr>
        <w:t>: As of December 31, 2021, we had $180.3 million in commercial loans, representing 9.26% of total loans.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92"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i w:val="1"/>
          <w:iCs w:val="1"/>
          <w:u w:val="single" w:color="auto"/>
          <w:color w:val="auto"/>
        </w:rPr>
        <w:t>SBA loans</w:t>
      </w:r>
      <w:r>
        <w:rPr>
          <w:rFonts w:ascii="Arial" w:cs="Arial" w:eastAsia="Arial" w:hAnsi="Arial"/>
          <w:sz w:val="17"/>
          <w:szCs w:val="17"/>
          <w:color w:val="auto"/>
        </w:rPr>
        <w:t>: As of December 31, 2021, our total commercial SBA portfolio held for investment, excluding Paycheck Protection Program (“PPP”)</w:t>
      </w:r>
      <w:r>
        <w:rPr>
          <w:rFonts w:ascii="Arial" w:cs="Arial" w:eastAsia="Arial" w:hAnsi="Arial"/>
          <w:sz w:val="17"/>
          <w:szCs w:val="17"/>
          <w:i w:val="1"/>
          <w:iCs w:val="1"/>
          <w:color w:val="auto"/>
        </w:rPr>
        <w:t xml:space="preserve"> </w:t>
      </w:r>
      <w:r>
        <w:rPr>
          <w:rFonts w:ascii="Arial" w:cs="Arial" w:eastAsia="Arial" w:hAnsi="Arial"/>
          <w:sz w:val="17"/>
          <w:szCs w:val="17"/>
          <w:color w:val="auto"/>
        </w:rPr>
        <w:t>loans, was $48.0 million, representing 2.48% of total loans held for investment. In 2021, we sold 169 SBA loans, excluding PPP loans, with government guaranteed portions totaling $41.4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Pursuant to the Consolidated Appropriations Act, 2021 (the “Consolidated Appropriations Act”), the SBA guaranteed 90% of the principal amount of each qualifying SBA loan originated under the SBA’s 7(a) loan program (excluding PPP loans) through October 1, 2021. The SBA presently guarantees 75% to 90% of the principal amount of qualifying loans originated under the 7(a) loan program (excluding PPP loans). The guarantee is conditional and covers a portion of the risk of payment default by the borrower, but not the risk of improper closing and servicing by the lender. As such, prudent underwriting and closing processes are essential to effective utilization of the 7(a) program. We typically sell in the secondary market the SBA-guaranteed portion of the SBA loans we originate.</w:t>
      </w:r>
    </w:p>
    <w:p>
      <w:pPr>
        <w:spacing w:after="0" w:line="141" w:lineRule="exact"/>
        <w:rPr>
          <w:sz w:val="20"/>
          <w:szCs w:val="20"/>
          <w:color w:val="auto"/>
        </w:rPr>
      </w:pPr>
    </w:p>
    <w:p>
      <w:pPr>
        <w:jc w:val="both"/>
        <w:ind w:left="660" w:hanging="4"/>
        <w:spacing w:after="0" w:line="268" w:lineRule="auto"/>
        <w:tabs>
          <w:tab w:leader="none" w:pos="1031" w:val="left"/>
        </w:tabs>
        <w:numPr>
          <w:ilvl w:val="0"/>
          <w:numId w:val="3"/>
        </w:numPr>
        <w:rPr>
          <w:rFonts w:ascii="Arial" w:cs="Arial" w:eastAsia="Arial" w:hAnsi="Arial"/>
          <w:sz w:val="17"/>
          <w:szCs w:val="17"/>
          <w:i w:val="1"/>
          <w:iCs w:val="1"/>
          <w:u w:val="single" w:color="auto"/>
          <w:color w:val="auto"/>
        </w:rPr>
      </w:pPr>
      <w:r>
        <w:rPr>
          <w:rFonts w:ascii="Arial" w:cs="Arial" w:eastAsia="Arial" w:hAnsi="Arial"/>
          <w:sz w:val="17"/>
          <w:szCs w:val="17"/>
          <w:i w:val="1"/>
          <w:iCs w:val="1"/>
          <w:u w:val="single" w:color="auto"/>
          <w:color w:val="auto"/>
        </w:rPr>
        <w:t>loans</w:t>
      </w:r>
      <w:r>
        <w:rPr>
          <w:rFonts w:ascii="Arial" w:cs="Arial" w:eastAsia="Arial" w:hAnsi="Arial"/>
          <w:sz w:val="17"/>
          <w:szCs w:val="17"/>
          <w:color w:val="auto"/>
        </w:rPr>
        <w:t>: Pursuant to the Coronavirus Aid, Relief, and Economic Security Act (the “CARES Act”) passed in March 2020, we funded over 1,500</w:t>
      </w:r>
      <w:r>
        <w:rPr>
          <w:rFonts w:ascii="Arial" w:cs="Arial" w:eastAsia="Arial" w:hAnsi="Arial"/>
          <w:sz w:val="17"/>
          <w:szCs w:val="17"/>
          <w:i w:val="1"/>
          <w:iCs w:val="1"/>
          <w:color w:val="auto"/>
        </w:rPr>
        <w:t xml:space="preserve"> </w:t>
      </w:r>
      <w:r>
        <w:rPr>
          <w:rFonts w:ascii="Arial" w:cs="Arial" w:eastAsia="Arial" w:hAnsi="Arial"/>
          <w:sz w:val="17"/>
          <w:szCs w:val="17"/>
          <w:color w:val="auto"/>
        </w:rPr>
        <w:t>loans to eligible small businesses and non-profit organizations nationwide who participated in the PPP administered by the SBA as of December 31, 2021. The balance of PPP loans at December 31, 2021 was $22.1 million, or 1.14% of total loans. PPP loans have terms of two to five years and earn interest at 1.00%. In addition, we received a fee of 1.00% to 5.00% from the SBA depending on the loan amount. PPP loans are fully guaranteed by the SBA and are expected to be forgiven by the SBA if borrowers meet the requirements of the program. The PPP Flexibility Act, signed into law on June 5, 2020, modified, among other things, rules governing the PPP payment deferral period. We ended our origination of new PPP loans under the first round of the PPP on June 30, 2020. In October 2020, due to updated guidance from the SBA that PPP loan payments were to be deferred until the SBA had remitted forgiveness funds to the lender if the borrower had applied during the ten months after the end of its covered period, we modified the first payment due dates for PPP loans that originated prior to June 5, 2020 and extended the payment deferral period from six months to a minimum of 16 months. The Consolidated Appropriations Act provided additional funding for the PPP and allowed eligible borrowers, including certain borrowers that had already received a PPP loan, to apply for PPP loans through March 31, 2021. In January 2021, we restarted our PPP loan origination efforts. The American Rescue Plan Act of 2021 (the “American Rescue Plan Act”), which was enacted on March 11, 2021, expanded the eligibility criteria for PPP loans and revised the exclusions from payroll costs for purposes of loan forgiveness. The PPP Extension Act of 2021 (the “PPP Extension Act”), which became law on March 30, 2021, extended the deadline to apply for a PPP loan through May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u w:val="single" w:color="auto"/>
          <w:color w:val="auto"/>
        </w:rPr>
        <w:t>Commercial land and construction loans</w:t>
      </w:r>
      <w:r>
        <w:rPr>
          <w:rFonts w:ascii="Arial" w:cs="Arial" w:eastAsia="Arial" w:hAnsi="Arial"/>
          <w:sz w:val="18"/>
          <w:szCs w:val="18"/>
          <w:color w:val="auto"/>
        </w:rPr>
        <w:t>: As of December 31, 2021, we had $61.6 million in commercial land and construction loans, representing 3.16% of total loans.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Farmland loans</w:t>
      </w:r>
      <w:r>
        <w:rPr>
          <w:rFonts w:ascii="Arial" w:cs="Arial" w:eastAsia="Arial" w:hAnsi="Arial"/>
          <w:sz w:val="17"/>
          <w:szCs w:val="17"/>
          <w:color w:val="auto"/>
        </w:rPr>
        <w:t>: As of December 31, 2021, we had $54.8 million in farmland loans, representing 2.82% of total loans. We are a strong agricultural lender, with both lines of credit and term loans.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Residential real estate and construction loans</w:t>
      </w:r>
      <w:r>
        <w:rPr>
          <w:rFonts w:ascii="Arial" w:cs="Arial" w:eastAsia="Arial" w:hAnsi="Arial"/>
          <w:sz w:val="18"/>
          <w:szCs w:val="18"/>
          <w:color w:val="auto"/>
        </w:rPr>
        <w:t>: As of December 31, 2021, we had $36.0 million in residential real estate and construction loans, representing 1.85% of total loans.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Consumer and other loans</w:t>
      </w:r>
      <w:r>
        <w:rPr>
          <w:rFonts w:ascii="Arial" w:cs="Arial" w:eastAsia="Arial" w:hAnsi="Arial"/>
          <w:sz w:val="17"/>
          <w:szCs w:val="17"/>
          <w:color w:val="auto"/>
        </w:rPr>
        <w:t>: As of December 31, 2021, we had $17.2 million in consumer and other loans, representing 0.88% of total loans. We make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Philosophy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keeping with our mission of purpose-driven and integrity-centered banking, we seek credit arrangements that serve our local community and provide attractive risk-adjusted returns to us. We pursue our objectives and are mindful of liquidity, flexibility, and risk considerations by exercising controls on non-interest expenses and close management of our assets and liabilities. We periodically set guidelines aimed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Policy and Procedures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and the authority limits also vary by collateral type.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have a diversified loan portfolio, a substantial portion is secured by commercial and residential real estate located in Northern California. As of December 31, 2021, approximately 69.13% of our real estate loans measured by dollar amount were secured by collateral located in California, a majority of which is in Northern California. Additionally, we have a high concentration of real estate related loans, which represented approximately 89.31% of our loan portfolio at December 31, 2021.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Representing 98.46% of our total liabilities as of December 31, 2021, deposits are our primary source of funding for our business operations. As of December 31, 2021, we held $2.3 billion of total deposits, including $902.1 million in non-interest-bearing deposits.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complete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obtain most of our deposits from individuals, small and medium-sized businesses, and municipalities in our market. We solicit deposits through our relationship-driven team of dedicated and accessible bankers and through community-focused marketing. We emphasize obtaining deposit relationships at loan origination. We provide a high level of customer service to our depositors. We have invested in personnel, business and compliance processes, and technology that enable us to acquire, and efficiently and effectively serve, a wide array of business deposit accounts, while continuing to provide the level of customer service for which we are known.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our 26 largest deposit relationships, each accounting for more than $10 million, totaled $912.7 million, or 39.93% of our total deposits. This includes $424.5 million of our total deposits held by municipalities, of which we conduct a monthly review. Our management maintains our liquidity position and lines of credit with correspondent banks to mitigate the risk of large withdrawals by this group of large depositors.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2021, the carrying value of our investment portfolio, which represented 6.01% of total assets, totaled $153.8 million and had an average effective yield of 1.71% and an estimated modified duration of approximately 5.4 years. The primary objectives of the investment portfolio are to provide a source of liquidity and provide collateral that can be readily sold or pledged for public deposits or other business purposes. At December 31, 2021, 53.02% and 32.57%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the low interest rate environment, we are primarily holding the majority of our on-balance sheet liquidity in interest-bearing bank deposits to limit our exposure to interest rate and price risk and to provide readily available funds for loan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conduct business through nine banking centers in our key market of Northern California.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the ability to make credit and other business decisions quickly, and our deep knowledge of competitor strengths and weaknesses.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Based on the FDIC Summary of Deposits as of June 30, 2021, Five Star ranks eighth in the Sacramento metropolitan statistical area (“MSA”) by deposit market share with deposits of $1.8 billion and four branches. As of June 30, 2021, total market deposits in the Sacramento MSA is $73.2 billion of which $58.8 billion, or approximately 80.23%, is held by seven money center banks across 220 branches. We are the 57th largest insured depository institution in California by deposits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made, and continue to make, significant investments in our information technology systems and staff for our banking and lending operations and treasury management activities. We believe this investment will support our continued growth and enable us to enhance our capabilities to offer new products, improve overall customer experience, improve 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 we maintain our production infrastructure in a data center facility near Reno, Nevada. This site provides for power and connectivity redundancy, and we maintain a disaster recovery program, including a cloud-based recovery environment.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other systems, including our electronic funds transfer, transaction processing, and our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spacing w:after="0" w:line="18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discuss only our results of operations for two years in “Management’s Discussion and Analysis of Financial Condition and Results of Operations”;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exempt from the requirement to provide an opinion from our auditors on the design and operating effectiveness of our internal control over financial reporting pursuant to the Sarbanes-Oxley Act of 2002, as amended (the “Sarbanes-Oxley Act”);</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choose not to comply with any new requirements adopted by the Public Company Accounting Oversight Board (“PCAOB”) requiring mandatory audit firm rotation or a supplement to the auditor’s report providing additional information about the audit and our audited financial statements;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regarding our executive compensation arrangements pursuant to the rules applicable to smaller reporting companies, which means we are not required to include a compensation discussion and analysis and other disclosure regarding our executive compensation in this Annual Report on Form 10-K;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golden parachute arrangements.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the date on which we are deemed to be a large accelerated filer under the rules of the U.S. Securities and Exchange Commission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The JOBS Act exempts emerging growth companies from compliance with new or revised financial accounting standards until private companies (that is, those that have not had a registration statement declared effective under the Securities Act of 1933, as amended (the “Securities Act”),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both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of appropriate risk appetite metrics reflecting the aggregate levels and types of risk we are willing to accept in connection with the operation of our business and pursuit of our business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facilitate talent attraction and retention, we strive to create an inclusive, safe, and healthy workplace with opportunities for our employees to grow and develop in their careers, supported by strong compensation, benefits, and health and welfare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Profile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2021, we had 163 full-time employees and five part-time employees. None of our employees is covered by a collective bargaining agreement. We consider our relationship with our employees to be good and have not experienced interruptions of operations due to labor disagreements.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Compensation and Benefits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a competitive compensation and benefits program to help meet the needs of our employees. In addition to salaries, this program includes annual bonus opportunities, a 401(k) plan with an employer matching contribution, healthcare and insurance benefits, flexible spending accounts, paid time off and family leave, and an employee assistance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invest in the growth and development of our employees by providing a multi-dimensional approach to learning that empowers, intellectually grows, and professionally develops our colleagues under the leadership of a Training and Development Manager. We facilitate the educational and professional development of our employees through support to attend conferences and obtain degrees, licenses, and certifications while employed by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Environmental, Social, and Governance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executing, and plan to scale-up, an Environmental, Social, and Governance strategy to drive positive change that focuses on environmental impacts of our business, social factors in the communities we serve, and the governance of our board of directors.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Climate change impacts our customers, communities, employees, and shareholders. We are committed to developing policies and procedures that can contribute to reducing the effects of climate change, including funding customer business ventures that create positive environmental impact through agriculture or technology. Beginning in June 2021, we onboarded over 2,000 loans in a micro-loan program funding residential energy efficiency equipment. Additionally, we equip customers with technology tools designed to reduce their carbon footprint by reducing in-branch customer visits.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taken steps designed to help reduce our own carbon footprint by utilizing e-signatures to conduct business to reduce paper consumption and encouraging our employees to work remotely, where possible. We recognize that reducing the effects of climate change and helping to drive the transformation of a lower carbon environment are ongoing, and plan to continually seek out opportunities that can positively impact the effect that climate change has on the environment.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Social</w:t>
      </w:r>
      <w:r>
        <w:rPr>
          <w:rFonts w:ascii="Arial" w:cs="Arial" w:eastAsia="Arial" w:hAnsi="Arial"/>
          <w:sz w:val="16"/>
          <w:szCs w:val="16"/>
          <w:color w:val="auto"/>
        </w:rPr>
        <w:t>: We work to create positive social impacts in the communities in which our business operates, including by addressing food deserts, supporting affordable housing projects, and encouraging nonprofit donations. As the effects of the COVID-19 pandemic continue, including the emergence of new variants, we remain committed to employee and customer safety through robust alternative working arrangements and extensive safety measures.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Governance</w:t>
      </w:r>
      <w:r>
        <w:rPr>
          <w:rFonts w:ascii="Arial" w:cs="Arial" w:eastAsia="Arial" w:hAnsi="Arial"/>
          <w:sz w:val="16"/>
          <w:szCs w:val="16"/>
          <w:color w:val="auto"/>
        </w:rPr>
        <w:t>: The Governance and Nominating Committee of our board of directors is committed to diversity on our board of directors and compliance with applicable rules, regulations, and guidance regarding the composition of our leadership. During the course of 2021, we added members to our board of directors that represented diverse backgrounds, including those attributed to race, ethnicity, gender, and other demographics. We are committed to ethical business practices and accounting transparency, as evidenced through our involvement in the community and results of examinations by regulators.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Dedication to Diversity, Equity, and Inclusion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Diversity, Equity, and Inclusion (“DE&amp;I”) is essential in our workplace. We have a fully engaged Senior Vice President, Chief Operations Officer and Chief DE&amp;I Officer who leads our DE&amp;I efforts. Our Human Resources department is demonstrating a commitment to DE&amp;I through hiring practices and employee training. We are committed to ensuring that all employees feel a sense of belonging in the workplace and that processes and programs are impartial, fair, and provide equal opportunity for every individual. We also have a history of serving customers in the nonprofit community who assist our region’s most vulnerable, underserved, and underrepresented populations.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and state banking laws impose a comprehensive system of supervision, examination, regulation, and enforcement on the operations of insured banks and their holding companies. As a result, our growth, earnings performance, and operations may be affected by the requirements of federal and state statutes and by the regulations and policies of various bank regulatory agencies, including the California Department of Financial Protection and Innovation (the “DFPI”), the FDIC, the Federal Reserve, and the Consumer Financial Protection Bureau (the “CFPB”). Furthermore, tax laws administered by the Internal Revenue Service (the “IRS”), and state taxing authorities, accounting rules developed by the Financial Accounting Standards Board (the “FASB”), securities laws administered by the SEC and state securities authorities, anti-money laundering laws enforced by the U.S. Department of the Treasury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Supervision and regulation of banks, their holding companies, and affiliates is intended primarily for the protection of depositors and customers, the Deposit Insurance Fund (the “DIF”) of the FDIC, and the U.S. banking and financial system, rather than holders of our capital stock.</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Supervision and Regulation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bank holding company registered under the Bank Holding Company Act of 1956, as amended (the “BHC Act”). As a result, we are primarily subject to the supervision, examination, and reporting requirements of the BHC Act, Federal Deposit Insurance Act (the “FDI Act”), the regulations of the Federal Reserve and FDIC, and certain of the requirements imposed by the Dodd-Frank Wall Street Reform and Consumer Protection Act of 2010 (the “Dodd-Frank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Oversight Over Mergers and Acquisitions, Investments, and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5.00% or more of the voting shares of the bank; (ii) it or any of its subsidiaries, other than a bank, may acquire all or substantially all of the assets of any bank; or (iii) it may merge or consolidate with any other bank holding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combatting money laundering activities. Provisions of the FDI Act known as the Bank Merger Act impose similar approval standards for an insured depository institution to merge with another insured depository institution or a non-insured institution.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percentage, aging requirements, and other restrictions. The Riegle-Neal Act also generally permits national- 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FDIC has the authority to approve applications by state non-member banks to establish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including, under the Riegle-Neal Act, in states other than the bank’s home state if the law of the state in which the branch is located, or is to be located, would permit establishment of the branch if the bank were a state bank chartered by that state.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 of Strength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Adequacy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United States capital regulations were substantially revised in 2013 as a result of changes in the Dodd-Frank Act and Basel III capital rules. The Federal Reserve and the FDIC, the primary federal regulators of the Company and Bank, respectively, have substantially similar generally applicable risk-based capital ratio and leverage ratio requirements.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under the Federal Reserve’s Small Bank Holding Company Policy Statement, which exempts bank holding companies with assets of less than $3.0 billion that are not engaged in significant nonbanking activities, do not conduct significant off-balance sheet activities, and do not have a material amount of debt or equity securities registered with the SEC from the Federal Reserve’s generally applicable risk-based capital ratio and leverage ratio requirements.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changes to this practice may result in the loss of our status as a small bank holding company for these purposes.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Company no longer were subject to the Small Bank Holding Company Policy Statement, the following generally applicable capital requirements that apply to the Bank also would apply to the Company. The Bank is required to meet a common equity Tier 1 capital to risk-weighted assets ratio of at least 7.00% (a minimum of 4.50% plus a capital conservation buffer of 2.50%), a Tier 1 capital to risk-weighted assets ratio of at least 8.50% (a minimum of</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6.00% plus a capital conservation buffer of 2.50%), a total capital to risk-weighted assets ratio of at least 10.50% (a minimum of 8.00% plus a capital conservation buffer of 2.50%), and a Tier 1 leverage ratio of at least 4.00%.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6"/>
          <w:szCs w:val="16"/>
          <w:color w:val="auto"/>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 three tiers depending on the “quality” and loss-absorbing features of the capital instrument. Common equity Tier 1 capital 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debt with a minimum original maturity of five years (including related surplus) and a limited amount of allowance for loan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2021, common equity Tier 1 capital, Tier 1 capital, and total capital of the Company on a consolidated basis equaled 11.44%, 11.44%, and 13.98% of its total risk-weighted assets, respectively, and its Tier 1 leverage ratio on a consolidated basis was 9.47%. At December 31, 2021, the Bank exceeded its minimum capital requirements with common equity Tier 1 capital, Tier 1 capital, and total capital equal to 12.55%, 12.55%, and 13.69% of its total risk-weighted assets, respectively, and a Tier 1 leverage ratio of 10.38%. As a result, the Bank was “well-capitalized” for prompt corrective action purposes based on the ratios and guidelines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Dividends and Stock Repurchases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 dividend is being paid. We consulted the Federal Reserve in advance of our distribution of $27.0 million to our S Corporation shareholders, which exceeded earnings for the period for which the dividend was paid, from our federal accumulated adjustments account in 2021.</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the Company operates under the Small Bank Holding Company Policy Statement, the Federal Reserve will generally expect the Company not to pay dividends unless its debt to equity ratio is 1:1 or lower, the Company meets certain other criteria under the Federal Reserve’s Regulation Y, and the dividends are reasonable in amount, do not adversely affect the ability of the Company to service its debt in an orderly manner, and do not adversely affect the ability of the Bank to be well-capitalized. Although the Company currently meets these requirements, the Company cannot be sure that it will continue to meet those requirements or that even if it does, it will be able to pay dividends.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bank holding company does not operate under the Small Bank Holding Company Policy Statement, according to guidance from the Federal Reserve, the bank holding company’s dividend policies will be assessed against, among other things, its ability to achieve applicable capital ratio requirements. If a bank holding company does not achieve applicable capital ratio requirements, it may not be able to pay dividends. The Company cannot be sure that it would meet those requirements or that even if it does, it would be able to pay dividends.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bank holding company is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12 months, is equal to 10.00%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75" w:lineRule="auto"/>
        <w:rPr>
          <w:sz w:val="20"/>
          <w:szCs w:val="20"/>
          <w:color w:val="auto"/>
        </w:rPr>
      </w:pPr>
      <w:r>
        <w:rPr>
          <w:rFonts w:ascii="Arial" w:cs="Arial" w:eastAsia="Arial" w:hAnsi="Arial"/>
          <w:sz w:val="17"/>
          <w:szCs w:val="17"/>
          <w:color w:val="auto"/>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 For bank holding companies subject to the Small Bank Holding Company Policy Statement, such consultation is only required for the redemption of instruments included in equity as defined under accounting principles generally accepted in the United States of America (“GAAP”), such as common and perpetual preferred stock, and not for certain other instruments included as regulatory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Examinations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 unsound, fail to comply with applicable law, or are otherwise inconsistent with laws and regulations or with the supervisory policies of these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Anti-Money Laundering Initiatives and Sanctions Compliance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and Bank are subject to extensive regulations aimed at combatting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 maintains policies, procedures, and other internal controls designed to comply with anti-money laundering requirements and sanctions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Sarbanes-Oxley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Supervision and Regulation of the Bank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DFPI, and certain of the requirements imposed by the Dodd-Frank Act. The Company and the Bank are also subject to a wide range of consumer protection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Lending, Insider Transactions, and Affiliate Transactions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California law limits California banks in the amount they may lend to one borrower and the amount they may lend to insiders. Under California law, with limited exceptions, unsecured loans to one person may not exceed 15.00% of the sum of a bank’s shareholders’ equity, allowance for loan losses, capital notes, and debentures. Additionally, both secured and unsecured loans to one person (excluding certain secured lending and letters of credit) at any given time generally may not exceed 25.00% of the sum of a bank’s shareholders’ equity, allowance for loan losses, capital notes, and debentures.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insiders of the Bank and the Company. Additionally, California law imposes insider lending limits that are similar to the restrictions of the Federal Reserve’s Regulation O.</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10.00% of the bank’s capital stock and surplus, and limiting the aggregate of all such transactions with all affiliates to an amount not greater than 20.00%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in Lending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loan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100.00% or more of a bank’s total risk-based capital; or (ii) total reported loans secured by multifamily and non-farm non-residential properties and loans for construction, land development, and other land of 300.00% or more of a bank’s total risk-based capital, where the outstanding balance of the institution’s commercial real estate portfolio has also increased by 50.00%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Prompt Corrective Action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Dividends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source of the Company’s cash flow is dividends from the Bank. There are various legal and regulatory provisions that limit the amount of dividends the Bank can pay to the Company without regulatory approval. Under the 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Reserve Banks continue to receive interest when reserve requirement ratios are set to zero percent.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Consumer Protection 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laws. Additionally, the Dodd-Frank Act created the CFPB, which has authority to issue regulations prohibiting unfair, deceptive, or abusive acts or practices.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Privacy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Branching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California law, the Bank may open branch offices throughout California with the prior approval of the DFPI. In addition, with prior DFPI approval, the Bank may acquire branches of existing banks located in California. Under federal 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 Deposit Insurance Assessments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Since the outbreak of the COVID-19 pandemic, the amount of total estimated insured deposits has grown very rapidly while the funds in the DIF grew at a normal rate. As a result, the DIF reserve ratio fell to below the statutory minimum of 1.35%. The FDIC adopted a restoration plan on September 15, 2020, to restore the DIF reserve ratio to at least 1.35% by September 30, 2028. Under the restoration plan, the FDIC will continue to closely monitor the factors that affect the DIF reserve ratio and maintain its current schedule of assessment rates. The FDIC expects the surge of insured deposits resulting from the COVID-19 pandemic to eventually recede and insured deposit growth rates to normalize in the medium- to long-term.</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96" w:lineRule="auto"/>
        <w:rPr>
          <w:sz w:val="20"/>
          <w:szCs w:val="20"/>
          <w:color w:val="auto"/>
        </w:rPr>
      </w:pPr>
      <w:r>
        <w:rPr>
          <w:rFonts w:ascii="Arial" w:cs="Arial" w:eastAsia="Arial" w:hAnsi="Arial"/>
          <w:sz w:val="16"/>
          <w:szCs w:val="16"/>
          <w:color w:val="auto"/>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Community Reinvestment Act (“CRA”)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FDIC’s evaluation of the Bank’s record of performance under the CRA is publicly available. The FDIC’s CRA regulations provide that a bank may elect to have its CRA performance evaluated under a strategic plan. This option enables a bank to structure its CRA goals and objectives to address the needs of its community consistent with its business strategy, operational focus, capacity, and constraints. The Bank is operating under a CRA Strategic Plan approved by the FDIC for the years 2019-2021 and has received a rating of “Satisfactory” at its most recent CRA evaluation, dated as of May 3,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 of San Francisco (“FHLB”) Membership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a member of the FHLB, which is one of 12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Cybersecurity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Federal banking agencies pay close attention to the cybersecurity practices of banks and their holding companies and affiliates. The interagency council of the agencies, the Federal Financial Institutions Examination Council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final rule that the federal banking agencies issued in November 2021 requires banking organizations to notify their primary federal regulator of significant computer security incidents within 36 hours of determining that such an incident has occurred. The compliance date of this rule is May 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Incentive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2016, the Federal Reserve and other federal financial agencies re-proposed restrictions on incentive-based compensation pursuant to Section 956 of the Dodd-Frank Act for financial institutions with $1.0 billion or more in total consolidated assets. For institutions with at least $1.0 billion but less than $50.0 billion in total consolidated assets, the proposal would impose principles-based restrictions that are broadly consistent with existing interagency guidance on incentive-based compensation. Such institutions would be prohibited from entering into incentive compensation arrangements that encourage inappropriate risks by the institution: (i) by providing an executive officer, employee, director, or principal shareholder with excessive compensation, fees, or benefits; or (ii) that could lead to material financial loss to the institution. The proposal would also impose certain governance and recordkeeping requirements on institutions covered by the rule. Whether or when the agencies will finalize the proposal is uncertain.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Coronavirus Aid, Relief, and Economic Security Act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27, 2020, the CARES Act was enacted, providing wide-ranging economic relief for individuals and businesses impacted by COVID-19. Among other things, the statute created the PPP and funded it with $349.0 billion. On April 16, 2020, the SBA announced that it had exhausted the $349.0 billion appropriated to it in the CARES Act. On April 24, 2020, the PPP and Health Care Enhancement Act was signed into law, which supplemented certain programs established by the CARES Act and provided additional funding for the PPP. The PPP expired on August 8, 2020. The Consolidated Appropriations Act, which was signed into law on December 27, 2020, provided additional funding for the PPP of approximately $284.0 billion. The act also permitted eligible borrowers, including certain borrowers who had already received a PPP loan, to apply for PPP loans through March 31, 2021. The American Rescue Plan Act, which was enacted on March 11, 2021, expanded the eligibility criteria for PPP loans and revised the exclusions from payroll costs for purposes of loan forgiveness. The PPP Extension Act, which became law on March 30, 2021, extended the deadline to apply for a PPP loan through May 31, 2021.</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CARES Act, as amended by the Consolidated Appropriations Act, specified that COVID-19-related loan modifications executed between March 1, 2020 and the earlier of: (i) 60 days after the date of termination of the national emergency declared by the President; and (ii) January 1, 2022, on loans that were current as of December 31, 2019 are not troubled debt restructurings (“TDRs”). Additionally, under guidance from the federal banking agencies, other short-term modifications made on a good faith basis in response to COVID-19 to borrowers that were current prior to any relief are not TDRs under Accounting Standards Codification (“ASC”) Subtopic 310-40, “Troubled Debt Restructuring by Creditors.” These modifications include short-term (e.g., up to six months) modifications such as payment deferrals, fee waivers, extensions of repayment terms, or delays in payment that are insignificant.</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PPP was a stimulus response to the economic impacts of COVID-19, and its purpose was to provide forgivable loans to smaller businesses, non-profit organizations, and other eligible borrowers that use the proceeds of the loans for payroll and certain other qualifying expenses. The SBA manages the PPP and guarantees PPP loans. If a loan is fully forgiven, the SBA will repay the lending bank in full. If a loan is partially forgiven or not forgiven at all, a bank must look to the borrower for repayment of unforgiven principal and interest. If the borrower defaults, the loan is guaranteed by the SBA.</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had provided approximately $377.4 million in PPP loans for more than 1,500 new and existing customers and we were processing loan forgiveness applications.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risks that may have an adverse effect on our business, financial condition, and results of operations are summarized below.</w:t>
      </w:r>
    </w:p>
    <w:p>
      <w:pPr>
        <w:spacing w:after="0" w:line="237" w:lineRule="exact"/>
        <w:rPr>
          <w:sz w:val="20"/>
          <w:szCs w:val="20"/>
          <w:color w:val="auto"/>
        </w:rPr>
      </w:pPr>
    </w:p>
    <w:p>
      <w:pPr>
        <w:ind w:left="800" w:hanging="401"/>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and operations are concentrated in Northern California, and we are sensitive to adverse changes in the local economy.</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highly competitive market and face increasing competition from traditional and new financial services providers.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8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an adverse effect on our business,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a highly regulated industry, and the current regulatory framework and any future legislative and regulatory changes may have an adverse effect on our business, financial condition, and results of operations.</w:t>
      </w:r>
    </w:p>
    <w:p>
      <w:pPr>
        <w:spacing w:after="0" w:line="170"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subject to regulatory requirements, including stringent capital requirements, consumer protection laws, and anti-money laundering laws, and failure to comply with these requirements could have an adverse effect on our business, financial condition, and results of operations.</w:t>
      </w:r>
    </w:p>
    <w:p>
      <w:pPr>
        <w:spacing w:after="0" w:line="123" w:lineRule="exact"/>
        <w:rPr>
          <w:rFonts w:ascii="Arial" w:cs="Arial" w:eastAsia="Arial" w:hAnsi="Arial"/>
          <w:sz w:val="16"/>
          <w:szCs w:val="16"/>
          <w:color w:val="auto"/>
        </w:rPr>
      </w:pPr>
    </w:p>
    <w:p>
      <w:pPr>
        <w:jc w:val="both"/>
        <w:ind w:left="800" w:hanging="401"/>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spacing w:after="0" w:line="186"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recently terminated our status as an S Corporation for federal income tax purposes in connection with our IPO and may be subject to claims from taxing authorities related to our prior S Corporation status.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Unlike many of our larger competitors that maintain significant operations located outside our market, substantially all of our customers are individuals and businesses located and doing business in the state of California. As of December 31, 2021, approximately 69.13%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 more geographically diverse competitors. A downturn in the local economy could make it more difficult for our borrowers to repay their loans, may lead to loan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small to medium-sized businesses to which we lend may have fewer resources to weather adverse business developments, which may impair a borrower’s ability to repay a loan.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These factors may be especially true given the effects of the COVID-19 pandemic.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b w:val="1"/>
          <w:bCs w:val="1"/>
          <w:color w:val="auto"/>
        </w:rPr>
        <w:t>Our business is significantly dependent on the real estate markets in which we operate, as a significant percentage of our loan portfolio is secured by real estate.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2021, approximately 89.31%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interest rate risk, which could adversely affect our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rates are highly sensitive to many factors that are beyond our control, including general economic conditions and policies of various governmental and regulatory agencies and, in particular, the Federal Reserve, which has suggested that it may take steps to raise interest rates in 2022. Changes in monetary policy, including changes in interest rates, could influence not only the interest we receive on loans and securities and the interest we pay on deposits and borrowings, but such changes could 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2021, 73.13% of our interest-earning assets and 92.62% of our interest-bearing liabilities were variable rate, where our variable rate liabilities reprice at a slower rate than our variable rate assets.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loan losses, which could have an adverse effect on our business, financial condition, and results of operations. The Federal Reserve has indicated that it expects it will soon be appropriate to raise the target range for the federal funds rate. In contrast, a decrease in the general level of interest rates, such as the Federal Reserve’s sharp reduction in interest rates in response to the economic and financial effects of the COVID-19 pandemic,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We operate in a highly competitive market and face increasing competition from a variety of traditional and new financial services providers.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As of December 31, 2021, we had $2.3 billion in deposits and a loan to deposit ratio of 85.09%. As of the same date, using deposit account related information such as tax identification numbers, account vesting, and account size, we estimated that $1.3 billion of our deposits exceeded the FDIC deposit insurance limits. Additionally, we have $366.9 million of governmental deposits secured by collateral.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keep up with the rapid technological changes in the financial services industry could have an adverse effect on our competitive position and profitability.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use of data and modeling in both our management’s decision-making generally and in meeting regulatory expectations in particular.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loan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We may not be able to measure and limit our credit risk adequately, which could adversely affect our profitability.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particularly due to the continuing effects of the COVID-19 pandemic,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exposed to higher credit risk by our commercial real estate, commercial land and construction, commercial construction, and farmland loans.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real estate, commercial land and construction, commercial construction, and farmland-based lending usually involve higher credit risks than other types of mortgage loans. As of December 31, 2021, the following loan types accounted for the stated percentages of our loan portfolio: commercial real estate (both owner-occupied and non-owner-occupied)—81.48%; and commercial land and construction—3.16%.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real estate loans, commercial and industrial loans, and construction loans are more susceptible to a risk of loss during a downturn in the business cycle. In particular, the COVID-19 pandemic could have adverse effects on our loans for office and hospitality space, which are dependent for repayment on the successful operation and management of the associated commercial real estate. Our underwriting, review, and monitoring cannot eliminate all the risks related to these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real estate construction loans comprised 3.16% of our total loan portfolio and such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non-guaranteed portion of SBA loans that we retain on our balance sheet as well as the guaranteed portion of SBA loans that we sell could expose us to various credit and default risks.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our total commercial SBA loan portfolio held for investment, excluding PPP loans, was $48.0 million, representing 2.48% of total loans held for investment. During the year ended December 31, 2021, we sold 169 SBA loans with government-guaranteed portions totaling $41.4 million. The non-guaranteed portion of SBA loans have a higher degree of risk of loss as compared to the guaranteed portion of such loans, and these non-guaranteed loan portions make up a substantial majority of our remaining SBA loans.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we sell the guaranteed portion of an SBA loan in the ordinary course of business, we are required to make certain representations and warranties to the purchaser about the SBA loan and the manner in which it was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Curtailment of government-guaranteed loan programs could affect a segment of our business.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component of our business consists of originating and periodically selling U.S. government-guaranteed loans, in particular those guaranteed by the SBA. Pursuant to the Consolidated Appropriations Act, the SBA guaranteed 90% of the principal amount of each qualifying SBA loan originated under the SBA’s 7(a) loan program (excluding PPP loans) through October 1, 2021. The SBA presently guarantees 75% to 90% of the principal amount of qualifying loans originated under the 7(a) loan program (excluding PPP loans).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year ended December 31, 2021 was $41.4 million, as compared to $71.3 million for the year ended December 31,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As a participating lender in the SBA’s PPP, we are subject to added risks, including credit, fraud, and litigation risks.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began processing loan applications under the PPP as an eligible lender with the benefit of a government guarantee of loans to small business clients, many of whom have faced, or continue to face, difficulties even after being granted such a loan. PPP loans have contributed to our loan growth since March 31, 2020. The PPP Extension Act, which became law on March 31, 2021, extended the deadline to apply for a PPP loan through May 31, 2021.</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participant in the PPP, we face increased risks, particularly in terms of credit, fraud, and litigation.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in all instances and in certain other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additional credit risk with respect to PPP loans if a determination is made by the SBA that there is a deficiency in the manner in which the loan was originated, funded, or serviced,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guarantee, reduce the amount of the guarantee, or, if it has already paid under the guarantee, seek recovery of any loss related to the deficiency from the Bank.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PPP 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w:t>
      </w:r>
    </w:p>
    <w:p>
      <w:pPr>
        <w:jc w:val="both"/>
        <w:ind w:firstLine="8"/>
        <w:spacing w:after="0" w:line="273" w:lineRule="auto"/>
        <w:tabs>
          <w:tab w:leader="none" w:pos="353" w:val="left"/>
        </w:tabs>
        <w:numPr>
          <w:ilvl w:val="0"/>
          <w:numId w:val="7"/>
        </w:numPr>
        <w:rPr>
          <w:rFonts w:ascii="Arial" w:cs="Arial" w:eastAsia="Arial" w:hAnsi="Arial"/>
          <w:sz w:val="17"/>
          <w:szCs w:val="17"/>
          <w:color w:val="auto"/>
        </w:rPr>
      </w:pPr>
      <w:r>
        <w:rPr>
          <w:rFonts w:ascii="Arial" w:cs="Arial" w:eastAsia="Arial" w:hAnsi="Arial"/>
          <w:sz w:val="17"/>
          <w:szCs w:val="17"/>
          <w:color w:val="auto"/>
        </w:rPr>
        <w:t>loans, relating to these or other matters. Also, many financial institutions throughout the country have been named in putative class actions regarding the alleged nonpayment of fees that may be due to certain agents who facilitated PPP loan applications. Although many of these actions have been resolved in favor of banks participating in the PPP, the costs and effects of litigation related to PPP participation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Farmland real estate loans and volatility in commodity prices may adversely affect our financial condition and results of operations.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December 31, 2021, farmland loans totaled $54.8 million, or 2.82% of our total loan portfolio. Farmland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an adverse effect on our business,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farmland real estate loans may involve a greater degree of risk than other types of loans.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risk could impair our ability to fund operations and meet our obligations as they become due.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the soundness of other financial institutions.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framework may not be effective in mitigating risks and/or losses to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in lending secured by real estate and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protection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Regulatory requirements affecting our loans secured by commercial real estate could limit our ability to leverage our capital and adversely affect our growth and profitability.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From December 31, 2020 through December 31, 2021, our commercial real estate loan balances have increased by $543.0 million. As of December 31, 2021, commercial real estate loans represent 577.92% of our total risk-based capital.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environmental risks and associated costs on our foreclosed real estate assets.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loan portfolio is secured by real property. During the ordinary course of business, we may foreclose on and take title to properties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recovery on commercial real estate loans could be further reduced by a lack of a liquid secondary market for such mortgage loans and mortgage-backed securities.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current business strategy includes an emphasis on commercial real estate lending. Although we sold $41.4 million of loans in the year ended December 31, 2021, one of which was a commercial real estate loan,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The appraisals and other valuation techniques we use in evaluating and monitoring loans secured by real property and OREO may not accurately reflect the net value of the asset.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Federal, state, and local consumer lending laws may restrict our or our partners’ ability to originate certain loans or increase our risk of liability with respect to such loans.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consumer protection initiatives or changes in state or federal law, including the CARES Act and its automatic loan forbearance provisions,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loan relationships make up a material percentage of our total loan portfolio, and credit risks relating to these would have a disproportionate impact.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2021, our 30 largest borrowing relationships ranged from approximately $14.7 million to $58.9 million (including unfunded commitments) and totaled approximately $784.6 million in total commitments (representing, in the aggregate, 40.53% of our total loans held for investment as of December 31, 2021).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2021, our 26 largest deposit relationships, each accounting for more than $10.0 million, amounted to $912.7 million, or 39.93%, of our total deposits. This includes $424.5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allowance for loan losses may be inadequate to absorb losses inherent in the loan portfolio.</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loan losses that represents management’s judgment of probable losses and risks inherent in our loan portfolio. In determining the size of our allowance for loan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loan losses is inherently highly subjective and requires us to make significant estimates of and assumptions regarding current credit risk and future trends, all of which may change materially. Although we endeavor to maintain our allowance for loan losses at a level adequate to absorb any inherent losses in the loan portfolio, these estimates of loan losses are necessarily subjective, and their accuracy depends on the outcome of future events. At December 31, 2021, the allowance for loan losses was $23.2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loan losses in excess of our current allowance for loan losses, requiring us to make material additions to our allowance for loan losses, which could have an adverse effect on our business, financial condition, and results of operations.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allowance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Finally, the FASB has issued a new accounting standard for establishing allowances for loan and lease losses that will replace the current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will be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recognize losses on investment securities held in our securities portfolio, particularly if interest rates increase or economic and market conditions deteriorate.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the carrying value of our investment securities portfolio was approximately $153.8 million. As of the same date, 12.80%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in respect to the securities, defaults by the issuer or with respect to the underlying securities, and changes in market interest rates and instability in the capital markets. Any of these factors, among others, could cause other-than-temporary impairments (“OTTIs”),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We depend on the accuracy and completeness of information provided by customers and counterparties.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highly regulated, and the regulatory framework, together with any future legislative or regulatory changes, may have a materially adverse effect on our operations.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banking industry is highly regulated and supervised under both federal and state laws and regulations that are intended primarily for the protection of depositors, customers, the public, the banking system as a whole, or the FDIC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8"/>
          <w:szCs w:val="18"/>
          <w:b w:val="1"/>
          <w:bCs w:val="1"/>
          <w:color w:val="auto"/>
        </w:rPr>
        <w:t>Monetary policies and regulations of the Federal Reserve could have an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regulators periodically examine our business and may require us to remediate adverse examination findings or may take enforcement action against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our Bank into receivership or conservatorship. Any regulatory enforcement action against us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stringent capital requirements, which could have an adverse effect on our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a Tier 1 capital ratio of at least 8.00%, a total capital ratio of at least 10.00%, and a Tier 1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under the Federal Reserve’s Small Bank Holding Company Policy Statement, which exempts from the Federal Reserve’s risk-based capital and leverage rules bank holding companies with total consolidated assets of less than $3.0 billion that are not engaged in significant nonbanking activities, do not conduct significant off-balance sheet activities, and do not have a material amount of debt or equity securities registered with the SEC.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changes to this practice may result in the loss of our status as a small bank holding company for these purposes. Additionally, we will be ineligible to operate under the Small Bank Holding Company Policy Statement if we grow to $3.0 billion or more in total consolidated assets.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CFPB, are responsible for enforcing these fair and responsible banking laws and regulations. Banks with no more than $10.0 billion in total consolidated assets, including the Bank, are subject to rules promulgated by the CFPB but are examined and supervised by federal banking agencies for compliance with federal consumer protection laws and regulations. Accordingly, CFPB rulemaking has the potential to have a significant impact on the operations of the Bank.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 out of the sale of personal information, and to non-discrimination for exercising these rights.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bank holding company and are dependent upon the Bank for cash flow, and the Bank’s ability to make cash distributions is restricted.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The Federal Reserve may require us to commit capital resources to support the Bank.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a risk of noncompliance and enforcement action with the Bank Secrecy Act and other anti-money laundering statutes and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Bank’s FDIC deposit insurance premiums and assessments may increase.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Bank’s deposits are insured by the FDIC up to legal limits and, accordingly, our Bank is subject to insurance assessments based on our Bank’s average consolidated total assets less its average tangible equity. Our Bank’s regular assessments are determined by its CAMELS composite rating (a supervisory rating system developed to classify a bank’s overall condition by taking into account capital adequacy, assets, management capability, earnings, liquidity, and sensitivity to market and interest rate risk), taking into account other factors and adjustments. In order to maintain a strong funding position and the reserve ratios of the DIF required by statute and FDIC estimates of projected requirements, the FDIC has the power to increase deposit insurance assessment rates and impose special assessments on all FDIC-insured financial institutions. Any future increases or special assessments, including as part of the FDIC’s plan to restore the DIF reserve ratio to at least 1.35% by September 30, 2028, could reduce our profitability and could have an adverse effect on our business, financial condition, and results of operations.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planned discontinuation of the London Inter-Bank Offered Rate (“LIBOR”) as a benchmark interest rate and a transition to an alternative reference interest rate could present operational problems and result in market disruption.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administrator of LIBOR will publish most tenors of LIBOR for U.S. dollars (“USD”) through June 30, 2023 and permanently cease publication of the 1-week and 2-month USD LIBOR settings following December 31, 2021. The Federal Reserve and other federal banking agencies have encouraged banks to transition away from LIBOR in new contracts by no later than December 31, 2021, to ensure existing contracts have robust fallback language that includes a clearly defined alternative reference rate, and have emphasized the expectation that supervised institutions with LIBOR exposure continue to progress toward an orderly transition away from LIBOR. Although we expect that the capital and debt markets will cease to use LIBOR as a benchmark in the near future, we cannot predict what impact such a transition may have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The Federal Reserve, based on the recommendations of the Federal Reserve Bank of New York’s Alternative Reference Rate Committee, has begun publishing the Secured Overnight Financing Rate (“SOFR”), which is intended to replace LIBOR. Additionally, on April 6, 2021, New York Governor Cuomo signed into law legislation that provides for the substitution of SOFR in any LIBOR-based contract governed by New York state law that does not include clear fallback language, once LIBOR is discontinued.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 We cannot predict whether the SOFR or another alternative rate will become the market benchmark in place of LIBOR.</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financial products are tied to LIBOR. We are currently monitoring the actions of LIBOR’s regulator and the implementation of alternative reference rates in advance of the expected discontinuation of LIBOR to determine any potential impact on our financial products and our subordinated notes.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 price may be volatile, and we may not be able to meet investor or analyst expectations. You may not be able to resell your shares at or above the price you paid and may lose part or all of your investment as a result.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price volatility may negatively impact the price at which our common stock may be sold and may also negatively impact the timing of any sale. We cannot assure you that the market price of our shares on the Nasdaq Stock Market LLC (“Nasdaq”) will equal or exceed prices in privately negotiated transactions of our shares that have occurred from time to time before our IPO. Our stock price may fluctuate widely in response to a variety of factors including the risk factors described herein and, among other things:</w:t>
      </w:r>
    </w:p>
    <w:p>
      <w:pPr>
        <w:spacing w:after="0" w:line="187"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 financial conditions, or credit quality;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or economic conditions;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recommendations or research reports about us or the financial services industry in general published by securities analysts;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securities analysts to cover, or to continue to cover, us;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or publication of research reports and recommendations by financial analysts or actions taken by rating agencies with respect to us or other financial institutions;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related to the impact of natural or man-made disasters in our market;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in the marketplace regarding us and or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sudden increases in the demand for our common stock, including as a result of any “short squeezes”;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investments from third parties;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or issuance of additional shares of common stock;</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thereof, affecting our business, or enforcement of these laws or regulations;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investments from third parties;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pandemics, or military conflicts.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trading price of our common stock over the short, medium, or long term, regardless of our actual performance.</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the date on which we are deemed to be a large accelerated filer under the rules of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82" w:lineRule="auto"/>
        <w:rPr>
          <w:sz w:val="20"/>
          <w:szCs w:val="20"/>
          <w:color w:val="auto"/>
        </w:rPr>
      </w:pPr>
      <w:r>
        <w:rPr>
          <w:rFonts w:ascii="Arial" w:cs="Arial" w:eastAsia="Arial" w:hAnsi="Arial"/>
          <w:sz w:val="18"/>
          <w:szCs w:val="18"/>
          <w:b w:val="1"/>
          <w:bCs w:val="1"/>
          <w:color w:val="auto"/>
        </w:rPr>
        <w:t>Our significant shareholders have the ability to control significant corporate activities, and our significant shareholders’ interests may not coincide with yours.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management had broad discretion in allocating the net proceeds of our IPO. Our failure to effectively utilize such net proceeds may have an adverse effect on our financial performance and the value of our common stock.</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the distributions to certain of our shareholders in May 2021, we used the net proceeds of our IPO to increase the capital of the Bank in order to support our organic growth strategies, including expanding our overall market share, to strengthen our regulatory capital, and for working capital and other general corporate purposes. However, we were not required to apply any portion of the net proceeds of our IPO for any particular purpose, and our management could have used them for purposes other than those contemplated at the time of the IPO. Accordingly, our management had broad discretion in the application of the net proceeds from the IPO, and you will be relying on the judgment of our management regarding the application of these proceeds. You did not have the opportunity to assess whether we used the proceeds appropriately. Our management might not have applied our net proceeds in ways that would have ultimately increased the value of your investment. If we did not invest or apply the net proceeds from our IPO in ways that enhance shareholder value, we may fail to achieve expected financial results, which could cause our stock price to decline.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may be unable to attract or sustain research coverage by securities and industry analysts. If no securities or industry analysts cover our company, the trading price for our stock would likely be negatively impacted. If we obtain securities or industry analyst coverage and if one or more of the analysts who covers us downgrades our stock or publishes inaccurate or unfavorable research about our business, our stock price would likely decline. If we fail to meet the expectations of analysts for our operating results, our stock price would likely decline. If one or more of these analysts ceases coverage of us or fails to publish reports on us regularly, demand for our stock could decrease, which could cause our stock price and trading volume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pay dividends on our common stock in the future, and our ability to pay dividends is subject to certain restrictions.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holders of our debt obligations and preferred stock, if any, have priority over the holders of our common stock with respect to payment in the event of liquidation, dissolution, or winding up and with respect to the payment of interest and 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well as any preferred stock that has been issued. As of December 31, 2021, we had an aggregate of $28.4 million of subordinated notes, net of debt issuance costs, outstanding, and we did not have any outstanding preferred stock or trust preferred securities. We could incur such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will be required to pay interest on the subordinated notes and dividends on the trust preferred securities and preferred stock before we will be able to pay any dividends on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California corporate law and provisions of our amended and restated articles of incorporation (“articles of incorporation”) and our amended and restated bylaws (“bylaws”)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bylaws have an exclusive forum provision, which could limit a shareholder’s ability to obtain a favorable judicial forum for disputes with us or our directors, officers, or other employees.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Prior to our IPO, we were treated as an S Corporation, and claims of taxing authorities related to our prior status as an S Corporation could adversely affect us.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consummation of our IPO, our status as an S Corporation terminated and we commenced treatment as a C Corporation under the provisions of Sections 301 through 385 of the Internal Revenue Code, which treat the corporation as an entity that is subject to U.S. federal income tax. If the unaudited, open tax years in which we were an S Corporation are audited by the IRS, and we are determined not to have qualified for, or to have violated any requirement for maintaining, our S Corporation status, we will be obligated to pay back taxes, interest, and penalties. The amounts that we would be obligated to pay could include taxes on all our taxable income while we were an S Corporation. Any such claims could result in additional costs to us and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color w:val="auto"/>
        </w:rPr>
        <w:t>We have entered into a Tax Sharing Agreement with most of our shareholders who owned our common stock prior to our IPO and could become obligated to make payments to such shareholders for any additional federal, state, or local income taxes assessed against them for tax periods prior to the completion of our IPO.</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historically were treated as an S Corporation for U.S. federal income tax purposes, and our shareholders prior to our IPO were taxed on our net income. Therefore, such shareholders received distributions, referred to as tax distributions, from us that were generally intended to equal the amount of tax the existing shareholders were required to pay with respect to our income. In connection with our IPO, our S Corporation status terminated, and we are now subject to federal and increased California state income taxes. In the event of an adjustment to our reported taxable income for periods prior to termination of our S Corporation status, it is possible that our shareholders who owned our common stock prior to our IPO would be liable for additional income taxes for those prior periods. Pursuant to the Tax Sharing Agreement,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our shareholders who owned our common stock prior to our IPO, who accepted distribution of the estimated balance of our federal accumulated adjustments account under the Tax Sharing Agreement, in an amount equal to such shareholders’ incremental tax liability (including interest and penalties), which amount may be material.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In both cases the amount of the payment will be based on the assumption that our shareholders are taxed at the highest federal and state income tax rates applicable to married individuals filing jointly and residing in California for the relevant periods. Our shareholders who owned our common stock prior to our IPO and accepted distribution of the estimated balance of our federal accumulated adjustments account under the Tax Sharing Agreement will, severally and not jointly, indemnify us with respect to our unpaid income tax liabilities (including interest and penalties) to the extent that such unpaid income tax liabilities are attributable to a decrease in any such shareholder’s taxable income for any tax period and a corresponding increase in our taxable income for any period (but only to the extent of the amount by which the shareholder’s tax liability is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investment in our common stock is not an insured deposit.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increased, and will continue to increase, our legal and financial compliance costs, will make some activities more difficult, time-consuming, or costly, and will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the impact of actions to mitigate the spread of the virus could adversely affect our business, financial condition, and results of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Federal, state, and local governments enacted various restrictions and policies in an attempt to limit the spread of COVID-19. Such measures disrupted economic activity and contributed to job losses and reductions in consumer and business spending. In response to the economic and financial effects of COVID-19, the Federal Reserve sharply reduced interest rates and instituted quantitative easing measures as well as domestic and global capital market support programs. In addition, the current and prior presidential administrations, Congress, various federal agencies, and state and local governments took measures to address the economic and social consequences of the pandemic, including the passage of the CARES Act, which was enacted on March 27, 2020, the Consolidated Appropriations Act, which was enacted on December 27, 2020, and the American Rescue Plan Act, which was enacted on March 11, 2021. The CARES Act provided wide-ranging economic relief for individuals and businesses impacted by COVID-19, and the Consolidated Appropriations Act and American Rescue Plan Act extended some of these relief provisions in certain respects as well as provided other forms of relief.</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CARES Act established and provided $349.0 billion in funding for the PPP, a loan program administered by the SBA. Under the PPP, small businesses, sole proprietorships, independent contractors, and self-employed individuals were able to apply for forgivable loans from existing SBA lenders and other approved regulated lenders that enrolled in the program, subject to numerous limitations and eligibility criteria. Congress appropriated additional funding to the PPP on April 24, 2020 and amended the PPP on June 5, 2020 to make the terms of the PPP loans and loan forgiveness more flexible. The Consolidated Appropriations Act provided additional funding for the PPP and allowed eligible borrowers, including certain borrowers who had already received a PPP loan, to apply for PPP loans through March 31, 2021. The American Rescue Plan Act expanded the eligibility criteria for both first and second draw PPP loans and revised the exclusions from payroll costs for purposes of loan forgiveness. The PPP Extension Act, which became law on March 30, 2021, extended the deadline to apply for a PPP loan through May 31, 2021. In April 2020, we began processing loan applications under the PPP.</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CARES Act and related guidance from the federal banking agencies provided financial institutions the option to temporarily suspend requirements under GAAP related to classification of certain loan modifications as TDRs to account for the effects of COVID-19. The CARES Act, as amended by the Consolidated Appropriations Act, specified that COVID-19 related loan modifications executed between March 1, 2020 and the earlier of:</w:t>
      </w:r>
    </w:p>
    <w:p>
      <w:pPr>
        <w:spacing w:after="0" w:line="2" w:lineRule="exact"/>
        <w:rPr>
          <w:sz w:val="20"/>
          <w:szCs w:val="20"/>
          <w:color w:val="auto"/>
        </w:rPr>
      </w:pPr>
    </w:p>
    <w:p>
      <w:pPr>
        <w:jc w:val="both"/>
        <w:ind w:firstLine="8"/>
        <w:spacing w:after="0" w:line="288" w:lineRule="auto"/>
        <w:tabs>
          <w:tab w:leader="none" w:pos="2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made a high level of loan modifications under our deferred payment program. Further, our loan portfolio includes loans that are in forbearance, but which are not classified as TDRs because they were current at the time forbearance began. When the forbearance periods end, we may be required to classify a substantial portion of these COVID-19 deferments as TDRs.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CARES Act and the Consolidated Appropriations Act also included a range of other provisions designed to support the U.S. economy and mitigate the impact of COVID-19 on financial institutions and their customers, including through the authorization of various programs and measures that the Treasury Department, the Federal Reserve, and other federal agencies may be or are required to implement. Among other provisions, sections 4022 and 4023 of the CARES Act provide mortgage loan forbearance relief to certain borrowers experiencing financial hardship during the COVID-19 emergency. The full impact on our lending and other business activities as a result of new government and regulatory policies, programs, and guidelines, as well as regulators’ reaction to such activities, remains uncertain.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6"/>
          <w:szCs w:val="16"/>
          <w:color w:val="auto"/>
        </w:rPr>
        <w:t>While the impact of the COVID-19 pandemic has begun to decrease in significance, its economic effects on financial markets and key market indices continue to impact overall economic activity. The uncertainty regarding the duration of the pandemic and the resulting economic disruption caused increased market volatility and led to an economic recession and a significant decrease in consumer confidence and business generally, the long-term effects of which remain uncertain. The continuation of these conditions (including whether due to a resurgence or additional waves or variants of COVID-19 infections, particularly as the geographic areas in which we operate determine whether and when to re-open, and how quickly and to what extent normal economic and operating conditions can resume, especially as a vaccine is now widely available), as well as the impacts of the CARES Act and other federal and state measures, specifically with respect to loan forbearances, has adversely affected our business, financial condition, and results of operations, and has and can be expected to further adversely impact our business, financial condition, and results of operations and the operations of our borrowers, customers, and business partners. In particular, these events have had, and/or can be expected to continue to have, the following effects, among others:</w:t>
      </w:r>
    </w:p>
    <w:p>
      <w:pPr>
        <w:spacing w:after="0" w:line="166"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impair the ability of borrowers to repay outstanding loans or other obligations, resulting in increases in delinquencies and modifications to loans;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 the value of collateral securing loans (particularly with respect to real estate);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 the value of our assets, including our securities portfolio, goodwill, and intangible assets;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an increase in our allowance for credit losses;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the stability of our deposit base or otherwise impair our liquidity;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our revenues from fee-based services;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negatively impact our self-insurance healthcare costs;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increased compliance risk as we become subject to new regulatory and other requirements, including new and changing guidance, associated with the PPP and other new programs in which we have participated;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 the ability of loan guarantors to honor commitments;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negatively impact our regulatory capital ratios;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negatively impact the productivity and availability of key personnel necessary to conduct our business and third-party service providers who perform critical services for us, or otherwise cause operational failures due to changes in our normal business practices necessitated by the pandemic and related governmental actions;</w:t>
      </w:r>
    </w:p>
    <w:p>
      <w:pPr>
        <w:spacing w:after="0" w:line="18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local, regional, and global business, including employment levels and supply chain shortages;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cyber and payment fraud risk and other operational risks, given increased online and remote activity.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Prolonged measures by health or other governmental authorities encouraging or requiring significant restrictions on travel, assembly, or other core business practices could further harm our business and those of our customers, in particular our small to medium-sized business customers. Although we have business continuity plans and other safeguards in place, there is no assurance that they will be effective.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ultimate impact of these factors over the longer term is uncertain and we do not yet know the full extent of the impacts on our business, our operations, or the global economy as a whole, nor the pace of continued economic recovery when the COVID-19 pandemic subsides, the decline in economic conditions generally, and a prolonged negative impact on small to medium-sized businesses in particular, due to COVID-19 is likely to result in an adverse effect on our business, financial condition, and results of operations in future periods, and may heighten many of our known risks.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We are dependent on our management team and key employees.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is largely dependent upon our ability to successfully execute our business strategy.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pursue strategic acquisitions in the future, and we may not be able to overcome risks associated with such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or acquisition activities could be material to our business and involve a number of risks including the following:</w:t>
      </w:r>
    </w:p>
    <w:p>
      <w:pPr>
        <w:spacing w:after="0" w:line="225" w:lineRule="exact"/>
        <w:rPr>
          <w:sz w:val="20"/>
          <w:szCs w:val="20"/>
          <w:color w:val="auto"/>
        </w:rPr>
      </w:pPr>
    </w:p>
    <w:p>
      <w:pPr>
        <w:ind w:left="800" w:hanging="401"/>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the combined businesses;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the target institution or assets;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of impairment to goodwill or OTTI of investment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employees or key customers following our investment or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lines of business, products, product enhancements, or services may subject us to additional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is critical to our business, and damage to it could have an adverse effect on 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publicity about us, whether accurate or not, may also damage our reputation, which could have an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right="20"/>
        <w:spacing w:after="0" w:line="282" w:lineRule="auto"/>
        <w:rPr>
          <w:sz w:val="20"/>
          <w:szCs w:val="20"/>
          <w:color w:val="auto"/>
        </w:rPr>
      </w:pPr>
      <w:r>
        <w:rPr>
          <w:rFonts w:ascii="Arial" w:cs="Arial" w:eastAsia="Arial" w:hAnsi="Arial"/>
          <w:sz w:val="18"/>
          <w:szCs w:val="18"/>
          <w:b w:val="1"/>
          <w:bCs w:val="1"/>
          <w:color w:val="auto"/>
        </w:rPr>
        <w:t>Our operations could be interrupted if our third-party service providers experience difficulty, terminate their services, or fail to comply with banking regulations.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due to an interagency effort to replace existing guidance on the risk management of third-party relationships with new guidance.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damage to our reputation, and other potential losses.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Failures in, or breaches of, our computer systems and network infrastructure, or those of our third-party vendors or other service providers, including as a result of cyber-attacks, could disrupt our business, result in the disclosure or misuse of confidential or proprietary information, damage our reputation,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significant liability to us and damage to our reputation and may discourage current and potential customers from using our internet banking services. Our security measures, including firewalls and penetration testing, may not prevent or detect future potential losses from system failures or cybersecurity breaches.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normal course of business, we collect, process, and retain sensitive and confidential information regarding our customers. Although we devote significant resources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supervisory criticism,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Information security risks for financial institutions like us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federal banking agencies issued a final rule in November 2021 that requires banking organizations to notify their primary federal regulator of significant computer security incidents within 36 hours of determining that such an incident has occurred. The compliance date of this rule is May 1, 2022. Failure to comply with this rule in the event of such an incident could result in sanctions by regulatory agencies, civil money penalties, and/or damage to our reputation, all of which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our business could be disrupted by natural or man-made disasters or the effects of climate change.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fires, mudslides, floods, and other natural disasters, such as the recent fires that impacted several counties in California, including Orange and Napa.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spacing w:after="0" w:line="282" w:lineRule="auto"/>
        <w:rPr>
          <w:sz w:val="20"/>
          <w:szCs w:val="20"/>
          <w:color w:val="auto"/>
        </w:rPr>
      </w:pPr>
      <w:r>
        <w:rPr>
          <w:rFonts w:ascii="Arial" w:cs="Arial" w:eastAsia="Arial" w:hAnsi="Arial"/>
          <w:sz w:val="18"/>
          <w:szCs w:val="18"/>
          <w:b w:val="1"/>
          <w:bCs w:val="1"/>
          <w:color w:val="auto"/>
        </w:rPr>
        <w:t>We are subject to an extensive body of accounting rules and best practices. Periodic changes to such rules may change the treatment and recognition of critical financial line items.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loan losses on the basis of the current expected loan losses over the lifetime of our loans, which is expected to be applicable to us beginning in 2023, and may result in increases in our allowance for loan losses and future provisions for loan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accuracy of our consolidated financial statements and related disclosures could be affected if the judgments, assumptions, or estimates used in our critical accounting policies are inaccurate.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headquarters is located at 3100 Zinfandel Drive, Suite 100, Rancho Cordova, CA 95670. As of December 31, 2021, in addition to our corporate headquarters, which includes our Rancho Cordova branch, we operated six other branch offices in Roseville, Natomas, Redding, Elk Grove, Chico, and Yuba City and two commercial loan production offices in Santa Rosa and Sacramento. We lease our corporate headquarters and all of our other offices. The lease on our corporate headquarters expires in 2026, and the leases on our branch offices and commercial loan production offices expire in 2022 through 2032. We believe that these facilities and additional or alternative space available to us are adequate to meet our needs for the foreseeable future.</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00"/>
        <w:spacing w:after="0" w:line="479"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 Holders of Common Stock, and Dividends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no par value per share, is traded on the Nasdaq Global Select Market under the symbol “FSBC.” On December 31, 2021, there were 240 holders of record of the Company’s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paid cash dividends on its common stock in every quarter since January 2002, with the exception of the third and fourth quarters of 2009 and all quarters of 2010. Historically, we had been treated as an S Corporation for U.S. federal income tax purposes, and as such, we had paid distributions to our existing shareholders to assist them in paying the U.S. federal income taxes on our taxable income that was “passed through” to them, as well as additional amounts for returns on capital. Following the completion of our IPO, our dividend policy and practice has changed, as we are now taxed as a C Corporation and, therefore, no longer pay distributions to provide our shareholders with funds to pay U.S. federal income tax on their pro rata portion of our taxable income.</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As of December 31, 2021, there was $15.5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Regulation—Supervision and Regulation of the Company—Payment of Dividends and Stock Repurchases” and “Part I, Item 1. Business—Supervision and Regulation—Supervision and Regulation of the Bank—Payment of Dividends.”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12. Security Ownership of Certain Beneficial Owners and Management and Related Shareholder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7, 2021, we completed our IPO of 6,054,750 shares of our common stock at an IPO price of $20.00 per share, including 789,750 shares pursuant to the exercise of the underwriters’ option to purchase additional shares of our common stock.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 Keefe, Bruyette &amp; Woods, Inc. acted as bookrunner for the IPO, and Stephens Inc. and D.A. Davidson acted as co-managers. None of the expenses associated with the IPO were paid to directors, officers, affiliates, persons owning 10% or more of any class of equity securities, or their associates.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shares issued and sold in our IPO were registered under the Securities Act pursuant to a Registration Statement on Form S-1 (File No. 333-255143) (the “Registration Statement”), which was declared effective by the SEC on May 4, 2021. We have used the proceeds from our IPO as disclosed in our final prospectus dated as of May 4, 2021 and filed with the SEC pursuant to Rule 424(b)(4) on May 6, 2021, including a cash distribution in the amount of $27.0 million to our shareholders of record as of May 3, 2021, paid on May 21, 2021, and there has been no material change in the planned use of proceeds. No proceeds currently remain from the IPO.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presents management’s perspective on our financial condition and results of operations on a consolidated basis. However, because we conduct all of our material business operations through the Bank, the discussion and analysis relate to activities primarily conducted by the Bank. This discussion and analysis should be read in conjunction with the audited consolidated financial statements and the accompanying notes presented elsewhere in this Annual Report on Form 10-K. Average balances, including balances used in calculating certain financial ratios, are generally comprised of average daily balances.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and two loan production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2021, we had total assets of $2.6 billion, total loans, net of allowance for loan losses, of $1.9 billion, and total deposits of $2.3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and the impact of actions to mitigate the spread of the virus affected our business, financial condition, and results of operations in the year ended December 31, 2021. During the year, we maintained our focus on relationship-based banking and made the health and safety of our customers and employees our priority. To help protect our customers and their finances during the pandemic, while all of our branches were open, we took into account guidelines from public health officials, and encouraged our customers to conduct business with us via phone, online banking, and mobile apps.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financial results for the year ended December 31, 2021 were also impacted by the COVID-19 pandemic. On March 27, 2020, the CARES Act was enacted, providing wide ranging economic relief for individuals and businesses impacted by COVID-19, including the Paycheck Protection Program (“PPP”), a loan program administered by the SBA. The Consolidated Appropriations Act, 2021 (the “Consolidated Appropriations Act”) enacted on December 27, 2020, extended some of these relief provisions in certain respects, and the PPP Extension Act of 2021, enacted on March 30, 2021, extended the deadline to apply for a PPP loan through May 31, 2021. Under the PPP if a loan is fully forgiven, the SBA will repay the lending bank in full. If a loan is partially forgiven or not forgiven at all, a lender must look to the borrower for repayment of unforgiven principal and interest. If the borrower defaults, in part or in full, the loan is guaranteed by the SBA.</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responsiveness and certainty of execution resulted in our ability to quickly provide 1,602 PPP loans to 1,239 customers nationwide, approximately 39% of which were new customers as of December 31, 2021. Because of our relationship-based banking approach, the influx of new customers contributed to a corresponding increase in deposits in the year ended December 31, 2020, which continued into the year ended December 31, 2021. Our balance of PPP loans at December 31, 2021 was $22.1 million, or 1.14% of total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spacing w:after="0" w:line="285" w:lineRule="auto"/>
        <w:rPr>
          <w:sz w:val="20"/>
          <w:szCs w:val="20"/>
          <w:color w:val="auto"/>
        </w:rPr>
      </w:pPr>
      <w:r>
        <w:rPr>
          <w:rFonts w:ascii="Arial" w:cs="Arial" w:eastAsia="Arial" w:hAnsi="Arial"/>
          <w:sz w:val="16"/>
          <w:szCs w:val="16"/>
          <w:color w:val="auto"/>
        </w:rPr>
        <w:t>Additionally, the uncertainty and economic downturn caused by the COVID-19 pandemic affected our overall existing loan portfolio. In 2020, our methodology for evaluating the allowance for loan losses was affected by the COVID-19 pandemic, resulting in higher reserve levels primarily related to our commercial secured portfolio. In 2021, we continued to monitor higher risk concentrations identified in the loan portfolio for ongoing effects from COVID-19 and the impact on the economy. During 2021, reserve amounts were positively impacted by improved economic conditions and reductions to reserves required for classified and watch loans, which was offset by additional provisions required for loan growth during the year. We also recognized COVID-19 deferments and related modifications on our loan portfolio more generally. 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troubled debt restructurings (“TDRs”) under ASC Subtopic 310-40, “Troubled Debt Restructuring by Creditors.” These modifications include short-term (e.g., up to six months) modifications such as payment deferrals, fee waivers, extensions of repayment terms, or delays in payment that are insignificant. We elected to apply these temporary accounting provisions to loans under payment relief beginning in March 2020. As of December 31, 2021, six loans totaling $12.2 million, or 0.63% of the loan portfolio, were in a COVID-19 deferment period and three loans totaling $0.1 million had been in a COVID-19 deferment in the third quarter of 2021 but were not in such deferment as of December 31, 2021. None of the loans that received COVID-19 deferments in the fourth quarter of 2021 had the principal portion deferred to the respective maturity of the loan.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our deposits and short-term borrowings is primarily based on short-term interest rates, which are largely driven by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that interest rates may rise over the next few years. Based on our asset sensitivity, a steepened yield curve could have a beneficial impact on our net interest income. Additionally, a continued flat yield curve would be expected to maintain our net interest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Corporation Status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Beginning at our inception, we elected to be taxed for U.S. federal income tax purposes as an S Corporation. In conjunction with our IPO, we filed consents from the requisite amount of our shareholders to revoke our S Corporation election with the Internal Revenue Service (the “IRS”),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2020 financial statements and the other related financial information set forth in this Annual Report on Form 10-K,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67" w:lineRule="auto"/>
        <w:rPr>
          <w:sz w:val="20"/>
          <w:szCs w:val="20"/>
          <w:color w:val="auto"/>
        </w:rPr>
      </w:pPr>
      <w:r>
        <w:rPr>
          <w:rFonts w:ascii="Arial" w:cs="Arial" w:eastAsia="Arial" w:hAnsi="Arial"/>
          <w:sz w:val="17"/>
          <w:szCs w:val="17"/>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$27.0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deferred tax assets and liabilities were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highlights of the financial results table within the section entitled “—Executive Summary” below for the impact of being taxed as a C Corporation on our net income, EPS, and various other financial measures for the years ended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Company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our IPO, we began to, and will continue to,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Sarbanes-Oxley Act, as well as rules adopted by the SEC, the FDIC,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that are generally accepted in the United States.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and Allowance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allowance for loan losses represents the estimated probable incurred loan losses in our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allowance for loan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amount of the allowance for loan losses is measured on a collective (pool) basis by loan type when similar risk characteristics exist. For loans evaluated collectively, the allowance for loan losses is determined using historical losses adjusted for qualitative and environmental factors to reflect current conditions. The most significant components of qualitative and environmental factors used to estimate the allowance for loan losses are adjustments relating to prevailing economic conditions and volume of the loan portfolio. The prevailing economic conditions factor is estimated based on a range of potential economic conditions and is applied at both the portfolio and individual concentration level based on various factors. This estimate is subject to significant judgment and could potentially add $7.5 million based on existing loan balances, if not more, to the allowance for loan losses in pessimistic economic conditions. The volume of the loan portfolio is estimated based on growth rates in the prior year combined with an assessment of underwriting and credit standards. This estimate is subject to significant judgment and could potentially add $2.9 million based on existing loan balances, if not more, to the allowance for loan losses based on growth due to significant changes to underwriting standards. The concentrations estimate of qualitative and environmental factors is determined by the overall market outlook and is focused on significant concentrations within the loan portfolio. This estimate is subject to significant judgment and could potentially add $5.3 million based on existing loan balances, if not more, to the allowance for loan losses based on a pessimistic market outlook for the specifically identified concentration.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tax rates expected to apply to taxable income in the years in which those temporary differences are expected to be recovered or settled. A valuation allowance, if needed, reduces deferred tax assets to the amount expected to be realized. These estimates are determined using information available in the current year and are subject to change. As of December 31, 2021, the estimated net deferred tax asset was approximately $4.9 million and was estimated using an estimated blended statutory tax rate of 29.56%. Actual enacted tax rates upon recognition of the tax asset could vary significantly from our initial estimate.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 tax positions are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 As of December 31, 2021, the Company did not recognize any uncertain tax positions.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strategic focus is to continue to grow organically by leveraging our existing core competencies and positioning our business for success in the evolving banking landscape. In leveraging our core competencies, we intend to:</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organic lending growth in our market through our “purpose-driven and integrity-centered” approach to banking;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focus and grow each of the diverse industry clusters throughout our market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upon the strength of our brand to deepen and broaden client relationships and grow our deposit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additional banking professionals with track records of driving revenue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our disciplined credit underwriting and robust risk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disciplined cost management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our technology platforms to improve our efficiency;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engage in the economic development of our communities and market areas.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Highlights of the financial results are presented in the following tables: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440" w:type="dxa"/>
            <w:vAlign w:val="bottom"/>
            <w:gridSpan w:val="3"/>
          </w:tcPr>
          <w:p>
            <w:pPr>
              <w:ind w:left="2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financial condition data:</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2,556,761</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   1,953,765</w:t>
            </w:r>
          </w:p>
        </w:tc>
      </w:tr>
      <w:tr>
        <w:trPr>
          <w:trHeight w:val="216"/>
        </w:trPr>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net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1,921,888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1,485,790</w:t>
            </w:r>
          </w:p>
        </w:tc>
      </w:tr>
      <w:tr>
        <w:trPr>
          <w:trHeight w:val="216"/>
        </w:trPr>
        <w:tc>
          <w:tcPr>
            <w:tcW w:w="8520" w:type="dxa"/>
            <w:vAlign w:val="bottom"/>
            <w:gridSpan w:val="2"/>
          </w:tcPr>
          <w:p>
            <w:pPr>
              <w:ind w:left="160"/>
              <w:spacing w:after="0"/>
              <w:rPr>
                <w:sz w:val="20"/>
                <w:szCs w:val="20"/>
                <w:color w:val="auto"/>
              </w:rPr>
            </w:pPr>
            <w:r>
              <w:rPr>
                <w:rFonts w:ascii="Arial" w:cs="Arial" w:eastAsia="Arial" w:hAnsi="Arial"/>
                <w:sz w:val="18"/>
                <w:szCs w:val="18"/>
                <w:color w:val="auto"/>
              </w:rPr>
              <w:t>Total deposits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2,285,890</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1,784,001</w:t>
            </w:r>
          </w:p>
        </w:tc>
      </w:tr>
      <w:tr>
        <w:trPr>
          <w:trHeight w:val="216"/>
        </w:trPr>
        <w:tc>
          <w:tcPr>
            <w:tcW w:w="8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subordinated notes, net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28,386</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28,320</w:t>
            </w:r>
          </w:p>
        </w:tc>
      </w:tr>
      <w:tr>
        <w:trPr>
          <w:trHeight w:val="216"/>
        </w:trPr>
        <w:tc>
          <w:tcPr>
            <w:tcW w:w="852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235,046</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133,775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quality ratios:</w:t>
            </w:r>
          </w:p>
        </w:tc>
        <w:tc>
          <w:tcPr>
            <w:tcW w:w="5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Allowance for loan losses to total loans</w:t>
            </w:r>
          </w:p>
        </w:tc>
        <w:tc>
          <w:tcPr>
            <w:tcW w:w="5080" w:type="dxa"/>
            <w:vAlign w:val="bottom"/>
          </w:tcPr>
          <w:p>
            <w:pPr>
              <w:jc w:val="right"/>
              <w:ind w:right="390"/>
              <w:spacing w:after="0"/>
              <w:rPr>
                <w:sz w:val="20"/>
                <w:szCs w:val="20"/>
                <w:color w:val="auto"/>
              </w:rPr>
            </w:pPr>
            <w:r>
              <w:rPr>
                <w:rFonts w:ascii="Arial" w:cs="Arial" w:eastAsia="Arial" w:hAnsi="Arial"/>
                <w:sz w:val="18"/>
                <w:szCs w:val="18"/>
                <w:color w:val="auto"/>
              </w:rPr>
              <w:t>1.20%</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7"/>
        </w:trPr>
        <w:tc>
          <w:tcPr>
            <w:tcW w:w="51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9"/>
              </w:rPr>
              <w:t>Allowance for loan losses to total loans, excluding PPP loans</w:t>
            </w:r>
            <w:r>
              <w:rPr>
                <w:rFonts w:ascii="Arial" w:cs="Arial" w:eastAsia="Arial" w:hAnsi="Arial"/>
                <w:sz w:val="29"/>
                <w:szCs w:val="29"/>
                <w:color w:val="auto"/>
                <w:w w:val="99"/>
                <w:vertAlign w:val="superscript"/>
              </w:rPr>
              <w:t>1</w:t>
            </w:r>
          </w:p>
        </w:tc>
        <w:tc>
          <w:tcPr>
            <w:tcW w:w="5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Allowance for loan losses to period end nonperforming loans</w:t>
            </w:r>
          </w:p>
        </w:tc>
        <w:tc>
          <w:tcPr>
            <w:tcW w:w="5080" w:type="dxa"/>
            <w:vAlign w:val="bottom"/>
          </w:tcPr>
          <w:p>
            <w:pPr>
              <w:jc w:val="right"/>
              <w:ind w:right="450"/>
              <w:spacing w:after="0"/>
              <w:rPr>
                <w:sz w:val="20"/>
                <w:szCs w:val="20"/>
                <w:color w:val="auto"/>
              </w:rPr>
            </w:pPr>
            <w:r>
              <w:rPr>
                <w:rFonts w:ascii="Arial" w:cs="Arial" w:eastAsia="Arial" w:hAnsi="Arial"/>
                <w:sz w:val="18"/>
                <w:szCs w:val="18"/>
                <w:color w:val="auto"/>
              </w:rPr>
              <w:t>39.54x</w:t>
            </w:r>
          </w:p>
        </w:tc>
        <w:tc>
          <w:tcPr>
            <w:tcW w:w="1060" w:type="dxa"/>
            <w:vAlign w:val="bottom"/>
          </w:tcPr>
          <w:p>
            <w:pPr>
              <w:jc w:val="right"/>
              <w:spacing w:after="0"/>
              <w:rPr>
                <w:sz w:val="20"/>
                <w:szCs w:val="20"/>
                <w:color w:val="auto"/>
              </w:rPr>
            </w:pPr>
            <w:r>
              <w:rPr>
                <w:rFonts w:ascii="Arial" w:cs="Arial" w:eastAsia="Arial" w:hAnsi="Arial"/>
                <w:sz w:val="18"/>
                <w:szCs w:val="18"/>
                <w:color w:val="auto"/>
              </w:rPr>
              <w:t>49.09x</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loans to period end loans</w:t>
            </w:r>
          </w:p>
        </w:tc>
        <w:tc>
          <w:tcPr>
            <w:tcW w:w="5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5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5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13.98%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Tier 1 capital (to risk-weighted assets)</w:t>
            </w:r>
          </w:p>
        </w:tc>
        <w:tc>
          <w:tcPr>
            <w:tcW w:w="5080" w:type="dxa"/>
            <w:vAlign w:val="bottom"/>
          </w:tcPr>
          <w:p>
            <w:pPr>
              <w:jc w:val="right"/>
              <w:ind w:right="390"/>
              <w:spacing w:after="0"/>
              <w:rPr>
                <w:sz w:val="20"/>
                <w:szCs w:val="20"/>
                <w:color w:val="auto"/>
              </w:rPr>
            </w:pPr>
            <w:r>
              <w:rPr>
                <w:rFonts w:ascii="Arial" w:cs="Arial" w:eastAsia="Arial" w:hAnsi="Arial"/>
                <w:sz w:val="18"/>
                <w:szCs w:val="18"/>
                <w:color w:val="auto"/>
              </w:rPr>
              <w:t>11.44%</w:t>
            </w:r>
          </w:p>
        </w:tc>
        <w:tc>
          <w:tcPr>
            <w:tcW w:w="106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equity Tier 1 capital (to risk-weighted assets)</w:t>
            </w:r>
          </w:p>
        </w:tc>
        <w:tc>
          <w:tcPr>
            <w:tcW w:w="5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11.44%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100" w:type="dxa"/>
            <w:vAlign w:val="bottom"/>
          </w:tcPr>
          <w:p>
            <w:pPr>
              <w:ind w:left="160"/>
              <w:spacing w:after="0"/>
              <w:rPr>
                <w:sz w:val="20"/>
                <w:szCs w:val="20"/>
                <w:color w:val="auto"/>
              </w:rPr>
            </w:pPr>
            <w:r>
              <w:rPr>
                <w:rFonts w:ascii="Arial" w:cs="Arial" w:eastAsia="Arial" w:hAnsi="Arial"/>
                <w:sz w:val="18"/>
                <w:szCs w:val="18"/>
                <w:color w:val="auto"/>
              </w:rPr>
              <w:t>Tier 1 leverage ratio</w:t>
            </w:r>
          </w:p>
        </w:tc>
        <w:tc>
          <w:tcPr>
            <w:tcW w:w="5080" w:type="dxa"/>
            <w:vAlign w:val="bottom"/>
          </w:tcPr>
          <w:p>
            <w:pPr>
              <w:jc w:val="right"/>
              <w:ind w:right="390"/>
              <w:spacing w:after="0"/>
              <w:rPr>
                <w:sz w:val="20"/>
                <w:szCs w:val="20"/>
                <w:color w:val="auto"/>
              </w:rPr>
            </w:pPr>
            <w:r>
              <w:rPr>
                <w:rFonts w:ascii="Arial" w:cs="Arial" w:eastAsia="Arial" w:hAnsi="Arial"/>
                <w:sz w:val="18"/>
                <w:szCs w:val="18"/>
                <w:color w:val="auto"/>
              </w:rPr>
              <w:t>9.47%</w:t>
            </w: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shareholders’ equity to total assets ratio</w:t>
            </w:r>
          </w:p>
        </w:tc>
        <w:tc>
          <w:tcPr>
            <w:tcW w:w="5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390"/>
        </w:trPr>
        <w:tc>
          <w:tcPr>
            <w:tcW w:w="5100" w:type="dxa"/>
            <w:vAlign w:val="bottom"/>
          </w:tcPr>
          <w:p>
            <w:pPr>
              <w:ind w:left="160"/>
              <w:spacing w:after="0"/>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9"/>
                <w:szCs w:val="29"/>
                <w:color w:val="auto"/>
                <w:vertAlign w:val="superscript"/>
              </w:rPr>
              <w:t>2</w:t>
            </w:r>
          </w:p>
        </w:tc>
        <w:tc>
          <w:tcPr>
            <w:tcW w:w="5080" w:type="dxa"/>
            <w:vAlign w:val="bottom"/>
          </w:tcPr>
          <w:p>
            <w:pPr>
              <w:jc w:val="right"/>
              <w:ind w:right="390"/>
              <w:spacing w:after="0"/>
              <w:rPr>
                <w:sz w:val="20"/>
                <w:szCs w:val="20"/>
                <w:color w:val="auto"/>
              </w:rPr>
            </w:pPr>
            <w:r>
              <w:rPr>
                <w:rFonts w:ascii="Arial" w:cs="Arial" w:eastAsia="Arial" w:hAnsi="Arial"/>
                <w:sz w:val="18"/>
                <w:szCs w:val="18"/>
                <w:color w:val="auto"/>
              </w:rPr>
              <w:t>9.19%</w:t>
            </w: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98"/>
        </w:trPr>
        <w:tc>
          <w:tcPr>
            <w:tcW w:w="5100" w:type="dxa"/>
            <w:vAlign w:val="bottom"/>
          </w:tcPr>
          <w:p>
            <w:pPr>
              <w:spacing w:after="0"/>
              <w:rPr>
                <w:sz w:val="24"/>
                <w:szCs w:val="24"/>
                <w:color w:val="auto"/>
              </w:rPr>
            </w:pPr>
          </w:p>
        </w:tc>
        <w:tc>
          <w:tcPr>
            <w:tcW w:w="5080" w:type="dxa"/>
            <w:vAlign w:val="bottom"/>
          </w:tcPr>
          <w:p>
            <w:pPr>
              <w:jc w:val="right"/>
              <w:ind w:right="4370"/>
              <w:spacing w:after="0"/>
              <w:rPr>
                <w:sz w:val="20"/>
                <w:szCs w:val="20"/>
                <w:color w:val="auto"/>
              </w:rPr>
            </w:pPr>
            <w:r>
              <w:rPr>
                <w:rFonts w:ascii="Arial" w:cs="Arial" w:eastAsia="Arial" w:hAnsi="Arial"/>
                <w:sz w:val="18"/>
                <w:szCs w:val="18"/>
                <w:color w:val="auto"/>
              </w:rPr>
              <w:t>50</w:t>
            </w:r>
          </w:p>
        </w:tc>
        <w:tc>
          <w:tcPr>
            <w:tcW w:w="1060" w:type="dxa"/>
            <w:vAlign w:val="bottom"/>
          </w:tcPr>
          <w:p>
            <w:pPr>
              <w:spacing w:after="0"/>
              <w:rPr>
                <w:sz w:val="24"/>
                <w:szCs w:val="24"/>
                <w:color w:val="auto"/>
              </w:rPr>
            </w:pPr>
          </w:p>
        </w:tc>
      </w:tr>
      <w:tr>
        <w:trPr>
          <w:trHeight w:val="128"/>
        </w:trPr>
        <w:tc>
          <w:tcPr>
            <w:tcW w:w="5100" w:type="dxa"/>
            <w:vAlign w:val="bottom"/>
            <w:tcBorders>
              <w:bottom w:val="single" w:sz="8" w:color="DCDCDC"/>
            </w:tcBorders>
          </w:tcPr>
          <w:p>
            <w:pPr>
              <w:spacing w:after="0"/>
              <w:rPr>
                <w:sz w:val="11"/>
                <w:szCs w:val="11"/>
                <w:color w:val="auto"/>
              </w:rPr>
            </w:pPr>
          </w:p>
        </w:tc>
        <w:tc>
          <w:tcPr>
            <w:tcW w:w="5080" w:type="dxa"/>
            <w:vAlign w:val="bottom"/>
            <w:tcBorders>
              <w:bottom w:val="single" w:sz="8" w:color="DCDCDC"/>
            </w:tcBorders>
          </w:tcPr>
          <w:p>
            <w:pPr>
              <w:spacing w:after="0"/>
              <w:rPr>
                <w:sz w:val="11"/>
                <w:szCs w:val="11"/>
                <w:color w:val="auto"/>
              </w:rPr>
            </w:pPr>
          </w:p>
        </w:tc>
        <w:tc>
          <w:tcPr>
            <w:tcW w:w="106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1"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For the year ended</w:t>
            </w:r>
          </w:p>
        </w:tc>
      </w:tr>
      <w:tr>
        <w:trPr>
          <w:trHeight w:val="191"/>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6"/>
                <w:szCs w:val="16"/>
                <w:color w:val="auto"/>
              </w:rPr>
            </w:pPr>
          </w:p>
        </w:tc>
      </w:tr>
      <w:tr>
        <w:trPr>
          <w:trHeight w:val="234"/>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 except share and per share data)</w:t>
            </w: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77,611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65,210</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Non-interest income</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7,280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9,302</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expense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28,257</w:t>
            </w: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42,441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35,928</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Book value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13.65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12.16</w:t>
            </w:r>
          </w:p>
        </w:tc>
      </w:tr>
      <w:tr>
        <w:trPr>
          <w:trHeight w:val="257"/>
        </w:trPr>
        <w:tc>
          <w:tcPr>
            <w:tcW w:w="8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Tangible book value per share</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Weighted average basic common shares outstanding</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14,972,637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10,063,183</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14,995,213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10,063,183</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17,224,848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11,000,273</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pro forma operating data: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Pro forma net income</w:t>
            </w:r>
            <w:r>
              <w:rPr>
                <w:rFonts w:ascii="Arial" w:cs="Arial" w:eastAsia="Arial" w:hAnsi="Arial"/>
                <w:sz w:val="29"/>
                <w:szCs w:val="29"/>
                <w:color w:val="auto"/>
                <w:vertAlign w:val="superscript"/>
              </w:rPr>
              <w:t>4</w:t>
            </w: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37,813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26,242</w:t>
            </w:r>
          </w:p>
        </w:tc>
      </w:tr>
      <w:tr>
        <w:trPr>
          <w:trHeight w:val="257"/>
        </w:trPr>
        <w:tc>
          <w:tcPr>
            <w:tcW w:w="84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Pro forma provision for income taxes</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9,335</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11,013</w:t>
            </w:r>
          </w:p>
        </w:tc>
      </w:tr>
      <w:tr>
        <w:trPr>
          <w:trHeight w:val="256"/>
        </w:trPr>
        <w:tc>
          <w:tcPr>
            <w:tcW w:w="8400" w:type="dxa"/>
            <w:vAlign w:val="bottom"/>
            <w:gridSpan w:val="2"/>
          </w:tcPr>
          <w:p>
            <w:pPr>
              <w:spacing w:after="0" w:line="256" w:lineRule="exact"/>
              <w:rPr>
                <w:sz w:val="20"/>
                <w:szCs w:val="20"/>
                <w:color w:val="auto"/>
              </w:rPr>
            </w:pPr>
            <w:r>
              <w:rPr>
                <w:rFonts w:ascii="Arial" w:cs="Arial" w:eastAsia="Arial" w:hAnsi="Arial"/>
                <w:sz w:val="18"/>
                <w:szCs w:val="18"/>
                <w:color w:val="auto"/>
              </w:rPr>
              <w:t>Pro forma earnings per common share</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Performance and other financial ratios: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Return on average assets (“ROAA”)</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on average equity (“ROAE”)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31.16%</w:t>
            </w: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funds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r>
      <w:tr>
        <w:trPr>
          <w:trHeight w:val="216"/>
        </w:trPr>
        <w:tc>
          <w:tcPr>
            <w:tcW w:w="8400" w:type="dxa"/>
            <w:vAlign w:val="bottom"/>
            <w:gridSpan w:val="2"/>
          </w:tcPr>
          <w:p>
            <w:pPr>
              <w:ind w:left="160"/>
              <w:spacing w:after="0"/>
              <w:rPr>
                <w:sz w:val="20"/>
                <w:szCs w:val="20"/>
                <w:color w:val="auto"/>
              </w:rPr>
            </w:pPr>
            <w:r>
              <w:rPr>
                <w:rFonts w:ascii="Arial" w:cs="Arial" w:eastAsia="Arial" w:hAnsi="Arial"/>
                <w:sz w:val="18"/>
                <w:szCs w:val="18"/>
                <w:color w:val="auto"/>
              </w:rPr>
              <w:t>Efficiency ratio</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37.92%</w:t>
            </w:r>
          </w:p>
        </w:tc>
      </w:tr>
      <w:tr>
        <w:trPr>
          <w:trHeight w:val="216"/>
        </w:trPr>
        <w:tc>
          <w:tcPr>
            <w:tcW w:w="8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equity to average assets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56"/>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9"/>
                <w:szCs w:val="29"/>
                <w:color w:val="auto"/>
                <w:vertAlign w:val="superscript"/>
              </w:rPr>
              <w:t>5</w:t>
            </w:r>
          </w:p>
        </w:tc>
        <w:tc>
          <w:tcPr>
            <w:tcW w:w="2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160.52%</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73.66%</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pro forma ratios: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840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Pro forma ROAA</w:t>
            </w:r>
            <w:r>
              <w:rPr>
                <w:rFonts w:ascii="Arial" w:cs="Arial" w:eastAsia="Arial" w:hAnsi="Arial"/>
                <w:sz w:val="29"/>
                <w:szCs w:val="29"/>
                <w:color w:val="auto"/>
                <w:vertAlign w:val="superscript"/>
              </w:rPr>
              <w:t>4, 6</w:t>
            </w:r>
          </w:p>
        </w:tc>
        <w:tc>
          <w:tcPr>
            <w:tcW w:w="2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257"/>
        </w:trPr>
        <w:tc>
          <w:tcPr>
            <w:tcW w:w="84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Pro forma ROAE</w:t>
            </w:r>
            <w:r>
              <w:rPr>
                <w:rFonts w:ascii="Arial" w:cs="Arial" w:eastAsia="Arial" w:hAnsi="Arial"/>
                <w:sz w:val="29"/>
                <w:szCs w:val="29"/>
                <w:color w:val="auto"/>
                <w:vertAlign w:val="superscript"/>
              </w:rPr>
              <w:t>4, 6</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w:t>
            </w:r>
          </w:p>
        </w:tc>
      </w:tr>
    </w:tbl>
    <w:p>
      <w:pPr>
        <w:spacing w:after="0" w:line="202" w:lineRule="exact"/>
        <w:rPr>
          <w:sz w:val="20"/>
          <w:szCs w:val="20"/>
          <w:color w:val="auto"/>
        </w:rPr>
      </w:pPr>
    </w:p>
    <w:p>
      <w:pPr>
        <w:jc w:val="both"/>
        <w:ind w:left="340" w:hanging="332"/>
        <w:spacing w:after="0" w:line="218" w:lineRule="auto"/>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allowance for loan losses to total loans, excluding PPP loans, is considered a non-GAAP financial measure. See the section entitled “Non-GAAP Financial Measures” for a reconciliation of our non-GAAP measures to the most directly comparable GAAP financial measure. Allowance for loan losses to total loans, excluding PPP loans, is defined as allowance for loan losses, divided by total loans less PPP loans. The most directly comparable GAAP financial measure is allowance for loan losses to total loans.</w:t>
      </w:r>
    </w:p>
    <w:p>
      <w:pPr>
        <w:spacing w:after="0" w:line="203" w:lineRule="exact"/>
        <w:rPr>
          <w:sz w:val="20"/>
          <w:szCs w:val="20"/>
          <w:color w:val="auto"/>
        </w:rPr>
      </w:pPr>
    </w:p>
    <w:p>
      <w:pPr>
        <w:jc w:val="both"/>
        <w:ind w:left="340" w:hanging="332"/>
        <w:spacing w:after="0" w:line="227"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Tangible shareholders’ equity to tangible assets is considered a non-GAAP financial measure. See the section entitled “Non-GAAP Financial Measures” for a reconciliation of our non-GAAP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207" w:lineRule="exact"/>
        <w:rPr>
          <w:sz w:val="20"/>
          <w:szCs w:val="20"/>
          <w:color w:val="auto"/>
        </w:rPr>
      </w:pPr>
    </w:p>
    <w:p>
      <w:pPr>
        <w:jc w:val="both"/>
        <w:ind w:left="340" w:hanging="332"/>
        <w:spacing w:after="0" w:line="253"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Tangible book value per share is considered a non-GAAP financial measure. See the section entitled “Non-GAAP Financial Measures” for a reconciliation of our non-GAAP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of the dates indicated. As a result, tangible book value per share is the same as book value per share at the end of each of the periods indicated.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3" w:name="page54"/>
    <w:bookmarkEnd w:id="53"/>
    <w:p>
      <w:pPr>
        <w:jc w:val="both"/>
        <w:ind w:left="340" w:hanging="332"/>
        <w:spacing w:after="0" w:line="239" w:lineRule="auto"/>
        <w:tabs>
          <w:tab w:leader="none" w:pos="34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For the year ended December 31, 2020, we calculate our pro forma net income, provision for income taxes, net income per common share, ROAA, and ROAE by adding back our S Corporation tax to net income and applying a combined C Corporation effective tax rate for U.S. federal and California state income taxes of 29.56%. This calculation reflects only the change in our status as an S Corporation and does not give effect to any other transaction. For the year ended December 31, 2021, we calculate our pro forma net income, provision for income taxes, net income per common share, ROAA, and ROAE using an effective tax rate of 19.80%, which is the actual effective tax rate, excluding the effects of the discrete deferred tax adjustment of $4.6 million, discussed in the section entitled “Provision for Income Taxes” below.</w:t>
      </w:r>
    </w:p>
    <w:p>
      <w:pPr>
        <w:spacing w:after="0" w:line="10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Cash dividend payout ratio on common stock is calculated as dividends on common shares divided by basic net income per common share.</w:t>
      </w:r>
    </w:p>
    <w:p>
      <w:pPr>
        <w:spacing w:after="0" w:line="12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Pro forma ROAA and ROAE are calculated using pro forma net income balances, with no adjustments to average assets and average equity balances.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of our results of operations compares the year ended December 31, 2021 to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interest-earning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interest margin of 3.64% for the year ended December 31, 2021 decreased from 3.68% for the year ended December 31, 2020. This decrease was primarily due to a 37 basis point decrease in yields on interest-earning assets, which decreased from 4.20% for the year ended December 31, 2020 to 3.83% for the year ended December 31, 2021, partially offset by a 46 basis point decrease in yields on interest-bearing liabilities, which decreased from 0.78% for the year ended December 31, 2020 to 0.32% for the year ended December 31, 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or rates paid for each period reported. The average balances are daily averages and include both performing and nonperforming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year ended</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ind w:left="680"/>
              <w:spacing w:after="0"/>
              <w:rPr>
                <w:sz w:val="20"/>
                <w:szCs w:val="20"/>
                <w:color w:val="auto"/>
              </w:rPr>
            </w:pPr>
            <w:r>
              <w:rPr>
                <w:rFonts w:ascii="Arial" w:cs="Arial" w:eastAsia="Arial" w:hAnsi="Arial"/>
                <w:sz w:val="18"/>
                <w:szCs w:val="18"/>
                <w:b w:val="1"/>
                <w:bCs w:val="1"/>
                <w:color w:val="auto"/>
                <w:w w:val="89"/>
              </w:rPr>
              <w:t>For the year ended</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2021</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w w:val="88"/>
              </w:rPr>
              <w:t>December 31, 2020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Yield/</w:t>
            </w: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9"/>
                <w:szCs w:val="29"/>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346,522</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547</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237,815</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1,198</w:t>
            </w:r>
          </w:p>
        </w:tc>
        <w:tc>
          <w:tcPr>
            <w:tcW w:w="3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147,519</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95,158</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20" w:type="dxa"/>
            <w:vAlign w:val="bottom"/>
            <w:tcBorders>
              <w:lef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57"/>
        </w:trPr>
        <w:tc>
          <w:tcPr>
            <w:tcW w:w="46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1, 3</w:t>
            </w:r>
          </w:p>
        </w:tc>
        <w:tc>
          <w:tcPr>
            <w:tcW w:w="8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1,637,280</w:t>
            </w:r>
          </w:p>
        </w:tc>
        <w:tc>
          <w:tcPr>
            <w:tcW w:w="18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78,894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1,439,380</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71,405</w:t>
            </w:r>
          </w:p>
        </w:tc>
        <w:tc>
          <w:tcPr>
            <w:tcW w:w="3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9"/>
                <w:szCs w:val="29"/>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2,131,321</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81,583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1,772,353</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74,390</w:t>
            </w:r>
          </w:p>
        </w:tc>
        <w:tc>
          <w:tcPr>
            <w:tcW w:w="32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148,830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72,628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2,280,151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1,844,981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155,163</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141,293</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74,402</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39,182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935,445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867,417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3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Time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53,222</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102,890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Subordinated debt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28,350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28,364</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20" w:type="dxa"/>
            <w:vAlign w:val="bottom"/>
            <w:tcBorders>
              <w:left w:val="single" w:sz="8" w:color="CCEEFF"/>
            </w:tcBorders>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87"/>
              </w:rPr>
              <w:t>1,246,582</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3,972</w:t>
            </w:r>
          </w:p>
        </w:tc>
        <w:tc>
          <w:tcPr>
            <w:tcW w:w="320" w:type="dxa"/>
            <w:vAlign w:val="bottom"/>
            <w:vMerge w:val="continue"/>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1,179,146</w:t>
            </w: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Demand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835,834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546,048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8,984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4,496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188,751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115,291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 &amp;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2,280,151</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1,844,981</w:t>
            </w: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Net interest spread</w:t>
            </w:r>
            <w:r>
              <w:rPr>
                <w:rFonts w:ascii="Arial" w:cs="Arial" w:eastAsia="Arial" w:hAnsi="Arial"/>
                <w:sz w:val="24"/>
                <w:szCs w:val="24"/>
                <w:color w:val="auto"/>
                <w:vertAlign w:val="superscript"/>
              </w:rPr>
              <w:t>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Net interest income/margin</w:t>
            </w:r>
            <w:r>
              <w:rPr>
                <w:rFonts w:ascii="Arial" w:cs="Arial" w:eastAsia="Arial" w:hAnsi="Arial"/>
                <w:sz w:val="28"/>
                <w:szCs w:val="28"/>
                <w:color w:val="auto"/>
                <w:vertAlign w:val="superscript"/>
              </w:rPr>
              <w:t>5</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77,611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65,210</w:t>
            </w:r>
          </w:p>
        </w:tc>
        <w:tc>
          <w:tcPr>
            <w:tcW w:w="3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202" w:lineRule="exact"/>
        <w:rPr>
          <w:sz w:val="20"/>
          <w:szCs w:val="20"/>
          <w:color w:val="auto"/>
        </w:rPr>
      </w:pPr>
    </w:p>
    <w:p>
      <w:pPr>
        <w:jc w:val="both"/>
        <w:ind w:left="340" w:hanging="332"/>
        <w:spacing w:after="0" w:line="209"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3" w:lineRule="exact"/>
        <w:rPr>
          <w:sz w:val="20"/>
          <w:szCs w:val="20"/>
          <w:color w:val="auto"/>
        </w:rPr>
      </w:pPr>
    </w:p>
    <w:p>
      <w:pPr>
        <w:jc w:val="both"/>
        <w:ind w:left="340" w:hanging="332"/>
        <w:spacing w:after="0" w:line="209"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9"/>
          <w:szCs w:val="29"/>
          <w:color w:val="auto"/>
          <w:vertAlign w:val="superscript"/>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02" w:lineRule="exact"/>
        <w:rPr>
          <w:sz w:val="20"/>
          <w:szCs w:val="20"/>
          <w:color w:val="auto"/>
        </w:rPr>
      </w:pPr>
    </w:p>
    <w:p>
      <w:pPr>
        <w:ind w:left="340" w:hanging="332"/>
        <w:spacing w:after="0" w:line="194"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Changes not solely attributable to volume or rates have been allocated in proportion to the respective volume and rate components.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center"/>
              <w:ind w:right="121"/>
              <w:spacing w:after="0"/>
              <w:rPr>
                <w:sz w:val="20"/>
                <w:szCs w:val="20"/>
                <w:color w:val="auto"/>
              </w:rPr>
            </w:pPr>
            <w:r>
              <w:rPr>
                <w:rFonts w:ascii="Arial" w:cs="Arial" w:eastAsia="Arial" w:hAnsi="Arial"/>
                <w:sz w:val="18"/>
                <w:szCs w:val="18"/>
                <w:b w:val="1"/>
                <w:bCs w:val="1"/>
                <w:color w:val="auto"/>
                <w:w w:val="90"/>
              </w:rPr>
              <w:t>For the year 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89"/>
              </w:rPr>
              <w:t>December 31, 2021 compared to</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89"/>
              </w:rPr>
              <w:t>the year ended December 31, 2020</w:t>
            </w:r>
          </w:p>
        </w:tc>
      </w:tr>
      <w:tr>
        <w:trPr>
          <w:trHeight w:val="210"/>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4"/>
          </w:tcPr>
          <w:p>
            <w:pPr>
              <w:jc w:val="center"/>
              <w:ind w:right="101"/>
              <w:spacing w:after="0"/>
              <w:rPr>
                <w:sz w:val="20"/>
                <w:szCs w:val="20"/>
                <w:color w:val="auto"/>
              </w:rPr>
            </w:pPr>
            <w:r>
              <w:rPr>
                <w:rFonts w:ascii="Arial" w:cs="Arial" w:eastAsia="Arial" w:hAnsi="Arial"/>
                <w:sz w:val="18"/>
                <w:szCs w:val="18"/>
                <w:b w:val="1"/>
                <w:bCs w:val="1"/>
                <w:color w:val="auto"/>
                <w:w w:val="89"/>
              </w:rPr>
              <w:t>Variance due to</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5"/>
              </w:rPr>
              <w:t>Volume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w w:val="91"/>
              </w:rPr>
              <w:t>Yield/Rate</w:t>
            </w:r>
          </w:p>
        </w:tc>
        <w:tc>
          <w:tcPr>
            <w:tcW w:w="26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9"/>
                <w:szCs w:val="19"/>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1"/>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9,536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(2,047)</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w:t>
            </w:r>
          </w:p>
        </w:tc>
      </w:tr>
      <w:tr>
        <w:trPr>
          <w:trHeight w:val="209"/>
        </w:trPr>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interest-earning assets</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44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Savings accounts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61"/>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4,083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Time accounts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61"/>
              <w:spacing w:after="0"/>
              <w:rPr>
                <w:sz w:val="20"/>
                <w:szCs w:val="20"/>
                <w:color w:val="auto"/>
              </w:rPr>
            </w:pPr>
            <w:r>
              <w:rPr>
                <w:rFonts w:ascii="Arial" w:cs="Arial" w:eastAsia="Arial" w:hAnsi="Arial"/>
                <w:sz w:val="18"/>
                <w:szCs w:val="18"/>
                <w:color w:val="auto"/>
              </w:rPr>
              <w:t>856</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interest-bearing liabilities</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net interest income/margin</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Net interest income increased while net interest margin decreased for the year ended December 31, 2021 as compared to the year ended December 31, 2020. The increase in net interest income was driven primarily by a $7.5 million increase in interest income from loans to $78.9 million for the year ended December 31, 2021, as the average daily balance of loans increased by $197.9 million, or 13.75%, as compared to the year ended December 31, 2020. The four basis point decrease in net interest margin to 3.64% for the year ended December 31, 2021, as compared to the year ended December 31, 2020, was primarily attributable to a 14 basis point decrease in average loan yields to 4.82% for the year ended December 31, 2021, as compared to 4.96% for the year ended December 31, 2020 and a 39 basis point decrease in average loan yields, excluding PPP loans, to 4.70% for the year ended December 31, 2021, as compared to 5.09% for the year ended December 31, 2020. Average total loans and average loan yield, excluding PPP loans, respectively, are considered non-GAAP financial measures. See the section entitled “Non-GAAP Financial Measures” for a reconciliation of our non-GAAP measures to the most directly comparable GAAP financial measure. Decreases in market interest rates and increases in market competition caused a majority of the Company’s current fixed rate loans funded in 2021 to recognize yields lower than those recognized in the year ended December 31, 2020, contributing to the aforementioned decrease in average loan yields. Additionally, the rates associated with the index utilized for a significant portion of the Company’s variable rate loans, the United States 5 Year Treasury index, were higher during the year ended December 31, 2021 than during the prior year, but a majority of these loans were not scheduled to reprice during the year ended December 31, 2021, contributing to the downward trend in average loan yields. Partially offsetting the declining average loan yields was $6.2 million of fee income resulting from PPP loans being forgiven and repaid by the SBA that was recognized in the year ended December 31, 2021, as compared to $4.9 million during the year ended December 31, 2020. As a result, yields on PPP loans increased from 3.95% for the year ended December 31, 2020 to 6.36% for the year ended December 31, 2021.</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for the year ended December 31, 2021, when compared to the year ended December 31, 2020. The decline in interest expense was primarily attributed to reductions in the rates offered on deposit products. In addition, the growth of non-interest-bearing deposits continues to benefit the cost of funds as compared to historical periods. Specifically, the ratio of average total non-interest-bearing deposits to average total deposits was 40.69% in the year ended December 31, 2021, as compared to 32.18% in the year ended December 31, 2020. As a result, the cost of interest-bearing liabilities decreased by 46 basis points at December 31, 2021 to 0.32%, from 0.78% at December 31, 2020, and the cost of funds decreased to 0.19% at December 31, 2021, as compared to 0.54% at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Loan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96" w:lineRule="auto"/>
        <w:rPr>
          <w:sz w:val="20"/>
          <w:szCs w:val="20"/>
          <w:color w:val="auto"/>
        </w:rPr>
      </w:pPr>
      <w:r>
        <w:rPr>
          <w:rFonts w:ascii="Arial" w:cs="Arial" w:eastAsia="Arial" w:hAnsi="Arial"/>
          <w:sz w:val="16"/>
          <w:szCs w:val="16"/>
          <w:color w:val="auto"/>
        </w:rPr>
        <w:t>We recorded a $1.7 million provision for loan losses in the year ended December 31, 2021, compared to a $9.0 million provision for loan losses for the year ended December 31, 2020. The decline of $7.3 million for the provision year-over-year was primarily due to improvements in general economic conditions, albeit at a pace slower than expected due to unforeseen disruptions in the supply chain and increasing energy prices. The level of government assistance provided through the PPP and other programs during 2021, as well as the less significant impact of the COVID-19 pandemic, as compared to 2020, within California and other states where our collateral is located, resulted in favorable economic conditions for our borrowers.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primarily of gain on sale of loans, net gain on sale of securities, FHLB dividends, and other fee income, including loan-related fees and fees related to customer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year ended</w:t>
            </w: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110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gridSpan w:val="2"/>
          </w:tcPr>
          <w:p>
            <w:pPr>
              <w:spacing w:after="0"/>
              <w:rPr>
                <w:sz w:val="16"/>
                <w:szCs w:val="16"/>
                <w:color w:val="auto"/>
              </w:rPr>
            </w:pP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15.53%</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Net gain on sale of securities</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(714)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(49.65)%</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4,082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(63)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Loan-related fees</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(1,670)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(72.33)%</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15.89%</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Earnings on bank-owned life insurance</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17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7.73%</w:t>
            </w:r>
          </w:p>
        </w:tc>
      </w:tr>
      <w:tr>
        <w:trPr>
          <w:trHeight w:val="23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59.76%</w:t>
            </w:r>
          </w:p>
        </w:tc>
      </w:tr>
      <w:tr>
        <w:trPr>
          <w:trHeight w:val="22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9,302</w:t>
            </w:r>
          </w:p>
        </w:tc>
        <w:tc>
          <w:tcPr>
            <w:tcW w:w="4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gain on sale of securities. </w:t>
      </w:r>
      <w:r>
        <w:rPr>
          <w:rFonts w:ascii="Arial" w:cs="Arial" w:eastAsia="Arial" w:hAnsi="Arial"/>
          <w:sz w:val="17"/>
          <w:szCs w:val="17"/>
          <w:color w:val="auto"/>
        </w:rPr>
        <w:t>The decrease in net gain on sale of securities was primarily due to a decrease in the gain recognized on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$47.1 million of municipal securities, U.S. government agencies, and U.S. government treasuries during the year ended December 31, 2021, as compared to the gain recognized on the sale of approximately $46.4 million of municipal securities, mortgage-backed securities, and corporate bonds during the year ended December 31, 2020. Of the securities sold during the year ended December 31, 2020, approximately $18.7 million were sold prior to the shutdowns enacted in response to the COVID-19 pandemic, representing approximately $0.5 million of the gain, and the remaining balance of the securities were sold throughout the remainder of the year in response to market fluctuations.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Loan-related fees. </w:t>
      </w:r>
      <w:r>
        <w:rPr>
          <w:rFonts w:ascii="Arial" w:cs="Arial" w:eastAsia="Arial" w:hAnsi="Arial"/>
          <w:sz w:val="18"/>
          <w:szCs w:val="18"/>
          <w:color w:val="auto"/>
        </w:rPr>
        <w:t>The decrease in loan-related fees resulted primarily from a $1.4 million decrease in swap referral fees recognized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as compared to the year ended December 31, 2020, combined with $0.4 million of loan-related fees earned during the year ended December 31, 2020 for processing micro-loans on behalf of a local government agency to businesses in the local area in response to the COVID-19 pandemic, which did not recur in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our efficiency ratio. The efficiency ratio is calculated as non-interest expense divided by the sum of net interest income and non-interest income. We constantly seek to identify ways to streamline our business and operate more efficiently, which has enabled us to reduce our non-interest expense in both absolute terms and as a percentage of our revenue while continuing to achieve growth in total loans and assets.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the past several years, we have invested significant resources in personnel and infrastructure. Additionally, to support corporate organizational matters leading up to the IPO, we experienced increased audit, consulting, and legal costs, particularly during the year ended December 31, 2021. As a result, non-interest expense is increasing in the periods presented below; however, we do not anticipate incurring significant costs of this type in future periods, and we expect our efficiency ratio will improve going forward due, in part, to our past investment in infrastructure.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year ended</w:t>
            </w: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110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16"/>
                <w:szCs w:val="16"/>
                <w:color w:val="auto"/>
              </w:rPr>
            </w:pP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FDIC insurance</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(38.43)%</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3,792</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93.47%</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Advertising and promotional</w:t>
            </w: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17.97%</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42.76%</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4,949</w:t>
            </w:r>
          </w:p>
        </w:tc>
        <w:tc>
          <w:tcPr>
            <w:tcW w:w="24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39.61%</w:t>
            </w:r>
          </w:p>
        </w:tc>
      </w:tr>
      <w:tr>
        <w:trPr>
          <w:trHeight w:val="223"/>
        </w:trPr>
        <w:tc>
          <w:tcPr>
            <w:tcW w:w="55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36,043</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Salaries and employee benefits. </w:t>
      </w:r>
      <w:r>
        <w:rPr>
          <w:rFonts w:ascii="Arial" w:cs="Arial" w:eastAsia="Arial" w:hAnsi="Arial"/>
          <w:sz w:val="16"/>
          <w:szCs w:val="16"/>
          <w:color w:val="auto"/>
        </w:rPr>
        <w:t>The increase in salaries and employee benefits year-over-year was primarily related to an increase of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commissions related to our loan and deposit growth for the year ended December 31, 2021, as compared to the year ended December 31, 2020, as well as an increase in restricted stock compensation expense recognized for employee restricted share grants of $0.3 million during the year ended December 31, 2021, compared to the year ended December 31, 2020. These increases were partially offset by a $1.7 million increase in deferred loan origination costs for the year ended December 31, 2021, as compared to the year ended December 31, 2020, from increased loan originations.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Data processing and software. </w:t>
      </w:r>
      <w:r>
        <w:rPr>
          <w:rFonts w:ascii="Arial" w:cs="Arial" w:eastAsia="Arial" w:hAnsi="Arial"/>
          <w:sz w:val="18"/>
          <w:szCs w:val="18"/>
          <w:color w:val="auto"/>
        </w:rPr>
        <w:t>Data processing and software increased, primarily as a result of: (i) increased usage of our digital banking platform; (ii)</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transaction volumes related to the increased number of loan and deposit accounts; (iii) increased number of licenses for new users on our loan origination and documentation system; and (iv) increased costs related to improved collateral tracking, electronic statements, and mobile payment solutions.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Professional services increased, primarily as a result of increased audit, consulting, and legal costs incurred to support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organizational matters leading up to the IPO during the year ended December 31, 2021, as compared to the year ended December 31, 2020.</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are comprised of travel, insurance, postage and supplies, director fees, other employee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armored car expenses, courier services, and other miscellaneous administrative expenses. The increase in other operating expenses year-over-year was primarily related to stock compensation expense recognized for director restricted share grants of $0.8 million, which were related to the IPO, during the year ended December 31, 2021. These expenses did not occur in the year ended December 31, 2020. Additionally, other operating expenses increased as a result of increased director fees and expenses combined with increases in expenses related to travel, insurance, dues and subscriptions, data, and telephone, which increased as a result of an increase in volume of customers and employees period-over-period.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its IPO, and became a C Corporation. Prior to that date, as an S Corporation, the Company had no U.S. federal income tax expense. The provision recorded for the year ended December 31, 2021 yielded an effective tax rate of 9.98%. Refer to the section entitled “Pro Forma C Corporation Income Tax Expense” below for a discussion on what the Company’s income tax expense and net income potentially could have been had the Company been taxed as a C Corporation for the year ended December 31, 2021 and for the year ended December 31, 2020.</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conjunction with the termination of the Subchapter S corporation status as of May 5, 2021,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by increasing the net deferred tax asset to $5.4 million through a reduction to the provision for income taxes of $4.6 million during the year ended December 31, 2021. Provision for income taxes increased by $3.4 million, or 254.71%, to $4.7 million for the year ended December 31, 2021, as compared to $1.3 million for the year ended December 31, 2020. This increase is due to the change in the tax rate as a result of the Company’s conversion from an S Corporation to a C Corporation, which was partially offset by the $4.6 million reduction to the provision for income taxes for the adjustment of the net deferred tax assets due to the termination of the Company’s S Corporation status, recorded during the year ended December 31,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Pro Forma C Corporation Income Tax Expense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of the Company’s status as a Subchapter S Corporation prior to May 5, 2021, no U.S. federal income tax expense was recorded for a portion of the year ended December 31, 2021 and the entirety of the year ended December 31, 2020. Had the Company been taxed as a C Corporation and paid U.S. federal income tax for such periods, the combined statutory income tax rate would have been 29.56% in each period. These pro forma statutory rates reflect a U.S. federal income tax rate of 21.00% and a California income tax rate of 8.56%, after adjustment for the federal tax benefit, on corporate taxable income. Had the Company been subject to U.S. federal income tax for each of these periods, on a statutory income tax rate pro forma basis, the provision for combined federal and state income tax would have been $11.0 million for the year ended December 31, 2020. As a result of the foregoing factors, the Company’s pro forma net income (after U.S. federal and California state income tax) would have been $26.2 million for the year ended December 31, 2020. The pro forma statutory rates for the year ended December 31, 2021 are calculated using an effective tax rate of 19.80%, which is the actual effective tax rate, excluding the effects of the discrete deferred tax adjustment of $4.6 million, discussed above. As a result, the Company’s pro forma provision for income taxes and pro forma net income for the year ended December 31, 2021 are $9.3 million and $37.8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compares our financial condition as of December 31, 2021 to our financial condition as of December 31, 2020. The following table summarizes selected components of our consolidated balance sheet as of December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2,556,761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425,329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290,493</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153,753</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122,928</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Total loans held for investment, net of deferred loan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1,934,460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1,503,159</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2,285,890</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1,784,001</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Subordinated notes,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28,386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28,320</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235,046</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total assets were $2.6 billion, an increase of $603.0 million from $2.0 billion at December 31, 2020, primarily due to increases in cash and cash equivalents, total investments, and total loans held for investment, net of deferred loan fees,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cash and cash equivalents were $425.3 million at December 31, 2021, an increase of $134.8 million, as compared to $290.5 million at December 31, 2020. The increase in cash and cash equivalents since December 31, 2020 was primarily a result of net income recognized of $42.4 million, proceeds from the sale of securities of $47.1 million, cash inflows of $18.7 million related to maturities, prepayments, and calls of available-for-sale securities, an increase in deposits of $501.9 million, and net proceeds of $111.2 million from the issuance of 6,054,750 shares of common stock in our IPO. These increases were partially offset by a decrease of $99.7 million related to purchases of securities, an increase in total loans held for investment, net of deferred loan fees, of $431.3 million, and cash dividends paid of $51.9 million during the same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primarily comprised of U.S. government agencies,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total securities held for investment and available-for-sale amounted to $153.8 million at December 31, 2021 and $122.9 million at December 31, 2020, an increase of $30.8 million year-over-year. The increase was primarily due to purchases of $99.7 million of mortgage-backed securities, obligations of states and political subdivisions, and U.S. government treasuries to deploy excess cash into interest-earning assets in a more favorable interest rate environment and was partially offset by the sale of $47.1 million of low-yielding securities, and paydowns, calls, and maturities of $18.7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24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4"/>
              </w:rPr>
              <w:t>Carrying</w:t>
            </w:r>
          </w:p>
        </w:tc>
        <w:tc>
          <w:tcPr>
            <w:tcW w:w="10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w w:val="97"/>
              </w:rPr>
              <w:t>Carrying</w:t>
            </w: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20"/>
                <w:szCs w:val="20"/>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14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(at fair value):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19,682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31,828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81,513</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45,137</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58,420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540</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148,807</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96.79%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Held-to-maturity (at amortized cost):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4,946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7,979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153,753</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value of our securities by their stated maturities, as well as the weighted average yields for each maturity range,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Due in one year</w:t>
            </w:r>
          </w:p>
        </w:tc>
        <w:tc>
          <w:tcPr>
            <w:tcW w:w="10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Due after one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Due after five</w:t>
            </w:r>
          </w:p>
        </w:tc>
        <w:tc>
          <w:tcPr>
            <w:tcW w:w="8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Due after ten years</w:t>
            </w:r>
          </w:p>
        </w:tc>
        <w:tc>
          <w:tcPr>
            <w:tcW w:w="1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9"/>
              <w:spacing w:after="0"/>
              <w:rPr>
                <w:sz w:val="20"/>
                <w:szCs w:val="20"/>
                <w:color w:val="auto"/>
              </w:rPr>
            </w:pPr>
            <w:r>
              <w:rPr>
                <w:rFonts w:ascii="Arial" w:cs="Arial" w:eastAsia="Arial" w:hAnsi="Arial"/>
                <w:sz w:val="14"/>
                <w:szCs w:val="14"/>
                <w:b w:val="1"/>
                <w:bCs w:val="1"/>
                <w:color w:val="auto"/>
                <w:w w:val="84"/>
              </w:rPr>
              <w:t>or less</w:t>
            </w:r>
          </w:p>
        </w:tc>
        <w:tc>
          <w:tcPr>
            <w:tcW w:w="220" w:type="dxa"/>
            <w:vAlign w:val="bottom"/>
          </w:tcPr>
          <w:p>
            <w:pPr>
              <w:spacing w:after="0"/>
              <w:rPr>
                <w:sz w:val="14"/>
                <w:szCs w:val="14"/>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 through five years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years through ten years</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gridSpan w:val="4"/>
            <w:vMerge w:val="continue"/>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20" w:type="dxa"/>
            <w:vAlign w:val="bottom"/>
            <w:gridSpan w:val="3"/>
            <w:vMerge w:val="continue"/>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Avg</w:t>
            </w: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800" w:type="dxa"/>
            <w:vAlign w:val="bottom"/>
            <w:gridSpan w:val="3"/>
            <w:vMerge w:val="continue"/>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Avg</w:t>
            </w: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Avg</w:t>
            </w: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U.S. government agencies</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1,591</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3,814</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14,277</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0.19%</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19,682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81,510</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81,513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522</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3,748</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40,867</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45,137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Collateralized mortgage obligations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rPr>
                <w:sz w:val="20"/>
                <w:szCs w:val="20"/>
                <w:color w:val="auto"/>
              </w:rPr>
            </w:pPr>
            <w:r>
              <w:rPr>
                <w:rFonts w:ascii="Arial" w:cs="Arial" w:eastAsia="Arial" w:hAnsi="Arial"/>
                <w:sz w:val="14"/>
                <w:szCs w:val="14"/>
                <w:color w:val="auto"/>
              </w:rPr>
              <w:t>Corporate bonds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1,935</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1,935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available-for-sale</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4,048</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7,565</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1.12%</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137,194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148,807</w:t>
            </w: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Held-to-maturity: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160"/>
              <w:spacing w:after="0"/>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491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951</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3,504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4,946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5"/>
        </w:trPr>
        <w:tc>
          <w:tcPr>
            <w:tcW w:w="3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6.00%</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4,999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2.54%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11,069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2.67%</w:t>
            </w: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137,194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1.43%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153,753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CCEEFF"/>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following table presents the carrying value of our securities by their stated maturities, as well as the weighted average yields for each maturity range,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Due in one year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Due after one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Due after five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or less</w:t>
            </w:r>
          </w:p>
        </w:tc>
        <w:tc>
          <w:tcPr>
            <w:tcW w:w="40" w:type="dxa"/>
            <w:vAlign w:val="bottom"/>
          </w:tcPr>
          <w:p>
            <w:pPr>
              <w:spacing w:after="0"/>
              <w:rPr>
                <w:sz w:val="14"/>
                <w:szCs w:val="14"/>
                <w:color w:val="auto"/>
              </w:rPr>
            </w:pPr>
          </w:p>
        </w:tc>
        <w:tc>
          <w:tcPr>
            <w:tcW w:w="16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through five years</w:t>
            </w:r>
          </w:p>
        </w:tc>
        <w:tc>
          <w:tcPr>
            <w:tcW w:w="6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years through ten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Avg</w:t>
            </w: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Avg</w:t>
            </w: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Avg</w:t>
            </w: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Avg</w:t>
            </w: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Avg</w:t>
            </w: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U.S. government agencies</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7,708</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24,120</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0.97%</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31,828</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23,932</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23,932</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8"/>
        </w:trPr>
        <w:tc>
          <w:tcPr>
            <w:tcW w:w="3040" w:type="dxa"/>
            <w:vAlign w:val="bottom"/>
          </w:tcPr>
          <w:p>
            <w:pPr>
              <w:ind w:left="16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1,206</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8,599</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48,615</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58,420</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Collateralized mortgage obligations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4"/>
                <w:szCs w:val="14"/>
                <w:color w:val="auto"/>
              </w:rPr>
              <w:t>Total available-for-sale</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1,206</w:t>
            </w:r>
          </w:p>
        </w:tc>
        <w:tc>
          <w:tcPr>
            <w:tcW w:w="20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16,307</w:t>
            </w:r>
          </w:p>
        </w:tc>
        <w:tc>
          <w:tcPr>
            <w:tcW w:w="24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1.40%</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97,436</w:t>
            </w: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114,949</w:t>
            </w:r>
          </w:p>
        </w:tc>
        <w:tc>
          <w:tcPr>
            <w:tcW w:w="2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Held-to-maturity: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Obligations of states and political subdivisions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2,143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2,587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7,979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w:t>
            </w:r>
          </w:p>
        </w:tc>
        <w:tc>
          <w:tcPr>
            <w:tcW w:w="180" w:type="dxa"/>
            <w:vAlign w:val="bottom"/>
          </w:tcPr>
          <w:p>
            <w:pPr>
              <w:spacing w:after="0"/>
              <w:rPr>
                <w:sz w:val="13"/>
                <w:szCs w:val="13"/>
                <w:color w:val="auto"/>
              </w:rPr>
            </w:pP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6.00%</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3,349</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4.75%</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19,062</w:t>
            </w:r>
          </w:p>
        </w:tc>
        <w:tc>
          <w:tcPr>
            <w:tcW w:w="240" w:type="dxa"/>
            <w:vAlign w:val="bottom"/>
          </w:tcPr>
          <w:p>
            <w:pPr>
              <w:spacing w:after="0"/>
              <w:rPr>
                <w:sz w:val="13"/>
                <w:szCs w:val="13"/>
                <w:color w:val="auto"/>
              </w:rPr>
            </w:pPr>
          </w:p>
        </w:tc>
        <w:tc>
          <w:tcPr>
            <w:tcW w:w="7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2.07%</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100,023</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1.47%</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122,928</w:t>
            </w:r>
          </w:p>
        </w:tc>
        <w:tc>
          <w:tcPr>
            <w:tcW w:w="20" w:type="dxa"/>
            <w:vAlign w:val="bottom"/>
            <w:tcBorders>
              <w:bottom w:val="single" w:sz="8" w:color="auto"/>
            </w:tcBorders>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yield for securities available-for-sale is the projected yield to maturity given current cash flow projections for U.S. government agencies, mortgage-backed securities, and collateralized mortgage obligations and is a yield to worst for callable municipal securities and corporate bonds. Weighted average yield for securities held-to-maturity is the stated coupon of the bond.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book value and fair value related to securities at December 31, 2021 and December 31, 2020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5"/>
          </w:tcPr>
          <w:p>
            <w:pPr>
              <w:jc w:val="right"/>
              <w:ind w:right="901"/>
              <w:spacing w:after="0"/>
              <w:rPr>
                <w:sz w:val="20"/>
                <w:szCs w:val="20"/>
                <w:color w:val="auto"/>
              </w:rPr>
            </w:pPr>
            <w:r>
              <w:rPr>
                <w:rFonts w:ascii="Arial" w:cs="Arial" w:eastAsia="Arial" w:hAnsi="Arial"/>
                <w:sz w:val="18"/>
                <w:szCs w:val="18"/>
                <w:b w:val="1"/>
                <w:bCs w:val="1"/>
                <w:color w:val="auto"/>
              </w:rPr>
              <w:t>Gross Unrealized</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Gains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(Losses)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19,682</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82,517</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81,513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44,732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Collateralized mortgage obligations</w:t>
            </w:r>
          </w:p>
        </w:tc>
        <w:tc>
          <w:tcPr>
            <w:tcW w:w="3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available-for-sale</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149,610</w:t>
            </w:r>
          </w:p>
        </w:tc>
        <w:tc>
          <w:tcPr>
            <w:tcW w:w="4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4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44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Held-to-maturity:</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4,946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23,601</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Collateralized mortgage obligations</w:t>
            </w:r>
          </w:p>
        </w:tc>
        <w:tc>
          <w:tcPr>
            <w:tcW w:w="3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top w:val="single" w:sz="8" w:color="CCEEF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Held-to-maturity:</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unrealized losses on securities are attributed to interest rate changes rather than the marketability of the securities or the issuer’s ability to honor redemption of the obligations, as the securities with losses are all obligations of or guaranteed by agencies sponsored by the U.S. government. We have adequate liquidity and the ability and intent to hold these securities to maturity, resulting in full recovery of the indicated impairment. Accordingly, none of the unrealized losses on these securities have been determined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December 31, 2021 and December 31, 2020, our total loans amounted to $1.9 billion and $1.5 billion, respectively. The following table presents the balance and associated percentage of each major product type within our portfolio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20"/>
                <w:szCs w:val="20"/>
                <w:color w:val="auto"/>
              </w:rPr>
            </w:pPr>
          </w:p>
        </w:tc>
        <w:tc>
          <w:tcPr>
            <w:tcW w:w="24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of Loans</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of Loans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1,586,232</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1,002,497</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7,376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10,600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54,214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7,388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11,914</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28,562</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30,431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54,805</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50,164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137,062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138,676</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21,136</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22,124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147,965</w:t>
            </w: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loans held for investment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1,936,066</w:t>
            </w:r>
          </w:p>
        </w:tc>
        <w:tc>
          <w:tcPr>
            <w:tcW w:w="420" w:type="dxa"/>
            <w:vAlign w:val="bottom"/>
            <w:vMerge w:val="continue"/>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99.45%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1,506,454</w:t>
            </w:r>
          </w:p>
        </w:tc>
        <w:tc>
          <w:tcPr>
            <w:tcW w:w="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10,671</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6"/>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loans before deferred fees</w:t>
            </w: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1,946,737</w:t>
            </w:r>
          </w:p>
        </w:tc>
        <w:tc>
          <w:tcPr>
            <w:tcW w:w="4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1,511,274</w:t>
            </w: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loan fees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(1,606)</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(3,295)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1,945,131</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1,507,979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land and development and commercial construction loans consist of loans made to fund commercial land acquisition and development and commercial construction. The real estate purchased with these loans is generally located in or near our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 owned.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by collateral type, estimated collateral values, and related loan-to-value (“LTV”) ranges as of the dates indicated. Revolving lines of credit with zero balance and 0.00% LTV are excluded from this table. Collateral values are determined at origination using third 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518,910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32.71%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849,269</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14.22%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166,960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307,376</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152,412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350,953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135,401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318,875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74.51%</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Faith-based</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134,728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294,367</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108,718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272,383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4.59%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80.14%</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Mixed use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85,712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159,810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20.76%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69.05%</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 storage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83,270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155,961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71.98%</w:t>
            </w:r>
          </w:p>
        </w:tc>
      </w:tr>
      <w:tr>
        <w:trPr>
          <w:trHeight w:val="257"/>
        </w:trPr>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200,121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473,952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94.97%</w:t>
            </w:r>
          </w:p>
        </w:tc>
      </w:tr>
      <w:tr>
        <w:trPr>
          <w:trHeight w:val="223"/>
        </w:trPr>
        <w:tc>
          <w:tcPr>
            <w:tcW w:w="42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1,586,232</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3,182,946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209"/>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244,156</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421,048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73.64%</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115,913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237,837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104,878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208,632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76.14%</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Faith-based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92,885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242,148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Mini storage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69,973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120,010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21.19%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69,153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174,140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66,113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171,411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Mixed use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62,531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119,333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57"/>
        </w:trPr>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176,895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2"/>
                <w:szCs w:val="22"/>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413,381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84.89%</w:t>
            </w:r>
          </w:p>
        </w:tc>
      </w:tr>
      <w:tr>
        <w:trPr>
          <w:trHeight w:val="223"/>
        </w:trPr>
        <w:tc>
          <w:tcPr>
            <w:tcW w:w="42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1,002,497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2,107,940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09"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Types of collateral in the “all other types” category are those that individually make up less than 5.00% commercial real estate concentration and include hospitality, auto dealerships, car washes, assisted living communities, country clubs, gas stations/convenience stores, medical offices, special purpose property, mortuaries, restaurants, and schools.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84.64% of our portfolio at December 31, 2021. Commercial secured lending (consisting primarily of SBA 7(a) loans under $350,000) represents 7.03% of our portfolio at December 31, 2021. We sell the guaranteed portion of all SBA 7(a) loans, excluding PPP loans, in the secondary market and will continue to do so as long as market conditions continue to be favorable.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577.92% and 624.70% as of December 31, 2021 and December 31, 2020, respectively. We have established internal concentration limits in the loan portfolio for commercial real estate loans by sector (i.e., manufactured home communities, self-storage, hospitality, etc.). All loan sectors were within our established limits as of December 31, 2021.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sets forth the contractual maturities of our loan portfolio at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Due after 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Due in 1</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or less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170,222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1,343,367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40,536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1,586,232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17,575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32,131</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54,214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17,871</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28,562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42,813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29,880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82,526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147,733</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15,978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21,136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21,526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22,124</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13,513</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17,167</w:t>
            </w:r>
          </w:p>
        </w:tc>
      </w:tr>
      <w:tr>
        <w:trPr>
          <w:trHeight w:val="223"/>
        </w:trPr>
        <w:tc>
          <w:tcPr>
            <w:tcW w:w="3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271,106</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1,548,199</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46,779</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1,946,737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at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Due after 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Due in 1</w:t>
            </w:r>
          </w:p>
        </w:tc>
        <w:tc>
          <w:tcPr>
            <w:tcW w:w="3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year or less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46,579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100,882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821,130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33,906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15,883</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63,519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1,859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13,060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36,055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143,496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147,965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3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333,109</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56"/>
              <w:spacing w:after="0"/>
              <w:rPr>
                <w:sz w:val="20"/>
                <w:szCs w:val="20"/>
                <w:color w:val="auto"/>
              </w:rPr>
            </w:pPr>
            <w:r>
              <w:rPr>
                <w:rFonts w:ascii="Arial" w:cs="Arial" w:eastAsia="Arial" w:hAnsi="Arial"/>
                <w:sz w:val="18"/>
                <w:szCs w:val="18"/>
                <w:color w:val="auto"/>
              </w:rPr>
              <w:t>62</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394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9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at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394,648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1,191,584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1,586,232</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7,376</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54,214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54,214</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26,340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28,562</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50,622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112,962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147,733</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19,841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21,136</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22,124</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17,167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17,167</w:t>
            </w:r>
          </w:p>
        </w:tc>
      </w:tr>
      <w:tr>
        <w:trPr>
          <w:trHeight w:val="223"/>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1,451,059</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1,946,737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at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134,029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868,468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15,527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76,233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27,694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115,255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143,496</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2,644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1,157,765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loan losses.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 assessing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a loan to be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Deferments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modifications (e.g., up to six months) such as payment deferrals, fee waivers, extensions of repayment terms, or delays in payment that are insignificant. We elected to apply these temporary accounting provisions to loans under payment relief beginning in March 2020. As of December 31, 2021, six borrowing relationships with six loans totaling $12.2 million, or 0.63% of the loan portfolio, were in a COVID-19 deferment period and three loans totaling $0.1 million had been in a COVID-19 deferment period in the third quarter of 2021 but were not in a deferment period as of December 31, 2021. None of the loans that received COVID-19 deferments in the fourth quarter of 2021 had the principal portion deferred to the respective maturity of the loan.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 Forgiveness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2021, there were 60 PPP loans outstanding totaling $22.1 million, which included 59 loans totaling $21.5 million funded during 2021 under the second round of the PPP stimulus plan. Approximately 11 of these PPP loans, or 18.33% of total PPP loans at December 31, 2021, totaling $0.6 million, were less than or equal to $0.15 million and had access to streamlined forgiveness processing. At December 31, 2021, 1,370 PPP loan forgiveness applications had been submitted to the SBA and forgiveness payments had been received on 1,367 of these PPP loans, totaling $332.4 million in principal and interest. The Company has submitted all forgiveness applications on the first round of PPP loans and received payment on all but one pending application. We expect full forgiveness of the second round of PPP loans to be completed in the near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7(a) Payments Made Under the CARES 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1112 of the CARES Act required the SBA to make payments on new and existing 7(a) loans for up to six months. The Consolidated Appropriations Act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year ended December 31, 2021, the SBA made payments under this program on 1,099 of our SBA 7(a) loans, totaling $7.6 million in principal and interest. As of December 31, 2021, 25 loans totaling $2.9 million were still eligible to receive these payments under the CARES Act.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SBA Loans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2021, the Company sold 169 SBA 7(a) loans with government guaranteed portions totaling $41.4 million. Of the loans sold in 2021, the Company received gross proceeds of $45.3 million resulting in a net gain on sale of $3.9 million. The Company did not sell any PPP loans in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sold 373 SBA 7(a) loans with government guaranteed portions totaling $71.3 million. Of the loans sold in 2020, the Company received gross proceeds of $79.7 million resulting in a net gain on sale of $4.0 million. Additionally, the company sold 157 PPP loans with balances of $10.6 million resulting in a gain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7"/>
              </w:rPr>
              <w:t>December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Non-accrual loans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Real estate:</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6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Farmland</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Secured</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PPP</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3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Pr>
          <w:p>
            <w:pPr>
              <w:ind w:left="160"/>
              <w:spacing w:after="0"/>
              <w:rPr>
                <w:sz w:val="20"/>
                <w:szCs w:val="20"/>
                <w:color w:val="auto"/>
              </w:rPr>
            </w:pPr>
            <w:r>
              <w:rPr>
                <w:rFonts w:ascii="Arial" w:cs="Arial" w:eastAsia="Arial" w:hAnsi="Arial"/>
                <w:sz w:val="18"/>
                <w:szCs w:val="18"/>
                <w:color w:val="auto"/>
              </w:rPr>
              <w:t>Total non-accrual loans</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Loans past due 90 days or more and still accruing</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Commercial:</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Consumer and other</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 past due and still accruing</w:t>
            </w:r>
          </w:p>
        </w:tc>
        <w:tc>
          <w:tcPr>
            <w:tcW w:w="3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Total nonperforming loans</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Real estate owned</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COVID-19 deferments</w:t>
            </w:r>
          </w:p>
        </w:tc>
        <w:tc>
          <w:tcPr>
            <w:tcW w:w="31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CEEFF"/>
            </w:tcBorders>
            <w:vMerge w:val="continue"/>
          </w:tcPr>
          <w:p>
            <w:pPr>
              <w:spacing w:after="0"/>
              <w:rPr>
                <w:sz w:val="20"/>
                <w:szCs w:val="20"/>
                <w:color w:val="auto"/>
              </w:rPr>
            </w:pPr>
          </w:p>
        </w:tc>
        <w:tc>
          <w:tcPr>
            <w:tcW w:w="3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12,156</w:t>
            </w:r>
          </w:p>
        </w:tc>
        <w:tc>
          <w:tcPr>
            <w:tcW w:w="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41,439</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Performing TDRs (not included above)</w:t>
            </w:r>
          </w:p>
        </w:tc>
        <w:tc>
          <w:tcPr>
            <w:tcW w:w="364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Allowance for loan losses to period end non-accrual loans</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3,954.30%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4,909.07%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period end loans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plus performing TDRs to period end loans</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COVID-19 deferments to period end loans</w:t>
            </w: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4"/>
                <w:szCs w:val="24"/>
                <w:color w:val="auto"/>
              </w:rPr>
            </w:pPr>
          </w:p>
        </w:tc>
        <w:tc>
          <w:tcPr>
            <w:tcW w:w="3100" w:type="dxa"/>
            <w:vAlign w:val="bottom"/>
          </w:tcPr>
          <w:p>
            <w:pPr>
              <w:jc w:val="right"/>
              <w:ind w:right="237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80" w:type="dxa"/>
            <w:vAlign w:val="bottom"/>
            <w:tcBorders>
              <w:bottom w:val="single" w:sz="8" w:color="DCDCDC"/>
            </w:tcBorders>
          </w:tcPr>
          <w:p>
            <w:pPr>
              <w:spacing w:after="0"/>
              <w:rPr>
                <w:sz w:val="11"/>
                <w:szCs w:val="11"/>
                <w:color w:val="auto"/>
              </w:rPr>
            </w:pPr>
          </w:p>
        </w:tc>
        <w:tc>
          <w:tcPr>
            <w:tcW w:w="310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The ratio of non-accrual loans to period end loans was unchanged at 0.03% as of December 31, 2020 and December 31, 2021, partially due to the stability of our non-accrual loans.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ratio of the allowance for loan losses to period end non-accrual loans decreased from 4,909.07% as of December 31, 2020 to 3,954.30% as of December 31, 2021. The decrease was primarily due to an increase in the allowance for loan losses of 4.75% from December 31, 2020 to December 31, 2021, coupled with a 30.04% increase in period end non-accrual loans from December 31, 2020 to December 31, 2021, which was primarily due to an increase of $0.2 million in commercial secured non-accrual loans from December 31, 2020 to December 31, 2021. The rate at which the allowance for loan losses increased was significantly less than the rate at which non-accrual loans increased year-over-year, thus causing a decrease in the ratio of allowance for loan losses to period end non-accrual loans year-over-year.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Loans by credit quality risk rating were as follows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1,575,006</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1,586,232</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54,214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7,388</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28,562</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54,805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54,805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135,131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137,062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21,136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22,124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22,124</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17,167</w:t>
            </w:r>
          </w:p>
        </w:tc>
      </w:tr>
      <w:tr>
        <w:trPr>
          <w:trHeight w:val="223"/>
        </w:trPr>
        <w:tc>
          <w:tcPr>
            <w:tcW w:w="394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1,916,805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1,936,066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Real estate: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950,118</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1,002,497</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11,914</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Farmland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Secured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138,676</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PPP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147,965</w:t>
            </w:r>
          </w:p>
        </w:tc>
        <w:tc>
          <w:tcPr>
            <w:tcW w:w="8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4,921</w:t>
            </w:r>
          </w:p>
        </w:tc>
        <w:tc>
          <w:tcPr>
            <w:tcW w:w="80" w:type="dxa"/>
            <w:vAlign w:val="bottom"/>
            <w:shd w:val="clear" w:color="auto" w:fill="CCEEFF"/>
          </w:tcPr>
          <w:p>
            <w:pPr>
              <w:spacing w:after="0"/>
              <w:rPr>
                <w:sz w:val="19"/>
                <w:szCs w:val="19"/>
                <w:color w:val="auto"/>
              </w:rPr>
            </w:pPr>
          </w:p>
        </w:tc>
      </w:tr>
      <w:tr>
        <w:trPr>
          <w:trHeight w:val="223"/>
        </w:trPr>
        <w:tc>
          <w:tcPr>
            <w:tcW w:w="348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1,446,308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1,506,454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designated as watch and substandard, which are not considered adversely classified, decreased to $19.3 million at December 31, 2021 from $60.1 million at December 31, 2020, reducing reserves related to classified and watch loans by $0.5 million, which was offset by additional provision for loan growth. There were no loans with doubtful risk grades at December 31, 2021 or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year ended December 31, 2021, our methodology for evaluating allowance for loan losses continued to be affected by the COVID-19 pandemic, resulting in sustained higher reserve levels, primarily related to our commercial real estate portfolio. Reserves on the commercial real estate portfolio increased period-over-period due to higher uncertainty related to the COVID-19 pandemic and related economic effects.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entire allowance for loan losses is available to absorb losses from any and all loans, the following table represents management’s allocation of our allowance for loan losses by loan category, and the percentage of the allowance for loan losses in each category, for the periods indicated.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was $23.2 million at December 31, 2021, as compared to $22.2 million at December 31, 2020. The $1.1 million increase is due to a $1.7 million provision for loan losses recorded during the year ended December 31, 2021, offset by net charge-offs of $0.6 million during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allowance for loan losses by loan class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24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w w:val="98"/>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12,869</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55.37%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645</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6,687</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28.77%</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889</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400" w:type="dxa"/>
            <w:vAlign w:val="bottom"/>
          </w:tcPr>
          <w:p>
            <w:pPr>
              <w:ind w:left="160"/>
              <w:spacing w:after="0"/>
              <w:rPr>
                <w:sz w:val="20"/>
                <w:szCs w:val="20"/>
                <w:color w:val="auto"/>
              </w:rPr>
            </w:pPr>
            <w:r>
              <w:rPr>
                <w:rFonts w:ascii="Arial" w:cs="Arial" w:eastAsia="Arial" w:hAnsi="Arial"/>
                <w:sz w:val="18"/>
                <w:szCs w:val="18"/>
                <w:color w:val="auto"/>
              </w:rPr>
              <w:t>Unallocated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99.28%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8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4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0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48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provides information on the activity within the allowance for loan losses as of and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rPr>
              <w:t>As of and for the year ended</w:t>
            </w:r>
          </w:p>
        </w:tc>
        <w:tc>
          <w:tcPr>
            <w:tcW w:w="1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4"/>
          </w:tcPr>
          <w:p>
            <w:pPr>
              <w:jc w:val="right"/>
              <w:ind w:right="130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9"/>
                <w:szCs w:val="19"/>
                <w:color w:val="auto"/>
              </w:rPr>
            </w:pPr>
          </w:p>
        </w:tc>
        <w:tc>
          <w:tcPr>
            <w:tcW w:w="302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8"/>
              </w:rPr>
              <w:t>Activity</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Period End Loans</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w w:val="95"/>
              </w:rPr>
              <w:t>Activity</w:t>
            </w: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 of Period End Loans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1,936,066</w:t>
            </w:r>
          </w:p>
        </w:tc>
        <w:tc>
          <w:tcPr>
            <w:tcW w:w="4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1,506,454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22,189</w:t>
            </w:r>
          </w:p>
        </w:tc>
        <w:tc>
          <w:tcPr>
            <w:tcW w:w="1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4040" w:type="dxa"/>
            <w:vAlign w:val="bottom"/>
          </w:tcPr>
          <w:p>
            <w:pPr>
              <w:ind w:left="320"/>
              <w:spacing w:after="0"/>
              <w:rPr>
                <w:sz w:val="20"/>
                <w:szCs w:val="20"/>
                <w:color w:val="auto"/>
              </w:rPr>
            </w:pPr>
            <w:r>
              <w:rPr>
                <w:rFonts w:ascii="Arial" w:cs="Arial" w:eastAsia="Arial" w:hAnsi="Arial"/>
                <w:sz w:val="18"/>
                <w:szCs w:val="18"/>
                <w:color w:val="auto"/>
              </w:rPr>
              <w:t>Farmland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20"/>
              <w:spacing w:after="0"/>
              <w:rPr>
                <w:sz w:val="20"/>
                <w:szCs w:val="20"/>
                <w:color w:val="auto"/>
              </w:rPr>
            </w:pPr>
            <w:r>
              <w:rPr>
                <w:rFonts w:ascii="Arial" w:cs="Arial" w:eastAsia="Arial" w:hAnsi="Arial"/>
                <w:sz w:val="18"/>
                <w:szCs w:val="18"/>
                <w:color w:val="auto"/>
              </w:rPr>
              <w:t>Secured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(559)</w:t>
            </w: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(1,428)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tcPr>
          <w:p>
            <w:pPr>
              <w:ind w:left="320"/>
              <w:spacing w:after="0"/>
              <w:rPr>
                <w:sz w:val="20"/>
                <w:szCs w:val="20"/>
                <w:color w:val="auto"/>
              </w:rPr>
            </w:pPr>
            <w:r>
              <w:rPr>
                <w:rFonts w:ascii="Arial" w:cs="Arial" w:eastAsia="Arial" w:hAnsi="Arial"/>
                <w:sz w:val="18"/>
                <w:szCs w:val="18"/>
                <w:color w:val="auto"/>
              </w:rPr>
              <w:t>PPP</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2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80"/>
              <w:spacing w:after="0"/>
              <w:rPr>
                <w:sz w:val="20"/>
                <w:szCs w:val="20"/>
                <w:color w:val="auto"/>
              </w:rPr>
            </w:pPr>
            <w:r>
              <w:rPr>
                <w:rFonts w:ascii="Arial" w:cs="Arial" w:eastAsia="Arial" w:hAnsi="Arial"/>
                <w:sz w:val="18"/>
                <w:szCs w:val="18"/>
                <w:color w:val="auto"/>
              </w:rPr>
              <w:t>Net charge-offs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vMerge w:val="continue"/>
          </w:tcPr>
          <w:p>
            <w:pPr>
              <w:spacing w:after="0"/>
              <w:rPr>
                <w:sz w:val="18"/>
                <w:szCs w:val="18"/>
                <w:color w:val="auto"/>
              </w:rPr>
            </w:pP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(1,726)</w:t>
            </w:r>
          </w:p>
        </w:tc>
        <w:tc>
          <w:tcPr>
            <w:tcW w:w="400" w:type="dxa"/>
            <w:vAlign w:val="bottom"/>
            <w:gridSpan w:val="2"/>
            <w:vMerge w:val="continue"/>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1,700</w:t>
            </w: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Arial" w:cs="Arial" w:eastAsia="Arial" w:hAnsi="Arial"/>
                <w:sz w:val="18"/>
                <w:szCs w:val="18"/>
                <w:color w:val="auto"/>
              </w:rPr>
              <w:t>Allowance for loan losses (end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23,243</w:t>
            </w: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22,189</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1.47%</w:t>
            </w: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ratio of allowance for loan losses to total loans was 1.20% at December 31, 2021, compared to 1.47% at December 31, 2020. The decrease was primarily due to an improvement in economic conditions for commercial secured loans during fiscal year 2021 and increased loan growth year-over-year. Excluding PPP loans, the ratio of the allowance for loan losses to total loans was 1.21% and 1.63% at December 31, 2021 and 2020, respectively. See the section entitled “Non-GAAP Financial Measures” for a reconciliation of our non-GAAP measures to the most directly comparable GAAP financial measure. Non-accrual loans totaled $0.6 million, or 0.03% of total loans, at December 31, 2021, remaining largely unchanged from $0.5 million, or 0.03% of total loans, at December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Net charge-offs as a percent of period end loans decreased slightly from 0.11% for the year ended December 31, 2020 to 0.03% for the year ended December 31, 2021. The net recovery rate related to the residential real estate portfolio was 0.30% for the year ended December 31, 2020 and 0.00% for the year ended December 31, 2021. The net charge-off rate related to the commercial secured portfolio improved from 1.03% in the year ended December 31, 2020 to 0.41% in the year ended December 31, 2021. The net charge-off rate related to the consumer portfolio improved from 7.88% in the year ended December 31, 2020 to 0.51% in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total liabilities increased by $501.7 million from $1.8 billion at December 31, 2020 to $2.3 billion at December 31, 2021. This increase was primarily due to an increase in total deposits of $501.9 million, comprised of increases of $201.0 million in non-interest-bearing deposits and $300.9 million in 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98.46% of our total liabilities as of December 31, 2021, deposits are our primary source of funding for our business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deposits increased by $501.9 million, or 28.13%, to $2.3 billion at December 31, 2021 from $1.8 billion as of December 31, 2020. Deposit increases were attributed to an increase in the number of new relationships, as well as fluctuations in our existing accounts. Non-interest-bearing deposits increased by $201.0 million in 2021 to $902.1 million, and represented 39.46% of total deposits at December 31, 2021, compared to 39.30% of total deposits at December 31, 2020. Our loan to deposit ratio was 85.09% at December 31, 2021 compared to 84.50% at December 31, 2020. We intend to continue to operate our business with a loan to deposit ratio similar to these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deposit composition by average deposits and average rates paid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6"/>
          </w:tcPr>
          <w:p>
            <w:pPr>
              <w:jc w:val="right"/>
              <w:ind w:right="1170"/>
              <w:spacing w:after="0"/>
              <w:rPr>
                <w:sz w:val="20"/>
                <w:szCs w:val="20"/>
                <w:color w:val="auto"/>
              </w:rPr>
            </w:pPr>
            <w:r>
              <w:rPr>
                <w:rFonts w:ascii="Arial" w:cs="Arial" w:eastAsia="Arial" w:hAnsi="Arial"/>
                <w:sz w:val="18"/>
                <w:szCs w:val="18"/>
                <w:b w:val="1"/>
                <w:bCs w:val="1"/>
                <w:color w:val="auto"/>
                <w:w w:val="93"/>
              </w:rPr>
              <w:t>December 31,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w w:val="93"/>
              </w:rPr>
              <w:t>December 31, 2020</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87"/>
              </w:rPr>
              <w:t>Average</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w w:val="90"/>
              </w:rPr>
              <w:t>Average</w:t>
            </w:r>
          </w:p>
        </w:tc>
        <w:tc>
          <w:tcPr>
            <w:tcW w:w="1380" w:type="dxa"/>
            <w:vAlign w:val="bottom"/>
            <w:tcBorders>
              <w:top w:val="single" w:sz="8" w:color="auto"/>
            </w:tcBorders>
            <w:gridSpan w:val="2"/>
          </w:tcPr>
          <w:p>
            <w:pPr>
              <w:jc w:val="right"/>
              <w:ind w:right="470"/>
              <w:spacing w:after="0" w:line="191"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8"/>
                <w:szCs w:val="18"/>
                <w:b w:val="1"/>
                <w:bCs w:val="1"/>
                <w:color w:val="auto"/>
              </w:rPr>
              <w:t>Average</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w w:val="92"/>
              </w:rPr>
              <w:t>Average</w:t>
            </w:r>
          </w:p>
        </w:tc>
        <w:tc>
          <w:tcPr>
            <w:tcW w:w="1380" w:type="dxa"/>
            <w:vAlign w:val="bottom"/>
            <w:tcBorders>
              <w:top w:val="single" w:sz="8" w:color="auto"/>
            </w:tcBorders>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Rate Paid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6"/>
              </w:rPr>
              <w:t>of Total Deposits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Rate Paid</w:t>
            </w:r>
          </w:p>
        </w:tc>
        <w:tc>
          <w:tcPr>
            <w:tcW w:w="15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3"/>
              </w:rPr>
              <w:t>of Total Deposits</w:t>
            </w: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Transaction accounts</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155,163</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141,293</w:t>
            </w:r>
          </w:p>
        </w:tc>
        <w:tc>
          <w:tcPr>
            <w:tcW w:w="1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vMerge w:val="continue"/>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Money market and savings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1,009,847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0.19%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906,599</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color w:val="auto"/>
              </w:rPr>
              <w:t>0.64%</w:t>
            </w:r>
          </w:p>
        </w:tc>
        <w:tc>
          <w:tcPr>
            <w:tcW w:w="1540" w:type="dxa"/>
            <w:vAlign w:val="bottom"/>
            <w:gridSpan w:val="4"/>
          </w:tcPr>
          <w:p>
            <w:pPr>
              <w:jc w:val="right"/>
              <w:ind w:right="2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53,222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102,890</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3580" w:type="dxa"/>
            <w:vAlign w:val="bottom"/>
          </w:tcPr>
          <w:p>
            <w:pPr>
              <w:ind w:left="16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1,218,232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1,150,782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Uninsured deposits, excluding time deposits, totaled $1.3 billion and $1.1 billion at December 31, 2021 and 2020, respectively.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our 26 largest deposit relationships, each accounting for more than $10.0 million, totaled $912.7 million, or 39.93% of our total deposits. As of December 31, 2020, our 18 largest deposit relationships, each accounting for more than $10.0 million, totaled $641.2 million, or 35.90%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Municipalities</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424,483</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Non-Profit</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181,080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165,046</w:t>
            </w:r>
          </w:p>
        </w:tc>
        <w:tc>
          <w:tcPr>
            <w:tcW w:w="80" w:type="dxa"/>
            <w:vAlign w:val="bottom"/>
          </w:tcPr>
          <w:p>
            <w:pPr>
              <w:spacing w:after="0"/>
              <w:rPr>
                <w:sz w:val="18"/>
                <w:szCs w:val="18"/>
                <w:color w:val="auto"/>
              </w:rPr>
            </w:pPr>
          </w:p>
        </w:tc>
      </w:tr>
      <w:tr>
        <w:trPr>
          <w:trHeight w:val="23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307,132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157,757</w:t>
            </w:r>
          </w:p>
        </w:tc>
        <w:tc>
          <w:tcPr>
            <w:tcW w:w="80" w:type="dxa"/>
            <w:vAlign w:val="bottom"/>
            <w:shd w:val="clear" w:color="auto" w:fill="CCEEFF"/>
          </w:tcPr>
          <w:p>
            <w:pPr>
              <w:spacing w:after="0"/>
              <w:rPr>
                <w:sz w:val="19"/>
                <w:szCs w:val="19"/>
                <w:color w:val="auto"/>
              </w:rPr>
            </w:pPr>
          </w:p>
        </w:tc>
      </w:tr>
      <w:tr>
        <w:trPr>
          <w:trHeight w:val="223"/>
        </w:trPr>
        <w:tc>
          <w:tcPr>
            <w:tcW w:w="85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912,695</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single deposit relationship relates to a non-profit association that supports hospitals and health systems. The balances for this customer were $155.0 million, or 6.78% of total deposits, at December 31, 2021 and $133.3 million, or 7.50%, of total deposits at December 31,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sets forth the maturity of time deposits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$250,000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Less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Uninsured</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or Greater</w:t>
            </w:r>
          </w:p>
        </w:tc>
        <w:tc>
          <w:tcPr>
            <w:tcW w:w="1720" w:type="dxa"/>
            <w:vAlign w:val="bottom"/>
            <w:gridSpan w:val="4"/>
          </w:tcPr>
          <w:p>
            <w:pPr>
              <w:ind w:left="220"/>
              <w:spacing w:after="0"/>
              <w:rPr>
                <w:sz w:val="20"/>
                <w:szCs w:val="20"/>
                <w:color w:val="auto"/>
              </w:rPr>
            </w:pPr>
            <w:r>
              <w:rPr>
                <w:rFonts w:ascii="Arial" w:cs="Arial" w:eastAsia="Arial" w:hAnsi="Arial"/>
                <w:sz w:val="18"/>
                <w:szCs w:val="18"/>
                <w:b w:val="1"/>
                <w:bCs w:val="1"/>
                <w:color w:val="auto"/>
              </w:rPr>
              <w:t xml:space="preserve">than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250,000</w:t>
            </w:r>
          </w:p>
        </w:tc>
        <w:tc>
          <w:tcPr>
            <w:tcW w:w="2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Portion</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maturity:</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77,563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25,771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103,334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75,063</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three through six months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Over six through twelve months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twelve months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26,404</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104,272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no borrowings outstanding as of December 31, 2021 and December 31, 2020.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2017 and 2019, we issued subordinated notes of $25.0 million and $3.75 million, respectively. This debt was issued to investors in private placement transactions. See Note 9, Long Term Debt and Other Borrowings, in the notes to our consolidated financial statements included in this Annual Report on Form 10-K for additional information regarding these subordinated notes. The proceeds of the notes constitute Tier 2 capital under the regulatory capital rules of the federal banking agencies. The following table is a summary of our outstanding subordinated notes as of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Issuance Date</w:t>
            </w:r>
          </w:p>
        </w:tc>
        <w:tc>
          <w:tcPr>
            <w:tcW w:w="184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Amount of Notes</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Prepayment Right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September 28, 2022</w:t>
            </w:r>
          </w:p>
        </w:tc>
        <w:tc>
          <w:tcPr>
            <w:tcW w:w="3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0" w:right="520"/>
        <w:spacing w:after="0" w:line="277" w:lineRule="auto"/>
        <w:rPr>
          <w:sz w:val="20"/>
          <w:szCs w:val="20"/>
          <w:color w:val="auto"/>
        </w:rPr>
      </w:pPr>
      <w:r>
        <w:rPr>
          <w:rFonts w:ascii="Arial" w:cs="Arial" w:eastAsia="Arial" w:hAnsi="Arial"/>
          <w:sz w:val="18"/>
          <w:szCs w:val="18"/>
          <w:color w:val="auto"/>
        </w:rPr>
        <w:t>Fixed at 6.00% through September 15, 2022, then three-month London Inter-bank Offered Rate (“LIBOR”) plus 404.4 basis points (4.25% as of December 31,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shd w:val="clear" w:color="auto" w:fill="CCEEFF"/>
          </w:tcPr>
          <w:p>
            <w:pPr>
              <w:spacing w:after="0"/>
              <w:rPr>
                <w:sz w:val="18"/>
                <w:szCs w:val="18"/>
                <w:color w:val="auto"/>
              </w:rPr>
            </w:pPr>
          </w:p>
        </w:tc>
        <w:tc>
          <w:tcPr>
            <w:tcW w:w="280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November</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w:t>
            </w:r>
          </w:p>
        </w:tc>
        <w:tc>
          <w:tcPr>
            <w:tcW w:w="1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September 15,</w:t>
            </w: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80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3,750</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1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2027</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Fixed at 5.50% through September 15, 2022, then three-month LIBOR plus 354.4 basis points (3.75% as of December 31,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totaled $235.0 million at December 31, 2021 and $133.8 million at December 31, 2020. The increase in shareholders’ equity was primarily attributable to net proceeds of $111.2 million from the issuance of 6,054,750 shares of common stock in our IPO and net income recognized of $42.4 million, partially offset by $51.9 million in cash dividends paid during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or reputational risks could also affect the Bank’s liquidity risk profile and are considered in the assessment of liquidity management.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jc w:val="both"/>
        <w:spacing w:after="0" w:line="285" w:lineRule="auto"/>
        <w:rPr>
          <w:sz w:val="20"/>
          <w:szCs w:val="20"/>
          <w:color w:val="auto"/>
        </w:rPr>
      </w:pPr>
      <w:r>
        <w:rPr>
          <w:rFonts w:ascii="Arial" w:cs="Arial" w:eastAsia="Arial" w:hAnsi="Arial"/>
          <w:sz w:val="16"/>
          <w:szCs w:val="16"/>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Bancorp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discount window, draws on established federal funds lines from unaffiliated commercial banks, and the issuance of debt or equity securities. We believe that we have ample liquidity resources to fund future growth and meet other cash needs as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 income taxes, and dividend payments, as described below. In 2021, we also had significant cash inflows as a result of our IPO.</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our current capital allocation objectives, during 2022, we project expending approximately $0.5 million to $1.5 million of cash related to continued buildout of our IT systems and processes and $10.3 million of cash for dividends on our common stock (based on the assumptions described below). We project an additional distribution to shareholders of record as of May 3, 2021 of approximately $4.9 million for the final distribution of the Accumulated Adjustments Account (“AAA”) payout under the Company’s Tax Sharing Agreement, which represents previously taxed but undistributed earnings. The final AAA distribution amount is subject to adjustment upon completion of the 2021 tax return, which could be material.</w:t>
      </w:r>
    </w:p>
    <w:p>
      <w:pPr>
        <w:spacing w:after="0" w:line="16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12-month period ending December 31, 2022, we project that our fixed commitments could potentially include: (i) approximately $249.0 million to fund off balance sheet commitments outstanding at December 31, 2021; (ii) $5.0 million for IT services, IT support and compliance expenditures; and (iii) $1.0 million for operating leases. In future years, we expect that our main sources and uses of cash will relate primarily to regular operating activities.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management believes the above-mentioned sources will provide adequate liquidity during the next twelve months for the Bank to meet its operating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IPO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7, 2021, we completed our IPO at a price of $20.00 per share.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we had cash outflows of $426.9 million in loan originations and advances, net of principal collected, and $48.2 million in loans originated for sale.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December 31, 2021, total off-balance sheet commitments totaled $248.9 million. We expect to fund these commitments to the extent utilized primarily through the repayment of existing loans, deposit growth, and liquid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are our primary source of funding for our business operations, and the cost of deposits has a significant impact on our net interest income and net interest margin.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deposits are made up of primarily non-interest checking and money market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we had significant cash inflows related to an increase in deposits of $501.9 million, primarily as a result of an increase in the number of new relationships and fluctuations in existing accounts.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next twelve months, $103.3 million of time deposits are expected to mature. Additionally, we expect to obtain a new time deposit in the amount of $75.0 million with a state organization. We expect $0.9 million of time deposits to mature through 2026. As these time deposits mature, some of these deposits may not renew due to market competition. However, based on our historical runoff experience, we expect the outflow will not be significant and can be replenished through our organic growth in deposits. We believe our emphasis on local deposits, combined with our liquid investment portfolio, as discussed below, provides a stable funding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investment securities, excluding held-to-maturity securities, totaled $148.8 million at December 31, 2021. At December 31, 2021, 53.02% and 32.57% of our investment portfolio consisted of mortgage-backed securities and obligations of states and political subdivisions,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$14.4 million from our securities over the next 12 months. In future periods, we expect to maintain approximately the same level of cash flows from our securities. Depending on market yield and our liquidity, we may purchase securities as a use of cash in our interest-earning asset portfolio.</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we had cash proceeds from sales, maturities, and/or prepayments of securities of $65.8 million, offset by cash outflows of $99.7 million related to investment securities purchased. Additionally, at December 31, 2021, securities available-for-sale totaled $148.8 million, of which $63.4 million has been pledged as collateral for borrowings and other commitments.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auto"/>
        </w:rPr>
        <w:t>Future Contractual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estimated future obligations as of December 31, 2021 include both current and long-term obligations. Under our operating leases as discussed in Note 15, Commitments and Contingencies, we have a current obligation of $1.0 million and a long-term obligation of $4.4 million. We also have a current obligation of $103.3 million and a long-term obligation of $0.9 million related to time deposits, as discussed in Note 8, Interest-Bearing Deposits. We have subordinated notes of $28.4 million, all of which are long-term obligations. Finally, we have one significant, long-term contract for core processing services. While the actual obligation is unknown and dependent on certain factors, including volume and activities, we estimate that our current obligation under this contract is $1.2 million and our long-term obligation is $0.5 million, which is estimated using 2021 average monthly expense extrapolated over the remaining life of the contract.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Financing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is a shareholder of the FHLB, which enables the Bank to have access to lower-cost FHLB financing when necessary. At December 31, 2021, the Bank had a total financing availability of $275.8 million, net of letters of credit issued of $420.5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Inflation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use of liquidity for the Company is shareholder dividends. Bancorp paid dividends to its shareholders totaling $51.9 million during the year ended December 31, 2021, including a cash distribution in the amount of $27.0 million paid on May 21, 2021 to shareholders of record as of May 3, 2021, for the AAA payout, which is described in further detail in the Company’s Registration Statement on Form S-1.</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continue our current practice of paying quarterly cash dividends in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2022 at a rate of $0.15 per share, which is the rate of each of our three last quarterly dividend payments, our average total dividend paid each quarter would be approximately $2.6 million based on the number of current outstanding shares, which assumes no increases or decreases in the number of shares, and considering that unvested RSAs share equally in dividends with outstanding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Historical Information</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consolidated cash flow activities: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For the year ended</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 2021</w:t>
            </w: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540" w:type="dxa"/>
            <w:vAlign w:val="bottom"/>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Increase (Decrease)</w:t>
            </w:r>
          </w:p>
        </w:tc>
        <w:tc>
          <w:tcPr>
            <w:tcW w:w="100" w:type="dxa"/>
            <w:vAlign w:val="bottom"/>
          </w:tcPr>
          <w:p>
            <w:pPr>
              <w:spacing w:after="0"/>
              <w:rPr>
                <w:sz w:val="19"/>
                <w:szCs w:val="19"/>
                <w:color w:val="auto"/>
              </w:rPr>
            </w:pP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51,475</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(455,011)</w:t>
            </w:r>
          </w:p>
        </w:tc>
        <w:tc>
          <w:tcPr>
            <w:tcW w:w="6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(372,630)</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(82,381)</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561,190</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434,282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decreased by $22.8 million for the year ended December 31, 2021 as compared to the year ended December 31, 2020, primarily due to a decrease in loans originated for sale, offset by a decrease in proceeds from sale of loans. Various other, less material items made up the remainder of the change. Cash provided by operating activities is subject to variability period-over-period as a result of timing differences, including with respect to the collection of receivables and payments of interest expense, accounts payable, and bonuses.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operating results, see “Results of Operations”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auto"/>
        </w:rPr>
        <w:t>Investing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increased by $82.4 million for the year ended December 31, 2021 as compared to the year ended December 31, 2020, primarily due to an increase in loan originations, net of repayments, an increase in purchases of available-for-sale securities, and an increase in purchases of bank-owned life insurance, partially offset by decreases in time deposits in banks.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increased by $126.9 million for the year ended December 31, 2021 as compared to the year ended December 31, 2020, primarily due to proceeds received in connection with the IPO during the year and growth in deposit account balances, partially offset by an increase in cash dividends paid, including a cash dividend payout from the Company’s AAA.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consolidated financial statements. We operate under the Small Bank Holding Company Policy Statement, and, accordingly, are exempt from the Federal Reserve’s generally applicable risk-based 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as well as the Bank’s prompt corrective action classification, are also subject to qualitative judgments by the regulators about components of capital, risk weightings, and other factors. As of December 31, 2021, both Bancorp and the Bank were in compliance with all applicable regulatory capital requirements, and the Bank qualified as “well-capitalized” under the prompt corrective action framework.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capital adequacy ratios as of December 31, 2021 and December 31, 2020 for Bancorp and the Bank are presented in the following tables. As of December 31, 2021 and December 31, 2020, Bancorp’s Tier 2 capital included subordinated debt, which was not included at the Bank level.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2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Capitalized under Prompt</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2140" w:type="dxa"/>
            <w:vAlign w:val="bottom"/>
            <w:gridSpan w:val="4"/>
          </w:tcPr>
          <w:p>
            <w:pPr>
              <w:jc w:val="center"/>
              <w:ind w:right="160"/>
              <w:spacing w:after="0" w:line="181" w:lineRule="exact"/>
              <w:rPr>
                <w:sz w:val="20"/>
                <w:szCs w:val="20"/>
                <w:color w:val="auto"/>
              </w:rPr>
            </w:pPr>
            <w:r>
              <w:rPr>
                <w:rFonts w:ascii="Arial" w:cs="Arial" w:eastAsia="Arial" w:hAnsi="Arial"/>
                <w:sz w:val="18"/>
                <w:szCs w:val="18"/>
                <w:b w:val="1"/>
                <w:bCs w:val="1"/>
                <w:color w:val="auto"/>
                <w:w w:val="91"/>
              </w:rPr>
              <w:t>Corrective Action</w:t>
            </w: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Capital Ratios for Bancorp</w:t>
            </w:r>
          </w:p>
        </w:tc>
        <w:tc>
          <w:tcPr>
            <w:tcW w:w="140" w:type="dxa"/>
            <w:vAlign w:val="bottom"/>
          </w:tcPr>
          <w:p>
            <w:pPr>
              <w:spacing w:after="0"/>
              <w:rPr>
                <w:sz w:val="23"/>
                <w:szCs w:val="23"/>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3"/>
                <w:szCs w:val="23"/>
                <w:color w:val="auto"/>
              </w:rPr>
            </w:pPr>
          </w:p>
        </w:tc>
        <w:tc>
          <w:tcPr>
            <w:tcW w:w="2060" w:type="dxa"/>
            <w:vAlign w:val="bottom"/>
            <w:gridSpan w:val="5"/>
          </w:tcPr>
          <w:p>
            <w:pPr>
              <w:ind w:left="80"/>
              <w:spacing w:after="0" w:line="270" w:lineRule="exact"/>
              <w:rPr>
                <w:sz w:val="20"/>
                <w:szCs w:val="20"/>
                <w:color w:val="auto"/>
              </w:rPr>
            </w:pPr>
            <w:r>
              <w:rPr>
                <w:rFonts w:ascii="Arial" w:cs="Arial" w:eastAsia="Arial" w:hAnsi="Arial"/>
                <w:sz w:val="18"/>
                <w:szCs w:val="18"/>
                <w:b w:val="1"/>
                <w:bCs w:val="1"/>
                <w:color w:val="auto"/>
              </w:rPr>
              <w:t>Adequacy Purposes</w:t>
            </w:r>
            <w:r>
              <w:rPr>
                <w:rFonts w:ascii="Arial" w:cs="Arial" w:eastAsia="Arial" w:hAnsi="Arial"/>
                <w:sz w:val="29"/>
                <w:szCs w:val="29"/>
                <w:b w:val="1"/>
                <w:bCs w:val="1"/>
                <w:color w:val="auto"/>
                <w:vertAlign w:val="superscript"/>
              </w:rPr>
              <w:t>1</w:t>
            </w:r>
          </w:p>
        </w:tc>
        <w:tc>
          <w:tcPr>
            <w:tcW w:w="2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9"/>
              </w:rPr>
              <w:t>Amount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Ratio</w:t>
            </w:r>
          </w:p>
        </w:tc>
        <w:tc>
          <w:tcPr>
            <w:tcW w:w="300" w:type="dxa"/>
            <w:vAlign w:val="bottom"/>
          </w:tcPr>
          <w:p>
            <w:pPr>
              <w:spacing w:after="0"/>
              <w:rPr>
                <w:sz w:val="19"/>
                <w:szCs w:val="19"/>
                <w:color w:val="auto"/>
              </w:rPr>
            </w:pPr>
          </w:p>
        </w:tc>
        <w:tc>
          <w:tcPr>
            <w:tcW w:w="11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285,128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163,177</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8.00%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233,397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122,382</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6.00%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233,397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91,787</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4.50%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233,397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98,600</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176,861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116,138</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8.00%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130,347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87,103</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6.00%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130,347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65,327</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4.50%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Tier 1 leverage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130,347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79,204</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4.00%</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4"/>
        </w:trPr>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8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760" w:type="dxa"/>
            <w:vAlign w:val="bottom"/>
            <w:tcBorders>
              <w:bottom w:val="single" w:sz="8" w:color="DCDCDC"/>
            </w:tcBorders>
          </w:tcPr>
          <w:p>
            <w:pPr>
              <w:spacing w:after="0"/>
              <w:rPr>
                <w:sz w:val="11"/>
                <w:szCs w:val="11"/>
                <w:color w:val="auto"/>
              </w:rPr>
            </w:pPr>
          </w:p>
        </w:tc>
        <w:tc>
          <w:tcPr>
            <w:tcW w:w="2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78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9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Ratio to be Well-</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216"/>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Capital Ratios for the Bank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5"/>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Corrective Action</w:t>
            </w:r>
          </w:p>
        </w:tc>
        <w:tc>
          <w:tcPr>
            <w:tcW w:w="0" w:type="dxa"/>
            <w:vAlign w:val="bottom"/>
          </w:tcPr>
          <w:p>
            <w:pPr>
              <w:spacing w:after="0"/>
              <w:rPr>
                <w:sz w:val="1"/>
                <w:szCs w:val="1"/>
                <w:color w:val="auto"/>
              </w:rPr>
            </w:pPr>
          </w:p>
        </w:tc>
      </w:tr>
      <w:tr>
        <w:trPr>
          <w:trHeight w:val="234"/>
        </w:trPr>
        <w:tc>
          <w:tcPr>
            <w:tcW w:w="4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Actual Ratio</w:t>
            </w:r>
          </w:p>
        </w:tc>
        <w:tc>
          <w:tcPr>
            <w:tcW w:w="120" w:type="dxa"/>
            <w:vAlign w:val="bottom"/>
          </w:tcPr>
          <w:p>
            <w:pPr>
              <w:spacing w:after="0"/>
              <w:rPr>
                <w:sz w:val="20"/>
                <w:szCs w:val="20"/>
                <w:color w:val="auto"/>
              </w:rPr>
            </w:pPr>
          </w:p>
        </w:tc>
        <w:tc>
          <w:tcPr>
            <w:tcW w:w="1880" w:type="dxa"/>
            <w:vAlign w:val="bottom"/>
            <w:gridSpan w:val="4"/>
          </w:tcPr>
          <w:p>
            <w:pPr>
              <w:spacing w:after="0"/>
              <w:rPr>
                <w:sz w:val="20"/>
                <w:szCs w:val="20"/>
                <w:color w:val="auto"/>
              </w:rPr>
            </w:pPr>
            <w:r>
              <w:rPr>
                <w:rFonts w:ascii="Arial" w:cs="Arial" w:eastAsia="Arial" w:hAnsi="Arial"/>
                <w:sz w:val="18"/>
                <w:szCs w:val="18"/>
                <w:b w:val="1"/>
                <w:bCs w:val="1"/>
                <w:color w:val="auto"/>
              </w:rPr>
              <w:t>Adequacy Purposes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19"/>
                <w:szCs w:val="19"/>
                <w:color w:val="auto"/>
              </w:rPr>
            </w:pPr>
          </w:p>
        </w:tc>
        <w:tc>
          <w:tcPr>
            <w:tcW w:w="9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9"/>
              </w:rPr>
              <w:t>Amount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380" w:type="dxa"/>
            <w:vAlign w:val="bottom"/>
          </w:tcPr>
          <w:p>
            <w:pPr>
              <w:spacing w:after="0"/>
              <w:rPr>
                <w:sz w:val="19"/>
                <w:szCs w:val="19"/>
                <w:color w:val="auto"/>
              </w:rPr>
            </w:pPr>
          </w:p>
        </w:tc>
        <w:tc>
          <w:tcPr>
            <w:tcW w:w="10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Ratio</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279,152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163,078</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 8.00%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203,848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255,807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122,309</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6.00%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163,078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255,807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91,731</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 4.50%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132,501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255,807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98,555</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4.00%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123,193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174,002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116,114</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8.00%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145,143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155,808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87,086</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 6.00%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116,114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155,808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65,314</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4.50%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94,343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155,808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79,199</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 4.00%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98,998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194"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Presented as if Bancorp were subject to Basel III capital requirements. The Company operates under the Small Bank Holding Company Policy Statement and therefore is not currently subject to generally applicable capital adequacy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the expected impact of accounting pronouncements recently adopted and accounting pronouncements recently issued but not yet adopted by us as of December 31, 2021, see Note 2, Recently Issued Accounting Standards, of our audited consolidated financial statements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Allowance for loan losses to total loans, excluding PPP loans, average loans, excluding PPP loans, average loan yield, excluding PPP loans, tangible shareholders’ equity to tangible assets, and tangible book value per share are non-GAAP financial measures.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Allowance for loan losses to total loans, excluding PPP loans, is defined as allowance for loan losses, divided by total loans less PPP loans. The most directly comparable GAAP financial measure is allowance for loan losses to total loans.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loans, excluding PPP loans, is defined as the daily average loan balance, less the daily average loan balance of PPP loans, and includes both performing and nonperforming loans. The most directly comparable GAAP financial measure is average loans.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 yield, excluding PPP loans, is defined as the interest income on loans, excluding interest income on PPP loans, divided by the average total loans, excluding average PPP loans. The most directly comparable GAAP financial measure is average loan yield.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reconciliation table provides a more detailed analysis of these non-GAAP financial measures along with their most directly comparable financial measures calculated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Allowance for loan losses to total loans, excluding PPP loans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loan losses (numerator)</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20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1,945,131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1,507,979</w:t>
            </w: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PPP loans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22,124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147,965</w:t>
            </w:r>
          </w:p>
        </w:tc>
      </w:tr>
      <w:tr>
        <w:trPr>
          <w:trHeight w:val="210"/>
        </w:trPr>
        <w:tc>
          <w:tcPr>
            <w:tcW w:w="8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loans, excluding PPP loans (denominator)</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1,923,007</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1,360,014</w:t>
            </w:r>
          </w:p>
        </w:tc>
        <w:tc>
          <w:tcPr>
            <w:tcW w:w="160" w:type="dxa"/>
            <w:vAlign w:val="bottom"/>
            <w:tcBorders>
              <w:bottom w:val="single" w:sz="8" w:color="CCEEFF"/>
            </w:tcBorders>
          </w:tcPr>
          <w:p>
            <w:pPr>
              <w:spacing w:after="0"/>
              <w:rPr>
                <w:sz w:val="18"/>
                <w:szCs w:val="18"/>
                <w:color w:val="auto"/>
              </w:rPr>
            </w:pPr>
          </w:p>
        </w:tc>
      </w:tr>
      <w:tr>
        <w:trPr>
          <w:trHeight w:val="223"/>
        </w:trPr>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 for loan losses to total loans, excluding PPP loans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loans, excluding PPP loans</w:t>
            </w:r>
          </w:p>
        </w:tc>
        <w:tc>
          <w:tcPr>
            <w:tcW w:w="2720" w:type="dxa"/>
            <w:vAlign w:val="bottom"/>
            <w:gridSpan w:val="5"/>
          </w:tcPr>
          <w:p>
            <w:pPr>
              <w:ind w:left="54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191"/>
        </w:trPr>
        <w:tc>
          <w:tcPr>
            <w:tcW w:w="8520" w:type="dxa"/>
            <w:vAlign w:val="bottom"/>
            <w:gridSpan w:val="2"/>
            <w:vMerge w:val="continue"/>
          </w:tcPr>
          <w:p>
            <w:pPr>
              <w:spacing w:after="0"/>
              <w:rPr>
                <w:sz w:val="16"/>
                <w:szCs w:val="16"/>
                <w:color w:val="auto"/>
              </w:rPr>
            </w:pPr>
          </w:p>
        </w:tc>
        <w:tc>
          <w:tcPr>
            <w:tcW w:w="12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2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total loans</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1,637,280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1,439,380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Less: Average PPP Loans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116,652</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165,414</w:t>
            </w:r>
          </w:p>
        </w:tc>
        <w:tc>
          <w:tcPr>
            <w:tcW w:w="0" w:type="dxa"/>
            <w:vAlign w:val="bottom"/>
          </w:tcPr>
          <w:p>
            <w:pPr>
              <w:spacing w:after="0"/>
              <w:rPr>
                <w:sz w:val="1"/>
                <w:szCs w:val="1"/>
                <w:color w:val="auto"/>
              </w:rPr>
            </w:pPr>
          </w:p>
        </w:tc>
      </w:tr>
      <w:tr>
        <w:trPr>
          <w:trHeight w:val="223"/>
        </w:trPr>
        <w:tc>
          <w:tcPr>
            <w:tcW w:w="8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total loans, excluding PPP loans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1,520,628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loan yield, excluding PPP loans</w:t>
            </w:r>
          </w:p>
        </w:tc>
        <w:tc>
          <w:tcPr>
            <w:tcW w:w="200" w:type="dxa"/>
            <w:vAlign w:val="bottom"/>
          </w:tcPr>
          <w:p>
            <w:pPr>
              <w:spacing w:after="0"/>
              <w:rPr>
                <w:sz w:val="20"/>
                <w:szCs w:val="20"/>
                <w:color w:val="auto"/>
              </w:rPr>
            </w:pPr>
          </w:p>
        </w:tc>
        <w:tc>
          <w:tcPr>
            <w:tcW w:w="2520" w:type="dxa"/>
            <w:vAlign w:val="bottom"/>
            <w:gridSpan w:val="6"/>
          </w:tcPr>
          <w:p>
            <w:pPr>
              <w:ind w:left="34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191"/>
        </w:trPr>
        <w:tc>
          <w:tcPr>
            <w:tcW w:w="8520" w:type="dxa"/>
            <w:vAlign w:val="bottom"/>
            <w:gridSpan w:val="2"/>
            <w:vMerge w:val="continue"/>
          </w:tcPr>
          <w:p>
            <w:pPr>
              <w:spacing w:after="0"/>
              <w:rPr>
                <w:sz w:val="16"/>
                <w:szCs w:val="16"/>
                <w:color w:val="auto"/>
              </w:rPr>
            </w:pPr>
          </w:p>
        </w:tc>
        <w:tc>
          <w:tcPr>
            <w:tcW w:w="128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280" w:type="dxa"/>
            <w:vAlign w:val="bottom"/>
            <w:tcBorders>
              <w:top w:val="single" w:sz="8" w:color="auto"/>
            </w:tcBorders>
            <w:gridSpan w:val="3"/>
          </w:tcPr>
          <w:p>
            <w:pPr>
              <w:ind w:left="24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 on loans</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Less: interest income on PPP loans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7,417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9"/>
        </w:trPr>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 on loans, excluding PPP loans (numerator)</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total loans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1,637,280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1,439,380</w:t>
            </w: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Less: average PPP loans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116,652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165,414</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total loans, excluding PPP loans (denominator)</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1,520,628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1,273,966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20" w:type="dxa"/>
            <w:vAlign w:val="bottom"/>
          </w:tcPr>
          <w:p>
            <w:pPr>
              <w:spacing w:after="0"/>
              <w:rPr>
                <w:sz w:val="20"/>
                <w:szCs w:val="20"/>
                <w:color w:val="auto"/>
              </w:rPr>
            </w:pPr>
            <w:r>
              <w:rPr>
                <w:rFonts w:ascii="Arial" w:cs="Arial" w:eastAsia="Arial" w:hAnsi="Arial"/>
                <w:sz w:val="18"/>
                <w:szCs w:val="18"/>
                <w:color w:val="auto"/>
              </w:rPr>
              <w:t>Average loan yield, excluding PPP loans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8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85875"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Shareholders and the Board of Directors of</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Five Star Bancorp and Subsidiary</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left="800"/>
        <w:spacing w:after="0" w:line="255" w:lineRule="auto"/>
        <w:rPr>
          <w:sz w:val="20"/>
          <w:szCs w:val="20"/>
          <w:color w:val="auto"/>
        </w:rPr>
      </w:pPr>
      <w:r>
        <w:rPr>
          <w:rFonts w:ascii="Arial" w:cs="Arial" w:eastAsia="Arial" w:hAnsi="Arial"/>
          <w:sz w:val="18"/>
          <w:szCs w:val="18"/>
          <w:color w:val="auto"/>
        </w:rPr>
        <w:t>We have audited the accompanying consolidated balance sheets of Five Star Bancorp and Subsidiary (the “Company”), as of December 31, 2021 and 2020, the related consolidated statements of income, comprehensive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800" w:right="120"/>
        <w:spacing w:after="0" w:line="30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800"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the standards of the PCAOB. As part of our audits, we are required to obtain an understanding of internal control over financial reporting, but not for the purpose of expressing an opinion on the effectiveness of the Company’s internal control over financial reporting in accordance with the standards of the PCAOB. Accordingly, we express no such opinion.</w:t>
      </w:r>
    </w:p>
    <w:p>
      <w:pPr>
        <w:spacing w:after="0" w:line="178" w:lineRule="exact"/>
        <w:rPr>
          <w:sz w:val="20"/>
          <w:szCs w:val="20"/>
          <w:color w:val="auto"/>
        </w:rPr>
      </w:pPr>
    </w:p>
    <w:p>
      <w:pPr>
        <w:ind w:left="80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Moss Adams LLP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Firm ID is 659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financial institutions</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136,074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46,028</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289,255</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244,465</w:t>
            </w:r>
          </w:p>
        </w:tc>
      </w:tr>
      <w:tr>
        <w:trPr>
          <w:trHeight w:val="209"/>
        </w:trPr>
        <w:tc>
          <w:tcPr>
            <w:tcW w:w="8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425,329</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in banks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14,464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148,807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114,949</w:t>
            </w: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Securities held-to-maturity, at amortized cost (fair value of $5,197 and $8,755 at December 31, 2021 and 2020,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4,946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10,671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4,820</w:t>
            </w: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held for investment, net of allowance for loan losses of $23,243 and $22,189 at December 31, 2021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respectively</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1,911,217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1,480,970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Federal Home Loan Bank of San Francisco (“FHLB”) stock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6,723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Bank-owned life insurance (“BOLI”)</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11,203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8,662</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and other assets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21,628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14,292</w:t>
            </w:r>
          </w:p>
        </w:tc>
      </w:tr>
      <w:tr>
        <w:trPr>
          <w:trHeight w:val="263"/>
        </w:trPr>
        <w:tc>
          <w:tcPr>
            <w:tcW w:w="84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2,556,761</w:t>
            </w:r>
          </w:p>
        </w:tc>
        <w:tc>
          <w:tcPr>
            <w:tcW w:w="4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1,953,765</w:t>
            </w:r>
          </w:p>
        </w:tc>
        <w:tc>
          <w:tcPr>
            <w:tcW w:w="100" w:type="dxa"/>
            <w:vAlign w:val="bottom"/>
            <w:tcBorders>
              <w:bottom w:val="single" w:sz="8" w:color="CCEEFF"/>
            </w:tcBorders>
          </w:tcPr>
          <w:p>
            <w:pPr>
              <w:spacing w:after="0"/>
              <w:rPr>
                <w:sz w:val="22"/>
                <w:szCs w:val="22"/>
                <w:color w:val="auto"/>
              </w:rPr>
            </w:pPr>
          </w:p>
        </w:tc>
      </w:tr>
      <w:tr>
        <w:trPr>
          <w:trHeight w:val="197"/>
        </w:trPr>
        <w:tc>
          <w:tcPr>
            <w:tcW w:w="8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902,118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701,079</w:t>
            </w:r>
          </w:p>
        </w:tc>
      </w:tr>
      <w:tr>
        <w:trPr>
          <w:trHeight w:val="230"/>
        </w:trPr>
        <w:tc>
          <w:tcPr>
            <w:tcW w:w="842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1,383,772</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1,082,922</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2,285,890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1,784,001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28,320</w:t>
            </w: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payable and other liabilities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7,439</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7,669</w:t>
            </w:r>
          </w:p>
        </w:tc>
      </w:tr>
      <w:tr>
        <w:trPr>
          <w:trHeight w:val="210"/>
        </w:trPr>
        <w:tc>
          <w:tcPr>
            <w:tcW w:w="8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2,321,715</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1,819,990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2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no par value; 10,000,000 shares authorized; zero issued and outstanding at December 31, 2021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20" w:type="dxa"/>
            <w:vAlign w:val="bottom"/>
          </w:tcPr>
          <w:p>
            <w:pPr>
              <w:ind w:left="320"/>
              <w:spacing w:after="0"/>
              <w:rPr>
                <w:sz w:val="20"/>
                <w:szCs w:val="20"/>
                <w:color w:val="auto"/>
              </w:rPr>
            </w:pPr>
            <w:r>
              <w:rPr>
                <w:rFonts w:ascii="Arial" w:cs="Arial" w:eastAsia="Arial" w:hAnsi="Arial"/>
                <w:sz w:val="18"/>
                <w:szCs w:val="18"/>
                <w:color w:val="auto"/>
              </w:rPr>
              <w:t>and 2020, respectively</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no par value; 100,000,000 shares authorized; 17,224,848 shares issued and outstanding at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2021; 11,000,273 shares issued and outstanding at December 31, 2020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218,444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110,082</w:t>
            </w:r>
          </w:p>
        </w:tc>
      </w:tr>
      <w:tr>
        <w:trPr>
          <w:trHeight w:val="216"/>
        </w:trPr>
        <w:tc>
          <w:tcPr>
            <w:tcW w:w="8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17,168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22,348</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 net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10"/>
        </w:trPr>
        <w:tc>
          <w:tcPr>
            <w:tcW w:w="8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235,046</w:t>
            </w:r>
          </w:p>
        </w:tc>
        <w:tc>
          <w:tcPr>
            <w:tcW w:w="4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133,775</w:t>
            </w:r>
          </w:p>
        </w:tc>
        <w:tc>
          <w:tcPr>
            <w:tcW w:w="100" w:type="dxa"/>
            <w:vAlign w:val="bottom"/>
            <w:tcBorders>
              <w:bottom w:val="single" w:sz="8" w:color="CCEEFF"/>
            </w:tcBorders>
          </w:tcPr>
          <w:p>
            <w:pPr>
              <w:spacing w:after="0"/>
              <w:rPr>
                <w:sz w:val="18"/>
                <w:szCs w:val="18"/>
                <w:color w:val="auto"/>
              </w:rPr>
            </w:pPr>
          </w:p>
        </w:tc>
      </w:tr>
      <w:tr>
        <w:trPr>
          <w:trHeight w:val="223"/>
        </w:trPr>
        <w:tc>
          <w:tcPr>
            <w:tcW w:w="8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2,556,761</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1,953,765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2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78,894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71,405</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securities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Nontaxable securities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29"/>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r>
      <w:tr>
        <w:trPr>
          <w:trHeight w:val="209"/>
        </w:trPr>
        <w:tc>
          <w:tcPr>
            <w:tcW w:w="6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81,583</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74,390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7,407</w:t>
            </w:r>
          </w:p>
        </w:tc>
      </w:tr>
      <w:tr>
        <w:trPr>
          <w:trHeight w:val="229"/>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1,773</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w:t>
            </w:r>
          </w:p>
        </w:tc>
      </w:tr>
      <w:tr>
        <w:trPr>
          <w:trHeight w:val="210"/>
        </w:trPr>
        <w:tc>
          <w:tcPr>
            <w:tcW w:w="6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interest income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77,611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65,210</w:t>
            </w:r>
          </w:p>
        </w:tc>
      </w:tr>
      <w:tr>
        <w:trPr>
          <w:trHeight w:val="216"/>
        </w:trPr>
        <w:tc>
          <w:tcPr>
            <w:tcW w:w="6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0"/>
        </w:trPr>
        <w:tc>
          <w:tcPr>
            <w:tcW w:w="65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75,911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56,210</w:t>
            </w:r>
          </w:p>
        </w:tc>
      </w:tr>
      <w:tr>
        <w:trPr>
          <w:trHeight w:val="216"/>
        </w:trPr>
        <w:tc>
          <w:tcPr>
            <w:tcW w:w="6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Non-interest income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Net gain on sale of securities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loans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Loan-related fees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 stock dividends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Earnings on BOLI</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30"/>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09"/>
        </w:trPr>
        <w:tc>
          <w:tcPr>
            <w:tcW w:w="6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19,825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16,084</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Data processing and software</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1,982</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Deposit Insurance Corporation (“FDIC”) insurance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r>
      <w:tr>
        <w:trPr>
          <w:trHeight w:val="216"/>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promotional</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r>
      <w:tr>
        <w:trPr>
          <w:trHeight w:val="216"/>
        </w:trPr>
        <w:tc>
          <w:tcPr>
            <w:tcW w:w="6540" w:type="dxa"/>
            <w:vAlign w:val="bottom"/>
          </w:tcPr>
          <w:p>
            <w:pPr>
              <w:ind w:left="160"/>
              <w:spacing w:after="0"/>
              <w:rPr>
                <w:sz w:val="20"/>
                <w:szCs w:val="20"/>
                <w:color w:val="auto"/>
              </w:rPr>
            </w:pPr>
            <w:r>
              <w:rPr>
                <w:rFonts w:ascii="Arial" w:cs="Arial" w:eastAsia="Arial" w:hAnsi="Arial"/>
                <w:sz w:val="18"/>
                <w:szCs w:val="18"/>
                <w:color w:val="auto"/>
              </w:rPr>
              <w:t>Loan-related expenses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r>
      <w:tr>
        <w:trPr>
          <w:trHeight w:val="230"/>
        </w:trPr>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4,949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r>
      <w:tr>
        <w:trPr>
          <w:trHeight w:val="210"/>
        </w:trPr>
        <w:tc>
          <w:tcPr>
            <w:tcW w:w="654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36,043</w:t>
            </w: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47,148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37,255</w:t>
            </w:r>
          </w:p>
        </w:tc>
      </w:tr>
      <w:tr>
        <w:trPr>
          <w:trHeight w:val="216"/>
        </w:trPr>
        <w:tc>
          <w:tcPr>
            <w:tcW w:w="6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4,707</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0"/>
        </w:trPr>
        <w:tc>
          <w:tcPr>
            <w:tcW w:w="65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42,441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35,928</w:t>
            </w:r>
          </w:p>
        </w:tc>
      </w:tr>
      <w:tr>
        <w:trPr>
          <w:trHeight w:val="197"/>
        </w:trPr>
        <w:tc>
          <w:tcPr>
            <w:tcW w:w="65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197"/>
        </w:trPr>
        <w:tc>
          <w:tcPr>
            <w:tcW w:w="6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(loss) gain on securities available-for-sale during the period</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Reclassification adjustment for net realized gains included in net income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Income tax (benefit) expense related to other comprehensive (loss) income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40,530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37,299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5540"/>
              <w:spacing w:after="0"/>
              <w:rPr>
                <w:sz w:val="20"/>
                <w:szCs w:val="20"/>
                <w:color w:val="auto"/>
              </w:rPr>
            </w:pPr>
            <w:r>
              <w:rPr>
                <w:rFonts w:ascii="Arial" w:cs="Arial" w:eastAsia="Arial" w:hAnsi="Arial"/>
                <w:sz w:val="18"/>
                <w:szCs w:val="18"/>
                <w:color w:val="auto"/>
              </w:rPr>
              <w:t>80</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320" w:type="dxa"/>
            <w:vAlign w:val="bottom"/>
            <w:tcBorders>
              <w:bottom w:val="single" w:sz="8" w:color="DCDCDC"/>
            </w:tcBorders>
          </w:tcPr>
          <w:p>
            <w:pPr>
              <w:spacing w:after="0"/>
              <w:rPr>
                <w:sz w:val="11"/>
                <w:szCs w:val="11"/>
                <w:color w:val="auto"/>
              </w:rPr>
            </w:pPr>
          </w:p>
        </w:tc>
        <w:tc>
          <w:tcPr>
            <w:tcW w:w="13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6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0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1"/>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48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color w:val="auto"/>
              </w:rPr>
              <w:t>Common Stock</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Retained</w:t>
            </w:r>
          </w:p>
        </w:tc>
        <w:tc>
          <w:tcPr>
            <w:tcW w:w="12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34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1"/>
              <w:spacing w:after="0"/>
              <w:rPr>
                <w:sz w:val="20"/>
                <w:szCs w:val="20"/>
                <w:color w:val="auto"/>
              </w:rPr>
            </w:pPr>
            <w:r>
              <w:rPr>
                <w:rFonts w:ascii="Arial" w:cs="Arial" w:eastAsia="Arial" w:hAnsi="Arial"/>
                <w:sz w:val="18"/>
                <w:szCs w:val="18"/>
                <w:color w:val="auto"/>
                <w:w w:val="88"/>
              </w:rPr>
              <w:t>Net of Taxes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9,674,875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35,928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 offering</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9,398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Director 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Common stock issued</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($2.63 per share)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(26,369)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(26,369)</w:t>
            </w: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11,000,273</w:t>
            </w:r>
          </w:p>
        </w:tc>
        <w:tc>
          <w:tcPr>
            <w:tcW w:w="3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110,082</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133,775</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42,441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 offering</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6,054,750</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111,243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111,243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132,707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Director 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41,640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Restricted stock forfeitures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(4,522)</w:t>
            </w: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retained deficit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Cash dividends paid ($4.55 per share)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(51,942)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(51,942)</w:t>
            </w: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17,224,848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235,046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42,441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35,928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(48,169)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(98,399)</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Gain on sale of loans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(4,082)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loans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43,024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108,149</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Net gain on sale of securities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on BOLI</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 stock compensation expense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Change in deferred loan fees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accretion of security premiums and discounts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Amortization of subordinated notes issuance costs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40"/>
              <w:spacing w:after="0"/>
              <w:rPr>
                <w:sz w:val="20"/>
                <w:szCs w:val="20"/>
                <w:color w:val="auto"/>
              </w:rPr>
            </w:pPr>
            <w:r>
              <w:rPr>
                <w:rFonts w:ascii="Arial" w:cs="Arial" w:eastAsia="Arial" w:hAnsi="Arial"/>
                <w:sz w:val="18"/>
                <w:szCs w:val="18"/>
                <w:color w:val="auto"/>
              </w:rPr>
              <w:t>Interest receivable and other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(3,050)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payable and other liabilities</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28,657</w:t>
            </w: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sale of securities available-for-sale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47,096</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46,406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prepayments, and calls of securities available-for-sale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18,732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Purchases of securities available-for-sale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(99,686)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(97,571)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time deposits in banks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9,241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Loan originations, net of repayments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(426,882)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(330,837)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premises and equipment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Purchase of FHLB stock</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BOLI</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(2,304)</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(455,011</w:t>
            </w:r>
          </w:p>
        </w:tc>
        <w:tc>
          <w:tcPr>
            <w:tcW w:w="460" w:type="dxa"/>
            <w:vAlign w:val="bottom"/>
            <w:tcBorders>
              <w:bottom w:val="single" w:sz="8" w:color="CCEEFF"/>
            </w:tcBorders>
          </w:tcPr>
          <w:p>
            <w:pPr>
              <w:jc w:val="right"/>
              <w:ind w:right="3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(372,630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501,889</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472,251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111,243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FHLB repayment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(51,942)</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561,190</w:t>
            </w: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290,493</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177,366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425,329</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4,505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10,450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Transfer from loans held for investment to loans held for sale</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4,820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securities</w:t>
            </w: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(2,199)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Disposal of premises and equipment</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515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retained deficit</w:t>
            </w:r>
          </w:p>
        </w:tc>
        <w:tc>
          <w:tcPr>
            <w:tcW w:w="1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4,321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through the Bank, provides a broad range of banking products and services to customers who are predominately small and medium-sized businesses, professionals, and individuals primarily in the Northern California region. Its primary loan products are commercial real estate loans, land development loans, construction loans, and operating lines of credit. Its primary deposit products are checking accounts, savings accounts, money market accounts, and term certificate accounts. The Bank currently has seven branch offices in Roseville, Natomas, Rancho Cordova, Redding, Elk Grove, Chico, and Yuba City, and two loan production offices in Santa Rosa and Sacramento.</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publicly filed a Registration Statement on Form S-1 with the U.S. Securities and Exchange Commission (“SEC”) in connection with its IPO (the “Registration Statement”), which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$111,243,000. The net proceeds less other related expenses, including audit fees, legal fees, listing fees, and other expenses, totaled $109,082,000.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Presentation and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as contained within the Financial Accounting Standards Board’s (“FASB”) Accounting Standards Codification (“ASC”) and the rules and regulations of the SEC, including the instructions to Regulation S-X.</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Five Star Bancorp and its wholly owned subsidiary, Five Star Bank. All significant intercompany transactions and balances are eliminated in consolidation.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 smaller reporting company, and, as such, may take advantage of specified reduced reporting requirements and is relieved of other significant requirements that are otherwise generally applicable to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consolidated financial statements and the disclosures provided, and actual results could differ. The allowance for loan losses is the most significant accounting estimate reflected in the Company’s consolidated financial statements. Other estimates include fair value measurements, valuation of servicing assets, and deferred tax asset valuation.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defines cash and cash equivalents as cash, due from financial institutions, interest-bearing deposits in banks with short 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Available-for-Sale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 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Investments with fair values that are less than amortized cost are considered impaired. Impairment may result from either a decline in the financial condition of the issuing entity or, in the case of fixed interest rate investments, from rising interest rates, or both. At each consolidated financial statement date, management assesses each investment to determine if impaired investments are temporarily impaired or if the impairment is other-than-temporary. Various factors are considered in the assessment, including the nature of the investment, the cause of the impairment, the severity and duration of the impairment, credit ratings, and other credit-related factors such as third-party guarantees and volatility of the security’s fair value. This assessment also includes a determination as to whether the Company intends to sell the security, or if it is more likely than not that the Company will be required to sell the security before recovery of its amortized cost basis less any current-period credit losses. If the Company intends to sell a security or if it is more likely than not that the Company will be required to sell the security before recovery, an other-than-temporary impairment (“OTTI”) write-down is recognized in earnings equal to the entire difference between the security’s amortized cost basis and its fair value. For debt securities that are considered to be OTTI and that the Company does not intend to sell and will not be required to sell prior to recovery of the amortized cost basis, the amount of impairment is separated into the amount that is credit-related (credit loss component) and the amount due to all other factors. The credit loss component is recognized in earnings and is calculated as the difference between the security’s amortized cost basis and the present value of its expected future cash flows. The remaining difference between the security’s fair value and the present value of the future expected cash flows is deemed to be due to factors that are not credit-related and is recognized in other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Held-to-Maturity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Allowance for Loan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are reported at the principal amount outstanding, net of deferred loan fees and costs and the allowance for loan losses. Interest on loans is accrued daily based on the principal outstanding.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fees, net of certain direct costs of origination, are deferred and recognized in interest income using the level-yield method without anticipating prepayments. During the years ended December 31, 2021 and 2020, salaries and employee benefits totaling $5,198,000 and $3,194,000, respectively, were deferred as loan origination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represents the estimated probable incurred loan losses in the Company’s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 off amounts, if any, are credited to the allowance for loan losses.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Audit Committee of the board of directors reviews the adequacy of the allowance at least quarterly.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allowance consists of: (i) specific allowances for individually identified impaired loans (ASC 310-10,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(ii) general allowances for pools of loans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which incorporate quantitative (e.g., historical loan loss rates) and qualitative risk factors (e.g., portfolio growth and trends, credit concentrations, economic and regulatory factors, etc.); and (iii) unallocated allowances, if any.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first component, specific allowances, results from the analysis of identified problem credits and the evaluation of sources of repayment, including collateral, as applicable. Through management’s ongoing credit monitoring process, individual loans are identified that have conditions indicating the borrower may be unable to pay all amounts due in accordance with contractual terms. These loans are evaluated for impairment individually by management. Management considers an originated loan to be impaired when it is probable that collection of all amounts due according to the contractual terms of the loan agreement is unlikely. Loans that experience insignificant payment delays and payment shortfalls generally are not classified as impaired. Management determines the significance of payment delays and payment shortfalls on a case-by-case basis, taking into consideration all of the facts and circumstances surrounding the loan and the borrower, including the length of the delay, the reasons for the delay, the borrower’s prior payment record, and the amount of the shortfall in relation to the principal and interest owed. Interest income is recognized on impaired loans in the same manner as non-accrual loans.</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the fair value of the impaired loan is less than the recorded investment in the loan, the difference is recorded as an impairment through the establishment of a specific allowance. For loans determined to be impaired, the extent of the impairment is measured based on the present value of expected future cash flows discounted at the loan’s effective interest rate at origination, based on the loan’s observable market price, or based on the fair value of the collateral if the loan is collateral dependent or if foreclosure is imminent. Generally, with problem credits that are collateral dependent, management obtains appraisals of the collateral at least annually. Appraisals may be obtained more frequently if management believes the collateral value is subject to market volatility, if a specific event has occurred to the collateral, or if the Company believes foreclosure is imminent.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component, general allowances, is an estimate of the probable inherent losses in each loan pool with similar risk characteristics. This analysis encompasses the entire loan portfolio, excluding individually identified impaired loans. The model determines general allowances by loan segment based on quantitative (loss history) and qualitative risk factors.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third component, unallocated allowances, is maintained to cover other uncertainties that could affect management’s estimate of probable losses. The unallocated allowances reflect the margin of imprecision inherent in the underlying assumptions used in the methodologies for estimating specific and general losses in the portfolio. While management believes the best information available is used to determine the allowance for loan losses, the results of operations could be significantly affected if circumstances differ substantially from the assumptions used in determining the allowance. A decline in local and national economic conditions, or significant changes in other assumptions, could result in a material increase in the allowance for loan losses and may adversely affect the Company’s financial condition and results of operations. While the Company believes the estimates and assumptions used in the determination of the adequacy of the allowance for loan losses are reasonable, there can be no assurance that such estimates and assumptions will not be proved incorrect in the future, that the actual amounts of future provisions will not exceed the amounts of past provisions, or that any increased provisions that may be required will not adversely impact the financial condition and results of operations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jc w:val="both"/>
        <w:spacing w:after="0" w:line="257" w:lineRule="auto"/>
        <w:rPr>
          <w:sz w:val="20"/>
          <w:szCs w:val="20"/>
          <w:color w:val="auto"/>
        </w:rPr>
      </w:pPr>
      <w:r>
        <w:rPr>
          <w:rFonts w:ascii="Arial" w:cs="Arial" w:eastAsia="Arial" w:hAnsi="Arial"/>
          <w:sz w:val="18"/>
          <w:szCs w:val="18"/>
          <w:color w:val="auto"/>
        </w:rPr>
        <w:t>The Company considers a loan to be a troubled debt restructure (“TDR”) when the Company has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the Company’s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passage of the Coronavirus Aid, Relief, and Economic Security Act (“CARES Act”), as well as the revised interagency guidance issued in April 2020, the “Interagency Statement on Loan Modifications and Reporting for Financial Institutions Working With Customers Affected by the Coronavirus (Revised),” banks have been provided the option, for loans meeting specific criteria, to temporarily suspend certain requirements under GAAP related to TDRs for a limited time to account for the effects of COVID-19. As a result, the Company has not recognized eligible COVID-19 loan modifications as TDRs. 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loans qualifying for these modifications are not required to be reported as delinquent, non-accrual, impaired, or criticized solely as a result of a COVID-19 loan modification.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Home Loan Bank stock represents the Company’s investment in the stock of the Federal Home Loan Bank of San Francisco (“FHLB”) and is carried at par value. While technically these are considered equity securities, there is no market for the FHLB stock. Therefore, the shares are considered as other investment securities.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periodically evaluates FHLB stock for OTTI.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The normal estimated lives used in determining depreciation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20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6"/>
              </w:rPr>
              <w:t>3-12 years</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0" w:type="dxa"/>
            <w:vAlign w:val="bottom"/>
          </w:tcPr>
          <w:p>
            <w:pPr>
              <w:jc w:val="center"/>
              <w:ind w:left="3850"/>
              <w:spacing w:after="0"/>
              <w:rPr>
                <w:sz w:val="20"/>
                <w:szCs w:val="20"/>
                <w:color w:val="auto"/>
              </w:rPr>
            </w:pPr>
            <w:r>
              <w:rPr>
                <w:rFonts w:ascii="Arial" w:cs="Arial" w:eastAsia="Arial" w:hAnsi="Arial"/>
                <w:sz w:val="18"/>
                <w:szCs w:val="18"/>
                <w:color w:val="auto"/>
                <w:w w:val="86"/>
              </w:rPr>
              <w:t>5-10 years</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20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6"/>
              </w:rPr>
              <w:t>5-15 years</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Automobiles</w:t>
            </w:r>
          </w:p>
        </w:tc>
        <w:tc>
          <w:tcPr>
            <w:tcW w:w="5200" w:type="dxa"/>
            <w:vAlign w:val="bottom"/>
          </w:tcPr>
          <w:p>
            <w:pPr>
              <w:jc w:val="center"/>
              <w:ind w:left="3850"/>
              <w:spacing w:after="0"/>
              <w:rPr>
                <w:sz w:val="20"/>
                <w:szCs w:val="20"/>
                <w:color w:val="auto"/>
              </w:rPr>
            </w:pPr>
            <w:r>
              <w:rPr>
                <w:rFonts w:ascii="Arial" w:cs="Arial" w:eastAsia="Arial" w:hAnsi="Arial"/>
                <w:sz w:val="18"/>
                <w:szCs w:val="18"/>
                <w:color w:val="auto"/>
                <w:w w:val="87"/>
              </w:rPr>
              <w:t>3-5 years</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Other Real Estate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Real estate properties acquired through, or in lieu of, loan foreclosure, are classified as other real estate owned (“OREO”), are to be sold and are initially recorded at fair value of the property at the date of foreclosure less estimated selling costs. Any write-downs in value are recorded against the allowance for loan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2021 and 2020, the Bank did not foreclose on any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Premises, equipment, and other long-term assets are reviewed for impairment when events indicate that their carrying amount may not be recoverable from future undiscounted cash flows. If impaired, the assets are adjusted to reflect their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investments with readily determinable fair values are carried at fair value, with changes in fair value reported in net income. Equity investments without readily determinable fair values are carried at cost, less impairment, if any, and adjusted for changes resulting from observable price changes in orderly transactions for the identical or similar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in the loan portfolio are loans guaranteed by the Small Business Administration (“SBA”), the Farm Service Agency (“FSA”), the Federal Agriculture Mortgage Corporation (“Farmer Mac”) and the United States Department of Agriculture (“USDA”),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Government guaranteed loans held for sale totaled $10,671,000 and $4,820,000 at December 31, 2021 and 2020,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The amortized assets are assessed for impairment or increased obligations at the loan level, based on the fair value on a periodic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 and Related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include off-balance-sheet credit instruments, such as commitments to make loans, and financial standby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Reserves for unfunded commitments are included as a component of Interest payable and other liabilities on the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cost is recognized for stock options and restricted stock awards (“RSAs”) issued to executives, directors, and employees, based on the fair value of these awards at the date of grant. A Black-Scholes model is utilized to estimate the grant date fair value of stock options, while the fair value of the Company’s common stock at the date of grant is used for RSAs.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has entered into a non-qualified retirement plan for the Chief Executive Officer based on a continuation of employment. The present value of annual post-retirement payments is allocated to expense over the years of required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historically elected to be taxed for U. S. federal income tax purposes as an S Corporation. In conjunction with the IPO, the Company filed consents from the requisite amount of shareholders to revoke its S Corporation election with the Internal Revenue Service (the “IRS”), resulting in the commencement of taxation as a C Corporation for U.S. federal and California state income tax purposes in the second quarter of fiscal year 2021. Upon termination of the Company’s S Corporation status, the Company commenced paying U.S. federal income tax and a higher California state income tax on taxable earnings for each year (including the short year beginning on the date the Company’s status as an S Corporation terminated).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termination of S Corporation status, deferred tax assets and liabilities were recognized for the future tax consequences attributable to differences between the financial statement carrying amounts of existing assets and liabilities and their respective tax basis.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year ended December 31, 2021.</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files its income taxes on a consolidated basis with its subsidiary. The allocation of income tax expense represents each entity’s proportionate share of the consolidated provision for income taxes.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if needed, reduces deferred tax assets to the amount expected to be realized.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uncertain tax positions in accordance with FASB ASC Topic No. 740, Accounting for Uncertainty in Income Taxes. A tax position is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Comprehensive Income or Loss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2021 and 2020, there were no outstanding stock options. The Company has two forms of outstanding common stock: common stock and unvested RSAs. Following the Company’s IPO, holders of unvested RSAs receive non-forfeitable dividends at the same rate as common shareholders and they both share equally in undistributed earnings; therefore the RSAs are considered participating securities. However, under the two-class method, the difference in EPS is not significant for these participating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and per share data)</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14,972,637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10,063,183</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22,576</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14,995,213</w:t>
            </w:r>
          </w:p>
        </w:tc>
        <w:tc>
          <w:tcPr>
            <w:tcW w:w="4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10,063,183</w:t>
            </w:r>
          </w:p>
        </w:tc>
        <w:tc>
          <w:tcPr>
            <w:tcW w:w="100" w:type="dxa"/>
            <w:vAlign w:val="bottom"/>
            <w:tcBorders>
              <w:bottom w:val="single" w:sz="8" w:color="CCEEFF"/>
            </w:tcBorders>
          </w:tcPr>
          <w:p>
            <w:pPr>
              <w:spacing w:after="0"/>
              <w:rPr>
                <w:sz w:val="22"/>
                <w:szCs w:val="22"/>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832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196"/>
        </w:trPr>
        <w:tc>
          <w:tcPr>
            <w:tcW w:w="83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 EPS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shares, which are excluded from the dilutive EPS calculation, were deemed to be immaterial.</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2020, pro forma EPS is calculated by applying a C Corporation effective tax rate of 29.56% to net income before provision for income taxes and using the determined pro forma net income balance to calculate EPS. For the year ended December 31, 2021, pro forma EPS is calculated by applying an effective tax rate of 19.80%, which is the actual effective tax rate, excluding the effects of the discrete deferred tax adjustment of $4,638,000, as discussed in Note 11, Income Taxes. The following reconciliation table provides a detailed calculation of pro forma EPS: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and per share data)</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taxes - GAAP</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Actual/pro forma provision for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(9,335)</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(11,013)</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Actual/pro forma net income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14,972,637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10,063,183</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22,576</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14,995,213</w:t>
            </w:r>
          </w:p>
        </w:tc>
        <w:tc>
          <w:tcPr>
            <w:tcW w:w="4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10,063,183</w:t>
            </w:r>
          </w:p>
        </w:tc>
        <w:tc>
          <w:tcPr>
            <w:tcW w:w="100" w:type="dxa"/>
            <w:vAlign w:val="bottom"/>
            <w:tcBorders>
              <w:bottom w:val="single" w:sz="8" w:color="CCEEFF"/>
            </w:tcBorders>
          </w:tcPr>
          <w:p>
            <w:pPr>
              <w:spacing w:after="0"/>
              <w:rPr>
                <w:sz w:val="22"/>
                <w:szCs w:val="22"/>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832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197"/>
        </w:trPr>
        <w:tc>
          <w:tcPr>
            <w:tcW w:w="83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 EPS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subordinated notes are recorded at par with related debt issuance costs reported as a direct reduction from the carrying amount. Issuance costs are amortized over the remaining maturity of the notes and reflected in interest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various estimated fair value information as of December 31, 2021 and 2020.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from time to time, the Company may be required to record certain assets at fair value on a non-recurring basis, such as loans held for sale, certain collateral dependent impaired loans held for investment and held-to-maturity securities that are other-than-temporarily impaired. These non-recurring fair value adjustments typically involve write-downs of individual assets due to application of lower of cost or fair value accounting.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if other assumptions had been used, the Company’s recorded earnings or disclosures could have been materially different from those reflected in these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events and transactions subsequent to December 31, 2021 for recognition or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1100"/>
        <w:spacing w:after="0" w:line="308" w:lineRule="auto"/>
        <w:rPr>
          <w:sz w:val="20"/>
          <w:szCs w:val="20"/>
          <w:color w:val="auto"/>
        </w:rPr>
      </w:pPr>
      <w:r>
        <w:rPr>
          <w:rFonts w:ascii="Arial" w:cs="Arial" w:eastAsia="Arial" w:hAnsi="Arial"/>
          <w:sz w:val="17"/>
          <w:szCs w:val="17"/>
          <w:color w:val="auto"/>
        </w:rPr>
        <w:t>Certain amounts reported in previous consolidated financial statements have been reclassified to conform to current year presentation. These reclassifications did not affect previously reported amounts of net income, total assets, or total shareholders’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reflect recent accounting standards that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reflect effective dates for the Company as an emerging growth company with the extended transition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intend to increase transparency and comparability among organizations by recognizing an asset, which represents the right to use the asset for the lease term, and a lease liability, which is a lessee’s obligation to make lease payments measured on a discounted basis. This ASU generally applies to leasing arrangements exceeding a twelve-month term. As amended by ASU 2020-05, </w:t>
      </w:r>
      <w:r>
        <w:rPr>
          <w:rFonts w:ascii="Arial" w:cs="Arial" w:eastAsia="Arial" w:hAnsi="Arial"/>
          <w:sz w:val="17"/>
          <w:szCs w:val="17"/>
          <w:i w:val="1"/>
          <w:iCs w:val="1"/>
          <w:color w:val="auto"/>
        </w:rPr>
        <w:t>Revenue from Contracts with Customers (Topic 606) and Leases (Topic 842): Effective Dates for Certain Entities,</w:t>
      </w:r>
      <w:r>
        <w:rPr>
          <w:rFonts w:ascii="Arial" w:cs="Arial" w:eastAsia="Arial" w:hAnsi="Arial"/>
          <w:sz w:val="17"/>
          <w:szCs w:val="17"/>
          <w:color w:val="auto"/>
        </w:rPr>
        <w:t xml:space="preserve"> ASU 2016-02 is effective for annual periods, including interim periods within those annual periods beginning after December 15, 2021 and requires a modified retrospective method of adoption. In July 2018, the FASB issued two amendments to ASU 2016-02: ASU No. 2018-10, </w:t>
      </w:r>
      <w:r>
        <w:rPr>
          <w:rFonts w:ascii="Arial" w:cs="Arial" w:eastAsia="Arial" w:hAnsi="Arial"/>
          <w:sz w:val="17"/>
          <w:szCs w:val="17"/>
          <w:i w:val="1"/>
          <w:iCs w:val="1"/>
          <w:color w:val="auto"/>
        </w:rPr>
        <w:t>Codification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 Leases</w:t>
      </w:r>
      <w:r>
        <w:rPr>
          <w:rFonts w:ascii="Arial" w:cs="Arial" w:eastAsia="Arial" w:hAnsi="Arial"/>
          <w:sz w:val="17"/>
          <w:szCs w:val="17"/>
          <w:color w:val="auto"/>
        </w:rPr>
        <w:t>, which provides various corrections and clarifications to ASU 2016-02; and ASU No.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which provides a new optional transition method and provides a lessor with practical expedients for separating lease and non-lease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components of a lease. In July 2021, the FASB issued ASU No. 2021-05, </w:t>
      </w:r>
      <w:r>
        <w:rPr>
          <w:rFonts w:ascii="Arial" w:cs="Arial" w:eastAsia="Arial" w:hAnsi="Arial"/>
          <w:sz w:val="17"/>
          <w:szCs w:val="17"/>
          <w:i w:val="1"/>
          <w:iCs w:val="1"/>
          <w:color w:val="auto"/>
        </w:rPr>
        <w:t>Leases (Topic 842): Lessors- Certain Leases with Variable Lease Payments</w:t>
      </w:r>
      <w:r>
        <w:rPr>
          <w:rFonts w:ascii="Arial" w:cs="Arial" w:eastAsia="Arial" w:hAnsi="Arial"/>
          <w:sz w:val="17"/>
          <w:szCs w:val="17"/>
          <w:color w:val="auto"/>
        </w:rPr>
        <w:t>, which amends ASU 2016-02 and requires a lessor to classify a lease with variable lease payments that do not depend on an index or rate as an operating lease on the commencement date of the lease if specified criteria are met. Entities will apply a modified retrospective approach at either the beginning of the earliest period presented or at the beginning of the period of adoption through a cumulative-effect adjustment to retained earnings. The Company estimates that the adoption of this standard will result in an increase in assets of approximately $5,200,000, with a corresponding increase in liabilities, to recognize the present value of its lease obligations in accordance with the standard. The Company does not expect this to have a material impact on the Company’s results of operations or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jc w:val="both"/>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will replace the “incurred loss” model with a “current expected credit loss” (“CECL”) model. The CECL model will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ASU 2016-13 is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to its financial condition or results of operations at this time due to the complexity and extensive changes resulting from these amendments. The Company is working with its third-party vendor to identify data gaps and determine the appropriate methodologies and resources to utilize in preparation for its transition to the new accounting standard, including but not limited to the use of certain tools to forecast future economic conditions that affect the cash flows of loans over their lifetime.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will be effective for fiscal years beginning after December 15, 2020 and interim periods within fiscal years beginning after December 15, 2021. Early adoption is permitted in any interim period. The impact of adopting this ASU is expected to be immaterial to the Company’s consolidated financial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LIBOR administrators have indicated that certain LIBOR settings will continue to be published through June 30, 2023. An entity may choose to elect the amendments in these updates at an interim period subsequent to March 12, 2020, with adoption methods varying based on transaction type. The Company has not elected to apply these amendments; however, the Company is assessing the applicability of the ASUs and continues to monitor guidance for reference rate reform from FASB and its impact on the Company’s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investment securities portfolio includes obligations of states and political subdivisions, securities issued by U.S. federal government agencies such as the Government National Mortgage Association (the “GNMA”) and the SBA, and securities issued by U.S. government-sponsored enterprises (“GSEs”), such as the Federal National Mortgage Association (the “FNMA”), the Federal Home Loan Mortgage Corporation (the “FHLMC”), and the FHLB. The Company also invests in residential and commercial mortgage-backed securities, collateralized mortgage obligations issued or guaranteed by the GSEs, and corporate bonds, as reflected in the following tables.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amortized cost and fair value related to securities held-to-maturity as of December 31, 2021 and 2020 is presented below.</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Gross Unrealized</w:t>
            </w:r>
          </w:p>
        </w:tc>
        <w:tc>
          <w:tcPr>
            <w:tcW w:w="1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58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18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Gains</w:t>
            </w:r>
          </w:p>
        </w:tc>
        <w:tc>
          <w:tcPr>
            <w:tcW w:w="820" w:type="dxa"/>
            <w:vAlign w:val="bottom"/>
          </w:tcPr>
          <w:p>
            <w:pPr>
              <w:jc w:val="right"/>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4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4,946</w:t>
            </w:r>
          </w:p>
        </w:tc>
        <w:tc>
          <w:tcPr>
            <w:tcW w:w="18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251</w:t>
            </w:r>
          </w:p>
        </w:tc>
        <w:tc>
          <w:tcPr>
            <w:tcW w:w="8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held-to-maturity</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251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3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7,979</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776</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ind w:left="320"/>
              <w:spacing w:after="0"/>
              <w:rPr>
                <w:sz w:val="20"/>
                <w:szCs w:val="20"/>
                <w:color w:val="auto"/>
              </w:rPr>
            </w:pPr>
            <w:r>
              <w:rPr>
                <w:rFonts w:ascii="Arial" w:cs="Arial" w:eastAsia="Arial" w:hAnsi="Arial"/>
                <w:sz w:val="18"/>
                <w:szCs w:val="18"/>
                <w:color w:val="auto"/>
              </w:rPr>
              <w:t>Total held-to-maturity</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776</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securities issued by states and political subdivisions, for OTTI purposes,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related to securities available-for-sale as of December 31, 2021 and 2020 is presented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5"/>
          </w:tcPr>
          <w:p>
            <w:pPr>
              <w:jc w:val="right"/>
              <w:ind w:right="941"/>
              <w:spacing w:after="0"/>
              <w:rPr>
                <w:sz w:val="20"/>
                <w:szCs w:val="20"/>
                <w:color w:val="auto"/>
              </w:rPr>
            </w:pPr>
            <w:r>
              <w:rPr>
                <w:rFonts w:ascii="Arial" w:cs="Arial" w:eastAsia="Arial" w:hAnsi="Arial"/>
                <w:sz w:val="18"/>
                <w:szCs w:val="18"/>
                <w:color w:val="auto"/>
              </w:rPr>
              <w:t>Gross Unrealized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Gains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(Losses)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19,824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(202)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19,682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82,517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81,513</w:t>
            </w:r>
          </w:p>
        </w:tc>
        <w:tc>
          <w:tcPr>
            <w:tcW w:w="0" w:type="dxa"/>
            <w:vAlign w:val="bottom"/>
          </w:tcPr>
          <w:p>
            <w:pPr>
              <w:spacing w:after="0"/>
              <w:rPr>
                <w:sz w:val="1"/>
                <w:szCs w:val="1"/>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44,732</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440" w:type="dxa"/>
            <w:vAlign w:val="bottom"/>
            <w:tcBorders>
              <w:top w:val="single" w:sz="8" w:color="CCEEF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23,601</w:t>
            </w: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top w:val="single" w:sz="8" w:color="CCEEF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80" w:type="dxa"/>
            <w:vAlign w:val="bottom"/>
          </w:tcPr>
          <w:p>
            <w:pPr>
              <w:spacing w:after="0"/>
              <w:rPr>
                <w:sz w:val="24"/>
                <w:szCs w:val="24"/>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92</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38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9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4" w:name="page95"/>
    <w:bookmarkEnd w:id="94"/>
    <w:p>
      <w:pPr>
        <w:jc w:val="both"/>
        <w:ind w:right="20"/>
        <w:spacing w:after="0" w:line="263" w:lineRule="auto"/>
        <w:rPr>
          <w:sz w:val="20"/>
          <w:szCs w:val="20"/>
          <w:color w:val="auto"/>
        </w:rPr>
      </w:pPr>
      <w:r>
        <w:rPr>
          <w:rFonts w:ascii="Arial" w:cs="Arial" w:eastAsia="Arial" w:hAnsi="Arial"/>
          <w:sz w:val="18"/>
          <w:szCs w:val="18"/>
          <w:color w:val="auto"/>
        </w:rPr>
        <w:t>The amortized cost and fair value of investment debt securities by contractual maturity at December 31, 2021 and 2020 are shown below. Expected maturities may differ from contractual maturities if the issuers of the securities have the right to call or prepay obligations with or without call or prepayment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w w:val="95"/>
              </w:rPr>
              <w:t>Held-to-Maturity</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5"/>
              </w:rPr>
              <w:t>Available-for-Sale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5"/>
              </w:rPr>
              <w:t>Held-to-Maturity</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color w:val="auto"/>
              </w:rPr>
              <w:t>Available-for-Sale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0"/>
              </w:rPr>
              <w:t>Fair Value</w:t>
            </w:r>
          </w:p>
        </w:tc>
        <w:tc>
          <w:tcPr>
            <w:tcW w:w="26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4"/>
              </w:rPr>
              <w:t>Amortized Cost</w:t>
            </w:r>
          </w:p>
        </w:tc>
        <w:tc>
          <w:tcPr>
            <w:tcW w:w="12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Fair Value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780" w:type="dxa"/>
            <w:vAlign w:val="bottom"/>
            <w:gridSpan w:val="4"/>
          </w:tcPr>
          <w:p>
            <w:pPr>
              <w:ind w:left="2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Amortized Cost</w:t>
            </w:r>
          </w:p>
        </w:tc>
        <w:tc>
          <w:tcPr>
            <w:tcW w:w="780" w:type="dxa"/>
            <w:vAlign w:val="bottom"/>
            <w:gridSpan w:val="3"/>
          </w:tcPr>
          <w:p>
            <w:pPr>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Arial" w:cs="Arial" w:eastAsia="Arial" w:hAnsi="Arial"/>
                <w:sz w:val="18"/>
                <w:szCs w:val="18"/>
                <w:color w:val="auto"/>
              </w:rPr>
              <w:t>After one but within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60"/>
              <w:spacing w:after="0"/>
              <w:rPr>
                <w:sz w:val="20"/>
                <w:szCs w:val="20"/>
                <w:color w:val="auto"/>
              </w:rPr>
            </w:pPr>
            <w:r>
              <w:rPr>
                <w:rFonts w:ascii="Arial" w:cs="Arial" w:eastAsia="Arial" w:hAnsi="Arial"/>
                <w:sz w:val="18"/>
                <w:szCs w:val="18"/>
                <w:color w:val="auto"/>
              </w:rPr>
              <w:t>five years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3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2,143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2,351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After five years through</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 years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3,504</w:t>
            </w: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3,682</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2,755</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3,023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8,340</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40,867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2,587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2,838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w w:val="83"/>
              </w:rPr>
              <w:t>47,656</w:t>
            </w: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48,615</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 due at a single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maturity date:</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U.S. government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20"/>
              <w:spacing w:after="0"/>
              <w:rPr>
                <w:sz w:val="20"/>
                <w:szCs w:val="20"/>
                <w:color w:val="auto"/>
              </w:rPr>
            </w:pPr>
            <w:r>
              <w:rPr>
                <w:rFonts w:ascii="Arial" w:cs="Arial" w:eastAsia="Arial" w:hAnsi="Arial"/>
                <w:sz w:val="18"/>
                <w:szCs w:val="18"/>
                <w:color w:val="auto"/>
              </w:rPr>
              <w:t>agencies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19,824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19,682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w w:val="83"/>
              </w:rPr>
              <w:t>32,069</w:t>
            </w: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Mortgage-backed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81,513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23,601</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02"/>
        </w:trPr>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Collateralized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320"/>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32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5,197</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148,807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8,755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113,555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114,949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1"/>
          </w:tcPr>
          <w:p>
            <w:pPr>
              <w:spacing w:after="0"/>
              <w:rPr>
                <w:sz w:val="20"/>
                <w:szCs w:val="20"/>
                <w:color w:val="auto"/>
              </w:rPr>
            </w:pPr>
            <w:r>
              <w:rPr>
                <w:rFonts w:ascii="Arial" w:cs="Arial" w:eastAsia="Arial" w:hAnsi="Arial"/>
                <w:sz w:val="18"/>
                <w:szCs w:val="18"/>
                <w:color w:val="auto"/>
                <w:w w:val="93"/>
              </w:rPr>
              <w:t>Sales proceeds of investment securities and gross realized gains and/or losses are shown in the following table: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60"/>
              <w:spacing w:after="0"/>
              <w:rPr>
                <w:sz w:val="20"/>
                <w:szCs w:val="20"/>
                <w:color w:val="auto"/>
              </w:rPr>
            </w:pPr>
            <w:r>
              <w:rPr>
                <w:rFonts w:ascii="Arial" w:cs="Arial" w:eastAsia="Arial" w:hAnsi="Arial"/>
                <w:sz w:val="18"/>
                <w:szCs w:val="18"/>
                <w:color w:val="auto"/>
              </w:rPr>
              <w:t>Sales proceeds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47,096</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46,406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Gross realized gains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20" w:type="dxa"/>
            <w:vAlign w:val="bottom"/>
            <w:gridSpan w:val="9"/>
          </w:tcPr>
          <w:p>
            <w:pPr>
              <w:spacing w:after="0"/>
              <w:rPr>
                <w:sz w:val="20"/>
                <w:szCs w:val="20"/>
                <w:color w:val="auto"/>
              </w:rPr>
            </w:pPr>
            <w:r>
              <w:rPr>
                <w:rFonts w:ascii="Arial" w:cs="Arial" w:eastAsia="Arial" w:hAnsi="Arial"/>
                <w:sz w:val="18"/>
                <w:szCs w:val="18"/>
                <w:color w:val="auto"/>
                <w:w w:val="91"/>
              </w:rPr>
              <w:t>Pledged investment securities are shown in the following table:</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Pledged to the State of California:</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6"/>
          </w:tcPr>
          <w:p>
            <w:pPr>
              <w:ind w:left="160"/>
              <w:spacing w:after="0"/>
              <w:rPr>
                <w:sz w:val="20"/>
                <w:szCs w:val="20"/>
                <w:color w:val="auto"/>
              </w:rPr>
            </w:pPr>
            <w:r>
              <w:rPr>
                <w:rFonts w:ascii="Arial" w:cs="Arial" w:eastAsia="Arial" w:hAnsi="Arial"/>
                <w:sz w:val="18"/>
                <w:szCs w:val="18"/>
                <w:color w:val="auto"/>
                <w:w w:val="90"/>
              </w:rPr>
              <w:t>Secure deposits of public funds and borrowings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63,363</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Total pledged investment securities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63,363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78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660" w:type="dxa"/>
            <w:vAlign w:val="bottom"/>
            <w:tcBorders>
              <w:bottom w:val="single" w:sz="8" w:color="DCDCDC"/>
            </w:tcBorders>
          </w:tcPr>
          <w:p>
            <w:pPr>
              <w:spacing w:after="0"/>
              <w:rPr>
                <w:sz w:val="11"/>
                <w:szCs w:val="11"/>
                <w:color w:val="auto"/>
              </w:rPr>
            </w:pPr>
          </w:p>
        </w:tc>
        <w:tc>
          <w:tcPr>
            <w:tcW w:w="48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36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4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2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520" w:type="dxa"/>
            <w:vAlign w:val="bottom"/>
            <w:tcBorders>
              <w:bottom w:val="single" w:sz="8" w:color="DCDCDC"/>
            </w:tcBorders>
          </w:tcPr>
          <w:p>
            <w:pPr>
              <w:spacing w:after="0"/>
              <w:rPr>
                <w:sz w:val="11"/>
                <w:szCs w:val="11"/>
                <w:color w:val="auto"/>
              </w:rPr>
            </w:pPr>
          </w:p>
        </w:tc>
        <w:tc>
          <w:tcPr>
            <w:tcW w:w="2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20" w:type="dxa"/>
            <w:vAlign w:val="bottom"/>
            <w:tcBorders>
              <w:bottom w:val="single" w:sz="8" w:color="DCDCDC"/>
            </w:tcBorders>
          </w:tcPr>
          <w:p>
            <w:pPr>
              <w:spacing w:after="0"/>
              <w:rPr>
                <w:sz w:val="11"/>
                <w:szCs w:val="11"/>
                <w:color w:val="auto"/>
              </w:rPr>
            </w:pPr>
          </w:p>
        </w:tc>
        <w:tc>
          <w:tcPr>
            <w:tcW w:w="8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December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Total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right"/>
              <w:ind w:right="381"/>
              <w:spacing w:after="0"/>
              <w:rPr>
                <w:sz w:val="20"/>
                <w:szCs w:val="20"/>
                <w:color w:val="auto"/>
              </w:rPr>
            </w:pPr>
            <w:r>
              <w:rPr>
                <w:rFonts w:ascii="Arial" w:cs="Arial" w:eastAsia="Arial" w:hAnsi="Arial"/>
                <w:sz w:val="18"/>
                <w:szCs w:val="18"/>
                <w:color w:val="auto"/>
                <w:w w:val="92"/>
              </w:rPr>
              <w:t>&lt; 12 continuous months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right"/>
              <w:ind w:right="401"/>
              <w:spacing w:after="0"/>
              <w:rPr>
                <w:sz w:val="20"/>
                <w:szCs w:val="20"/>
                <w:color w:val="auto"/>
              </w:rPr>
            </w:pPr>
            <w:r>
              <w:rPr>
                <w:rFonts w:ascii="Arial" w:cs="Arial" w:eastAsia="Arial" w:hAnsi="Arial"/>
                <w:sz w:val="18"/>
                <w:szCs w:val="18"/>
                <w:color w:val="auto"/>
                <w:w w:val="92"/>
              </w:rPr>
              <w:t>≥ 12 continuous months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in a loss position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9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Fair Value</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Unrealized Loss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Fair Value</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Unrealized Loss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Fair Value</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Unrealized Loss</w:t>
            </w:r>
          </w:p>
        </w:tc>
        <w:tc>
          <w:tcPr>
            <w:tcW w:w="100" w:type="dxa"/>
            <w:vAlign w:val="bottom"/>
          </w:tcPr>
          <w:p>
            <w:pPr>
              <w:spacing w:after="0"/>
              <w:rPr>
                <w:sz w:val="19"/>
                <w:szCs w:val="19"/>
                <w:color w:val="auto"/>
              </w:rPr>
            </w:pPr>
          </w:p>
        </w:tc>
      </w:tr>
      <w:tr>
        <w:trPr>
          <w:trHeight w:val="209"/>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13,399</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(202)</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13,399</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75,372</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(1,098)</w:t>
            </w: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w w:val="97"/>
              </w:rPr>
              <w:t>Obligations of states and political subdivisions</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14,014</w:t>
            </w:r>
          </w:p>
        </w:tc>
        <w:tc>
          <w:tcPr>
            <w:tcW w:w="38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46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14,421</w:t>
            </w:r>
          </w:p>
        </w:tc>
        <w:tc>
          <w:tcPr>
            <w:tcW w:w="6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w:t>
            </w: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63"/>
        </w:trPr>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temporarily impaired securities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89,921</w:t>
            </w:r>
          </w:p>
        </w:tc>
        <w:tc>
          <w:tcPr>
            <w:tcW w:w="2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15,206</w:t>
            </w:r>
          </w:p>
        </w:tc>
        <w:tc>
          <w:tcPr>
            <w:tcW w:w="2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105,127</w:t>
            </w:r>
          </w:p>
        </w:tc>
        <w:tc>
          <w:tcPr>
            <w:tcW w:w="2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10,800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(56)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15,195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(296)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25,995</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760" w:type="dxa"/>
            <w:vAlign w:val="bottom"/>
            <w:gridSpan w:val="2"/>
          </w:tcPr>
          <w:p>
            <w:pPr>
              <w:ind w:left="160"/>
              <w:spacing w:after="0"/>
              <w:rPr>
                <w:sz w:val="20"/>
                <w:szCs w:val="20"/>
                <w:color w:val="auto"/>
              </w:rPr>
            </w:pPr>
            <w:r>
              <w:rPr>
                <w:rFonts w:ascii="Arial" w:cs="Arial" w:eastAsia="Arial" w:hAnsi="Arial"/>
                <w:sz w:val="18"/>
                <w:szCs w:val="18"/>
                <w:color w:val="auto"/>
                <w:w w:val="97"/>
              </w:rPr>
              <w:t>Obligations of states and political subdivisions</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3,922</w:t>
            </w:r>
          </w:p>
        </w:tc>
        <w:tc>
          <w:tcPr>
            <w:tcW w:w="380" w:type="dxa"/>
            <w:vAlign w:val="bottom"/>
          </w:tcPr>
          <w:p>
            <w:pPr>
              <w:spacing w:after="0"/>
              <w:rPr>
                <w:sz w:val="19"/>
                <w:szCs w:val="19"/>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3,922</w:t>
            </w:r>
          </w:p>
        </w:tc>
        <w:tc>
          <w:tcPr>
            <w:tcW w:w="6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91 and 31 securities in unrealized loss positions at December 31, 2021 and 2020, respectively, which were all classified as available-for-sale. As of December 31, 2021, the investment portfolio included 16 investment securities that had been in a continuous loss position for twelve months or more and 75 investment securities that had been in a loss position for less than twelve months.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evaluates each available-for-sale investment security in an unrealized loss position to determine if the impairment is temporary or other than temporary and has determined that no investment security is OTTI.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held-to-maturity securities in a continuous loss position at December 31, 2021 or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FHLB capital stock</w:t>
      </w:r>
      <w:r>
        <w:rPr>
          <w:rFonts w:ascii="Arial" w:cs="Arial" w:eastAsia="Arial" w:hAnsi="Arial"/>
          <w:sz w:val="17"/>
          <w:szCs w:val="17"/>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$6,723,000 and $6,232,000 of FHLB stock at December 31, 2021 and 2020,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2021 and 2020. For the years ended December 31, 2021 and 2020, cash dividends received on FHLB capital stock in the amount of $372,000 and $321,000, respectively, were recorded as non-interest income on the consolidated statements of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4: Loans and Allowance for Loan Losses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140" w:type="dxa"/>
            <w:vAlign w:val="bottom"/>
            <w:gridSpan w:val="5"/>
          </w:tcPr>
          <w:p>
            <w:pPr>
              <w:spacing w:after="0"/>
              <w:rPr>
                <w:sz w:val="20"/>
                <w:szCs w:val="20"/>
                <w:color w:val="auto"/>
              </w:rPr>
            </w:pPr>
            <w:r>
              <w:rPr>
                <w:rFonts w:ascii="Arial" w:cs="Arial" w:eastAsia="Arial" w:hAnsi="Arial"/>
                <w:sz w:val="18"/>
                <w:szCs w:val="18"/>
                <w:color w:val="auto"/>
              </w:rPr>
              <w:t>The following table presents the balance of each major product type within the Company’s portfolio as of the dates indicated.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1,586,232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1,002,497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7,376</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54,214</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7,388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11,914</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28,562</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54,805</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137,062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138,676</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21,136</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Paycheck Protection Program (“PPP”)</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147,965</w:t>
            </w:r>
          </w:p>
        </w:tc>
        <w:tc>
          <w:tcPr>
            <w:tcW w:w="8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17,167</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4,921</w:t>
            </w:r>
          </w:p>
        </w:tc>
        <w:tc>
          <w:tcPr>
            <w:tcW w:w="80" w:type="dxa"/>
            <w:vAlign w:val="bottom"/>
          </w:tcPr>
          <w:p>
            <w:pPr>
              <w:spacing w:after="0"/>
              <w:rPr>
                <w:sz w:val="19"/>
                <w:szCs w:val="19"/>
                <w:color w:val="auto"/>
              </w:rPr>
            </w:pP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1,936,066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1,506,454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Less: Net deferred loan fees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1,606</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23,243</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22,189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loans, net</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1,911,217</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1,480,970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an established methodology to determine the adequacy of the allowance for loan losses that assesses the risks and losses inherent in the loan portfolio. For purposes of determining the allowance for loan losses, the Bank has segmented certain loans in the portfolio by product type. Loans are segmented into the following pools: commercial, real estate, and consumer. The Company further sub-divides these segments into classes based on the associated risks within those segments. Commercial loans are divided into the following two classes: unsecured and secured loans. Real estate loans are divided into the following six classes: commercial real estate, commercial land and development, commercial construction, residential construction, residential real estate, and farmland. For each class of loans, management exercises significant judgment to determine the estimation method that fits the credit risk characteristics of its portfolio segment.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an internally developed model in this process. Management must use judgment in establishing additional input metrics for the modeling processes. The models and assumptions used to determine the allowance are independently validated and reviewed, at least annually, to ensure that their theoretical foundation, assumptions, data integrity, computational processes, reporting practices, and end-user controls are appropriate and properly documented.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 and PPP Loans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CARES Act, which was passed in March 2020, the Company funded over 1,500 loans to eligible small businesses and non-profit organizations who participated in the PPP administered by the SBA. PPP loans have terms of two or five years and earn interest at 1.00%. In addition, the Bank received a fee of 1.00% to 5.00% from the SBA depending on the loan amount, which was netted with loan origination costs and amortized into interest income under the effective yield method over the contractual life of the loan. The recognition of fees and costs is accelerated when the loan is forgiven by the SBA and/or paid off prior to maturity. PPP loans are fully guaranteed by the SBA and are expected to be forgiven by the SBA if they meet the requirements of the program. The balance of PPP loans at December 31, 2021 and 2020 was $22,124,000 and $147,965,000, respectively.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CARES Act also required the SBA to make payments on new and existing 7(a) loans for a period of six months. These were not deferments but rather full payments of principal and interest for which the borrower will not be responsible for in the future. As of December 31, 2021 and 2020, the principal outstanding on loans receiving one or more of these payments under the CARES Act was $46,601,000 and $51,237,000,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18"/>
          <w:szCs w:val="18"/>
          <w:u w:val="single" w:color="auto"/>
          <w:color w:val="auto"/>
        </w:rPr>
        <w:t>Real estate loans</w:t>
      </w:r>
      <w:r>
        <w:rPr>
          <w:rFonts w:ascii="Arial" w:cs="Arial" w:eastAsia="Arial" w:hAnsi="Arial"/>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by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customers are primarily located in the Greater Sacramento and North Valley regions of California. As of December 31, 2021, approximately 90% of the Company’s loans were real estate related, 9% were commercial, and less than 1% were consumer.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1,575,006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1,970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9,256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1,586,232</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48,288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54,214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28,384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28,562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54,805</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135,131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137,062</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22,124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22,124</w:t>
            </w: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17,167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17,167</w:t>
            </w: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1,916,805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8,647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10,614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1,936,066</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950,118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85,860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30,248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136,992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138,676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147,965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147,965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1,446,308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24,288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1,506,454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36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24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7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99" w:name="page100"/>
    <w:bookmarkEnd w:id="99"/>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other consumer loans based on delinquency. Management also reviews loans graded “watch” or worse, regardless of loan type, no less than quarterly.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2021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w w:val="94"/>
              </w:rPr>
              <w:t>Past Due</w:t>
            </w: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60" w:type="dxa"/>
            <w:vAlign w:val="bottom"/>
            <w:gridSpan w:val="3"/>
          </w:tcPr>
          <w:p>
            <w:pPr>
              <w:ind w:left="80"/>
              <w:spacing w:after="0"/>
              <w:rPr>
                <w:sz w:val="20"/>
                <w:szCs w:val="20"/>
                <w:color w:val="auto"/>
              </w:rPr>
            </w:pPr>
            <w:r>
              <w:rPr>
                <w:rFonts w:ascii="Arial" w:cs="Arial" w:eastAsia="Arial" w:hAnsi="Arial"/>
                <w:sz w:val="18"/>
                <w:szCs w:val="18"/>
                <w:color w:val="auto"/>
              </w:rPr>
              <w:t>30-89 Days</w:t>
            </w:r>
          </w:p>
        </w:tc>
        <w:tc>
          <w:tcPr>
            <w:tcW w:w="2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88"/>
              </w:rPr>
              <w:t>Greater Than 90 Days</w:t>
            </w:r>
          </w:p>
        </w:tc>
        <w:tc>
          <w:tcPr>
            <w:tcW w:w="3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Current</w:t>
            </w:r>
          </w:p>
        </w:tc>
        <w:tc>
          <w:tcPr>
            <w:tcW w:w="1800" w:type="dxa"/>
            <w:vAlign w:val="bottom"/>
            <w:gridSpan w:val="3"/>
          </w:tcPr>
          <w:p>
            <w:pPr>
              <w:spacing w:after="0"/>
              <w:rPr>
                <w:sz w:val="20"/>
                <w:szCs w:val="20"/>
                <w:color w:val="auto"/>
              </w:rPr>
            </w:pPr>
            <w:r>
              <w:rPr>
                <w:rFonts w:ascii="Arial" w:cs="Arial" w:eastAsia="Arial" w:hAnsi="Arial"/>
                <w:sz w:val="18"/>
                <w:szCs w:val="18"/>
                <w:color w:val="auto"/>
                <w:w w:val="94"/>
              </w:rPr>
              <w:t>Total Loans Receivable</w:t>
            </w:r>
          </w:p>
        </w:tc>
      </w:tr>
      <w:tr>
        <w:trPr>
          <w:trHeight w:val="209"/>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1,586,232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1,586,232</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7,376</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54,214</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54,214</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7,388</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28,562</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28,562</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54,805</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54,805</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137,062</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137,062</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21,136</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22,124</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16,833</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19"/>
                <w:szCs w:val="19"/>
                <w:color w:val="auto"/>
              </w:rPr>
            </w:pPr>
          </w:p>
        </w:tc>
      </w:tr>
      <w:tr>
        <w:trPr>
          <w:trHeight w:val="209"/>
        </w:trPr>
        <w:tc>
          <w:tcPr>
            <w:tcW w:w="3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1,935,732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1,936,066</w:t>
            </w:r>
          </w:p>
        </w:tc>
        <w:tc>
          <w:tcPr>
            <w:tcW w:w="1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2020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w w:val="94"/>
              </w:rPr>
              <w:t>Past Due</w:t>
            </w: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60" w:type="dxa"/>
            <w:vAlign w:val="bottom"/>
            <w:gridSpan w:val="3"/>
          </w:tcPr>
          <w:p>
            <w:pPr>
              <w:ind w:left="80"/>
              <w:spacing w:after="0"/>
              <w:rPr>
                <w:sz w:val="20"/>
                <w:szCs w:val="20"/>
                <w:color w:val="auto"/>
              </w:rPr>
            </w:pPr>
            <w:r>
              <w:rPr>
                <w:rFonts w:ascii="Arial" w:cs="Arial" w:eastAsia="Arial" w:hAnsi="Arial"/>
                <w:sz w:val="18"/>
                <w:szCs w:val="18"/>
                <w:color w:val="auto"/>
              </w:rPr>
              <w:t>30-89 Days</w:t>
            </w:r>
          </w:p>
        </w:tc>
        <w:tc>
          <w:tcPr>
            <w:tcW w:w="2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88"/>
              </w:rPr>
              <w:t>Greater Than 90 Days</w:t>
            </w:r>
          </w:p>
        </w:tc>
        <w:tc>
          <w:tcPr>
            <w:tcW w:w="3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Current</w:t>
            </w:r>
          </w:p>
        </w:tc>
        <w:tc>
          <w:tcPr>
            <w:tcW w:w="1800" w:type="dxa"/>
            <w:vAlign w:val="bottom"/>
            <w:gridSpan w:val="3"/>
          </w:tcPr>
          <w:p>
            <w:pPr>
              <w:spacing w:after="0"/>
              <w:rPr>
                <w:sz w:val="20"/>
                <w:szCs w:val="20"/>
                <w:color w:val="auto"/>
              </w:rPr>
            </w:pPr>
            <w:r>
              <w:rPr>
                <w:rFonts w:ascii="Arial" w:cs="Arial" w:eastAsia="Arial" w:hAnsi="Arial"/>
                <w:sz w:val="18"/>
                <w:szCs w:val="18"/>
                <w:color w:val="auto"/>
                <w:w w:val="94"/>
              </w:rPr>
              <w:t>Total Loans Receivable</w:t>
            </w: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1,002,497</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1,002,497</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10,600</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91,760</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91,760</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11,914</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30,431</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30,431</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50,164</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50,164</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138,676</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17,526</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4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147,965</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4,784</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r>
      <w:tr>
        <w:trPr>
          <w:trHeight w:val="209"/>
        </w:trPr>
        <w:tc>
          <w:tcPr>
            <w:tcW w:w="3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4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1,506,317</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1,506,454</w:t>
            </w:r>
          </w:p>
        </w:tc>
        <w:tc>
          <w:tcPr>
            <w:tcW w:w="1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i w:val="1"/>
                <w:iCs w:val="1"/>
                <w:color w:val="auto"/>
              </w:rPr>
              <w:t>Impaired Loans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9"/>
          </w:tcPr>
          <w:p>
            <w:pPr>
              <w:spacing w:after="0"/>
              <w:rPr>
                <w:sz w:val="20"/>
                <w:szCs w:val="20"/>
                <w:color w:val="auto"/>
              </w:rPr>
            </w:pPr>
            <w:r>
              <w:rPr>
                <w:rFonts w:ascii="Arial" w:cs="Arial" w:eastAsia="Arial" w:hAnsi="Arial"/>
                <w:sz w:val="18"/>
                <w:szCs w:val="18"/>
                <w:color w:val="auto"/>
                <w:w w:val="91"/>
              </w:rPr>
              <w:t>Information related to impaired loans as of December 31, 2021 and 2020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Unpaid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Principal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Balance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Investment</w:t>
            </w:r>
          </w:p>
        </w:tc>
        <w:tc>
          <w:tcPr>
            <w:tcW w:w="1100" w:type="dxa"/>
            <w:vAlign w:val="bottom"/>
            <w:gridSpan w:val="4"/>
          </w:tcPr>
          <w:p>
            <w:pPr>
              <w:ind w:left="60"/>
              <w:spacing w:after="0"/>
              <w:rPr>
                <w:sz w:val="20"/>
                <w:szCs w:val="20"/>
                <w:color w:val="auto"/>
              </w:rPr>
            </w:pPr>
            <w:r>
              <w:rPr>
                <w:rFonts w:ascii="Arial" w:cs="Arial" w:eastAsia="Arial" w:hAnsi="Arial"/>
                <w:sz w:val="18"/>
                <w:szCs w:val="18"/>
                <w:color w:val="auto"/>
              </w:rPr>
              <w:t>Recognized</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impaired loans</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collateral dependent loans were in process of foreclosure at December 31, 2021 or 2020. In addition, the weighted average loan-to-value of impaired, collateral dependent loans was approximately 70.67% and 50.51% at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Non-accrual loans, segregated by class, are as follows as of December 31, 2021 and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122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non-accrual loans</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588</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foregone interest income related to non-accrual loans was $33,000 and $35,000 for the years ended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loan portfolio may include certain loans that have been modified in a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 restructure and may only be returned to accruing status after considering the borrower’s sustained repayment performance for a reasonable period, generally six months.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loan is modified, it is measured based upon the present value of future cash flows discounted at the effective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outstanding with a TDR designation at December 31, 2021 or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CARES Act, as amended, specified that to be eligible not to be considered a TDR, a loan modification must be (i) related to the COVID-19 pandemic;</w:t>
      </w:r>
    </w:p>
    <w:p>
      <w:pPr>
        <w:spacing w:after="0" w:line="46"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executed on a loan that was not more than 30 days past due as of December 31, 2019; and (iii) executed between March 1, 2020, and the earlier of: (i)</w:t>
      </w:r>
    </w:p>
    <w:p>
      <w:pPr>
        <w:spacing w:after="0" w:line="32"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60 days after the date of termination of the federal national emergency; or (ii) January 1, 2022. The Company elected to apply the temporary accounting relief provisions for loan modifications that met certain criteria, which would otherwise be designated TDRs under existing GAAP. As of December 31, 2021, six borrowing relationships with six loans totaling $12,156,000 were continuing to benefit from payment relief.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discloses activity in the allowance for loan losses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6"/>
                <w:szCs w:val="16"/>
                <w:color w:val="auto"/>
              </w:rPr>
              <w:t>Real Estate</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color w:val="auto"/>
                <w:w w:val="93"/>
              </w:rPr>
              <w:t>Commercial</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color w:val="auto"/>
              </w:rPr>
              <w:t>Land and</w:t>
            </w: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w w:val="98"/>
              </w:rPr>
              <w:t>Comml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Resid</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w w:val="88"/>
              </w:rPr>
              <w:t>Farm-</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7"/>
              </w:rPr>
              <w:t>Devel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Const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Const</w:t>
            </w: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Resid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6"/>
                <w:szCs w:val="16"/>
                <w:color w:val="auto"/>
              </w:rPr>
              <w:t>land</w:t>
            </w:r>
          </w:p>
        </w:tc>
        <w:tc>
          <w:tcPr>
            <w:tcW w:w="620" w:type="dxa"/>
            <w:vAlign w:val="bottom"/>
            <w:gridSpan w:val="3"/>
          </w:tcPr>
          <w:p>
            <w:pPr>
              <w:spacing w:after="0"/>
              <w:rPr>
                <w:sz w:val="20"/>
                <w:szCs w:val="20"/>
                <w:color w:val="auto"/>
              </w:rPr>
            </w:pPr>
            <w:r>
              <w:rPr>
                <w:rFonts w:ascii="Arial" w:cs="Arial" w:eastAsia="Arial" w:hAnsi="Arial"/>
                <w:sz w:val="16"/>
                <w:szCs w:val="16"/>
                <w:color w:val="auto"/>
              </w:rPr>
              <w:t>Secured</w:t>
            </w:r>
          </w:p>
        </w:tc>
        <w:tc>
          <w:tcPr>
            <w:tcW w:w="140" w:type="dxa"/>
            <w:vAlign w:val="bottom"/>
          </w:tcPr>
          <w:p>
            <w:pPr>
              <w:spacing w:after="0"/>
              <w:rPr>
                <w:sz w:val="18"/>
                <w:szCs w:val="18"/>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6"/>
                <w:szCs w:val="16"/>
                <w:color w:val="auto"/>
                <w:w w:val="88"/>
              </w:rPr>
              <w:t>Unsec</w:t>
            </w:r>
          </w:p>
        </w:tc>
        <w:tc>
          <w:tcPr>
            <w:tcW w:w="12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PPP</w:t>
            </w:r>
          </w:p>
        </w:tc>
        <w:tc>
          <w:tcPr>
            <w:tcW w:w="2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6"/>
                <w:szCs w:val="16"/>
                <w:color w:val="auto"/>
                <w:w w:val="99"/>
              </w:rPr>
              <w:t>Consu</w:t>
            </w:r>
          </w:p>
        </w:tc>
        <w:tc>
          <w:tcPr>
            <w:tcW w:w="1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w w:val="97"/>
              </w:rPr>
              <w:t>Unal</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Total</w:t>
            </w:r>
          </w:p>
        </w:tc>
      </w:tr>
      <w:tr>
        <w:trPr>
          <w:trHeight w:val="199"/>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Beginning balance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9,358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821</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9,476</w:t>
            </w:r>
          </w:p>
        </w:tc>
        <w:tc>
          <w:tcPr>
            <w:tcW w:w="8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179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632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724</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$ 22,189</w:t>
            </w:r>
          </w:p>
        </w:tc>
        <w:tc>
          <w:tcPr>
            <w:tcW w:w="100" w:type="dxa"/>
            <w:vAlign w:val="bottom"/>
          </w:tcPr>
          <w:p>
            <w:pPr>
              <w:spacing w:after="0"/>
              <w:rPr>
                <w:sz w:val="17"/>
                <w:szCs w:val="17"/>
                <w:color w:val="auto"/>
              </w:rPr>
            </w:pPr>
          </w:p>
        </w:tc>
      </w:tr>
      <w:tr>
        <w:trPr>
          <w:trHeight w:val="20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Charge-offs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(1,143)</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7"/>
                <w:szCs w:val="17"/>
                <w:color w:val="auto"/>
              </w:rPr>
            </w:pP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Provision (recapture)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(2,058)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shd w:val="clear" w:color="auto" w:fill="CCEEFF"/>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1820" w:type="dxa"/>
            <w:vAlign w:val="bottom"/>
          </w:tcPr>
          <w:p>
            <w:pPr>
              <w:spacing w:after="0"/>
              <w:rPr>
                <w:sz w:val="20"/>
                <w:szCs w:val="20"/>
                <w:color w:val="auto"/>
              </w:rPr>
            </w:pPr>
            <w:r>
              <w:rPr>
                <w:rFonts w:ascii="Arial" w:cs="Arial" w:eastAsia="Arial" w:hAnsi="Arial"/>
                <w:sz w:val="16"/>
                <w:szCs w:val="16"/>
                <w:color w:val="auto"/>
              </w:rPr>
              <w:t>Ending balance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12,869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371</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6,859</w:t>
            </w:r>
          </w:p>
        </w:tc>
        <w:tc>
          <w:tcPr>
            <w:tcW w:w="80" w:type="dxa"/>
            <w:vAlign w:val="bottom"/>
          </w:tcPr>
          <w:p>
            <w:pPr>
              <w:spacing w:after="0"/>
              <w:rPr>
                <w:sz w:val="21"/>
                <w:szCs w:val="21"/>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207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889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1,111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$ 23,243</w:t>
            </w:r>
          </w:p>
        </w:tc>
        <w:tc>
          <w:tcPr>
            <w:tcW w:w="100" w:type="dxa"/>
            <w:vAlign w:val="bottom"/>
          </w:tcPr>
          <w:p>
            <w:pPr>
              <w:spacing w:after="0"/>
              <w:rPr>
                <w:sz w:val="21"/>
                <w:szCs w:val="21"/>
                <w:color w:val="auto"/>
              </w:rPr>
            </w:pPr>
          </w:p>
        </w:tc>
      </w:tr>
      <w:tr>
        <w:trPr>
          <w:trHeight w:val="183"/>
        </w:trPr>
        <w:tc>
          <w:tcPr>
            <w:tcW w:w="18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Beginning balance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6,331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661</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4,976</w:t>
            </w:r>
          </w:p>
        </w:tc>
        <w:tc>
          <w:tcPr>
            <w:tcW w:w="8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88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601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427</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$ 14,915</w:t>
            </w:r>
          </w:p>
        </w:tc>
        <w:tc>
          <w:tcPr>
            <w:tcW w:w="100" w:type="dxa"/>
            <w:vAlign w:val="bottom"/>
          </w:tcPr>
          <w:p>
            <w:pPr>
              <w:spacing w:after="0"/>
              <w:rPr>
                <w:sz w:val="17"/>
                <w:szCs w:val="17"/>
                <w:color w:val="auto"/>
              </w:rPr>
            </w:pPr>
          </w:p>
        </w:tc>
      </w:tr>
      <w:tr>
        <w:trPr>
          <w:trHeight w:val="20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Charge-offs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(1,604)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(2,163)</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Provision (recapture)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1820" w:type="dxa"/>
            <w:vAlign w:val="bottom"/>
          </w:tcPr>
          <w:p>
            <w:pPr>
              <w:spacing w:after="0"/>
              <w:rPr>
                <w:sz w:val="20"/>
                <w:szCs w:val="20"/>
                <w:color w:val="auto"/>
              </w:rPr>
            </w:pPr>
            <w:r>
              <w:rPr>
                <w:rFonts w:ascii="Arial" w:cs="Arial" w:eastAsia="Arial" w:hAnsi="Arial"/>
                <w:sz w:val="16"/>
                <w:szCs w:val="16"/>
                <w:color w:val="auto"/>
              </w:rPr>
              <w:t>Ending balance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9,358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9,476</w:t>
            </w:r>
          </w:p>
        </w:tc>
        <w:tc>
          <w:tcPr>
            <w:tcW w:w="80" w:type="dxa"/>
            <w:vAlign w:val="bottom"/>
          </w:tcPr>
          <w:p>
            <w:pPr>
              <w:spacing w:after="0"/>
              <w:rPr>
                <w:sz w:val="18"/>
                <w:szCs w:val="18"/>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179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632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724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6"/>
              </w:rPr>
              <w:t>$ 22,189</w:t>
            </w:r>
          </w:p>
        </w:tc>
        <w:tc>
          <w:tcPr>
            <w:tcW w:w="10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by impairment methodology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rPr>
              <w:t>Real Estate</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color w:val="auto"/>
                <w:w w:val="93"/>
              </w:rPr>
              <w:t>Commercial</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6"/>
                <w:szCs w:val="16"/>
                <w:color w:val="auto"/>
                <w:w w:val="98"/>
              </w:rPr>
              <w:t>Comml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Arial" w:cs="Arial" w:eastAsia="Arial" w:hAnsi="Arial"/>
                <w:sz w:val="16"/>
                <w:szCs w:val="16"/>
                <w:color w:val="auto"/>
              </w:rPr>
              <w:t>Land and</w:t>
            </w:r>
          </w:p>
        </w:tc>
        <w:tc>
          <w:tcPr>
            <w:tcW w:w="100" w:type="dxa"/>
            <w:vAlign w:val="bottom"/>
          </w:tcPr>
          <w:p>
            <w:pPr>
              <w:spacing w:after="0"/>
              <w:rPr>
                <w:sz w:val="17"/>
                <w:szCs w:val="17"/>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Comml</w:t>
            </w: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auto"/>
              </w:rPr>
              <w:t>Resid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Farm-</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8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8"/>
                <w:szCs w:val="18"/>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Devel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Const</w:t>
            </w: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auto"/>
              </w:rPr>
              <w:t>Const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w w:val="83"/>
              </w:rPr>
              <w:t>Resid</w:t>
            </w:r>
          </w:p>
        </w:tc>
        <w:tc>
          <w:tcPr>
            <w:tcW w:w="80" w:type="dxa"/>
            <w:vAlign w:val="bottom"/>
          </w:tcPr>
          <w:p>
            <w:pPr>
              <w:spacing w:after="0"/>
              <w:rPr>
                <w:sz w:val="18"/>
                <w:szCs w:val="18"/>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w w:val="99"/>
              </w:rPr>
              <w:t>land</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3"/>
              </w:rPr>
              <w:t>Secured</w:t>
            </w:r>
          </w:p>
        </w:tc>
        <w:tc>
          <w:tcPr>
            <w:tcW w:w="160" w:type="dxa"/>
            <w:vAlign w:val="bottom"/>
          </w:tcPr>
          <w:p>
            <w:pPr>
              <w:spacing w:after="0"/>
              <w:rPr>
                <w:sz w:val="18"/>
                <w:szCs w:val="18"/>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6"/>
                <w:szCs w:val="16"/>
                <w:color w:val="auto"/>
                <w:w w:val="88"/>
              </w:rPr>
              <w:t>Unsec</w:t>
            </w:r>
          </w:p>
        </w:tc>
        <w:tc>
          <w:tcPr>
            <w:tcW w:w="10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PPP</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9"/>
              </w:rPr>
              <w:t>Consu</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w w:val="97"/>
              </w:rPr>
              <w:t>Unal</w:t>
            </w:r>
          </w:p>
        </w:tc>
        <w:tc>
          <w:tcPr>
            <w:tcW w:w="1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Ending allowance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balance allocated to:</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individually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Loans collectively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23,071</w:t>
            </w:r>
          </w:p>
        </w:tc>
        <w:tc>
          <w:tcPr>
            <w:tcW w:w="0" w:type="dxa"/>
            <w:vAlign w:val="bottom"/>
          </w:tcPr>
          <w:p>
            <w:pPr>
              <w:spacing w:after="0"/>
              <w:rPr>
                <w:sz w:val="1"/>
                <w:szCs w:val="1"/>
                <w:color w:val="auto"/>
              </w:rPr>
            </w:pPr>
          </w:p>
        </w:tc>
      </w:tr>
      <w:tr>
        <w:trPr>
          <w:trHeight w:val="20"/>
        </w:trPr>
        <w:tc>
          <w:tcPr>
            <w:tcW w:w="16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23,243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individually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160"/>
              <w:spacing w:after="0"/>
              <w:rPr>
                <w:sz w:val="20"/>
                <w:szCs w:val="20"/>
                <w:color w:val="auto"/>
              </w:rPr>
            </w:pPr>
            <w:r>
              <w:rPr>
                <w:rFonts w:ascii="Arial" w:cs="Arial" w:eastAsia="Arial" w:hAnsi="Arial"/>
                <w:sz w:val="16"/>
                <w:szCs w:val="16"/>
                <w:color w:val="auto"/>
                <w:w w:val="99"/>
              </w:rPr>
              <w:t>collectively evaluated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for impairment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1,586,110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54,214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28,384</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54,805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136,774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21,136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22,124</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17,167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1,935,478</w:t>
            </w:r>
          </w:p>
        </w:tc>
        <w:tc>
          <w:tcPr>
            <w:tcW w:w="0" w:type="dxa"/>
            <w:vAlign w:val="bottom"/>
          </w:tcPr>
          <w:p>
            <w:pPr>
              <w:spacing w:after="0"/>
              <w:rPr>
                <w:sz w:val="1"/>
                <w:szCs w:val="1"/>
                <w:color w:val="auto"/>
              </w:rPr>
            </w:pPr>
          </w:p>
        </w:tc>
      </w:tr>
      <w:tr>
        <w:trPr>
          <w:trHeight w:val="20"/>
        </w:trPr>
        <w:tc>
          <w:tcPr>
            <w:tcW w:w="16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1,586,232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54,214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28,562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54,805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137,062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21,136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17,167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1,936,066</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Ending allowance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balance allocated to:</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individually</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Loans collectively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22,189</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22,189</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individually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3"/>
        </w:trPr>
        <w:tc>
          <w:tcPr>
            <w:tcW w:w="168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80" w:type="dxa"/>
            <w:vAlign w:val="bottom"/>
            <w:gridSpan w:val="2"/>
          </w:tcPr>
          <w:p>
            <w:pPr>
              <w:ind w:left="160"/>
              <w:spacing w:after="0"/>
              <w:rPr>
                <w:sz w:val="20"/>
                <w:szCs w:val="20"/>
                <w:color w:val="auto"/>
              </w:rPr>
            </w:pPr>
            <w:r>
              <w:rPr>
                <w:rFonts w:ascii="Arial" w:cs="Arial" w:eastAsia="Arial" w:hAnsi="Arial"/>
                <w:sz w:val="16"/>
                <w:szCs w:val="16"/>
                <w:color w:val="auto"/>
                <w:w w:val="99"/>
              </w:rPr>
              <w:t>collectively evaluated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80" w:type="dxa"/>
            <w:vAlign w:val="bottom"/>
            <w:gridSpan w:val="2"/>
          </w:tcPr>
          <w:p>
            <w:pPr>
              <w:ind w:left="160"/>
              <w:spacing w:after="0"/>
              <w:rPr>
                <w:sz w:val="20"/>
                <w:szCs w:val="20"/>
                <w:color w:val="auto"/>
              </w:rPr>
            </w:pPr>
            <w:r>
              <w:rPr>
                <w:rFonts w:ascii="Arial" w:cs="Arial" w:eastAsia="Arial" w:hAnsi="Arial"/>
                <w:sz w:val="16"/>
                <w:szCs w:val="16"/>
                <w:color w:val="auto"/>
              </w:rPr>
              <w:t>for impairment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1,002,360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91,760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11,914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30,248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50,164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138,544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17,526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147,965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1,506,002</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91,760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30,431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50,164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138,676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17,526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147,965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1,506,454</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FHLB line of credit is secured under terms of a collateral agreement by a pledge of certain qualifying loans with unpaid principal balances of $941,160,000 and $1,093,513,000 at December 31, 2021 and 2020, respectively. In addition, the Company pledges eligible Tenants in Common loans, which totaled $33,391,000 and $61,635,000 at December 31, 2021 and 2020, respectively, to secure its borrowing capacity with the Federal Reserve Bank of San Francisco. See Note 9, Long Term Debt and Other Borrowings, for further discussion of these borrowings.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5: Premises and Equipment, Net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Premises and equipment, net, were as follows as of December 31, 2021 and 2020: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3,314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Tenant improvements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auto"/>
              </w:rPr>
              <w:t>1,973</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5,287</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3,421</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1,773</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expense for occupancy, furniture, fixtures, and equipment was $607,000 and $461,000 for the years ended December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Bank-owned Life Insurance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life insurance policies on the lives of certain current and former officers designated by the board of directors to fund our employee benefit programs. Death benefits provided under the specific terms of these insurance policies are estimated to be $26,956,000 at December 31, 2021. The benefits to employees’ beneficiaries are limited to each employee’s active service period. The investment in BOLI policies is reported at their cash surrender value, net of surrender charges, of $11,203,000 and $8,662,000 at December 31, 2021 and 2020, respectively. The cash surrender value includes both the original premiums paid for the life insurance policies and the accumulated accretion of policy income since inception of the policies, net of mortality costs and other fees. Income of $237,000 and $220,000 was recognized on these life insurance policies for the years ended December 31, 2021 and 2020,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7: Interest Receivable and Other Assets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Interest receivable and other assets consisted of the following as of December 31, 2021 and 2020: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5,332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Equity investments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auto"/>
              </w:rPr>
              <w:t>5,741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2,215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auto"/>
              </w:rPr>
              <w:t>8,340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r>
      <w:tr>
        <w:trPr>
          <w:trHeight w:val="223"/>
        </w:trPr>
        <w:tc>
          <w:tcPr>
            <w:tcW w:w="8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21,628</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Servicing assets represent the assets related to servicing loans for others, including collecting payments, maintaining escrow accounts, disbursing payments to investors, and conducting foreclosure proceedings. Loan servicing income is recorded on the accrual basis and includes servicing fees from investors and certain charges collected from borrowers. The Company serviced loans with unpaid principal balances of $194,649,000 and $187,834,000 as of December 31, 2021 and 2020, respectively, on behalf of others.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8: Interest-Bearing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consisted of the following as of December 31, 2021 and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49,714</w:t>
            </w:r>
          </w:p>
        </w:tc>
        <w:tc>
          <w:tcPr>
            <w:tcW w:w="100" w:type="dxa"/>
            <w:vAlign w:val="bottom"/>
            <w:gridSpan w:val="2"/>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Money market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912,558</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839,053</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278,406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146,553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Time, $250 or more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77,868</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7,568</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time</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26,404</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40,034</w:t>
            </w:r>
          </w:p>
        </w:tc>
      </w:tr>
      <w:tr>
        <w:trPr>
          <w:trHeight w:val="223"/>
        </w:trPr>
        <w:tc>
          <w:tcPr>
            <w:tcW w:w="8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1,383,772</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1,082,922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Time deposits totaled $104,272,000 and $47,602,000 as of December 31, 2021 and 2020, respectively. As of December 31, 2021, scheduled maturities of time deposits for the next five years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8980" w:type="dxa"/>
            <w:vAlign w:val="bottom"/>
            <w:gridSpan w:val="2"/>
          </w:tcPr>
          <w:p>
            <w:pPr>
              <w:ind w:left="160"/>
              <w:spacing w:after="0"/>
              <w:rPr>
                <w:sz w:val="20"/>
                <w:szCs w:val="20"/>
                <w:color w:val="auto"/>
              </w:rPr>
            </w:pPr>
            <w:r>
              <w:rPr>
                <w:rFonts w:ascii="Arial" w:cs="Arial" w:eastAsia="Arial" w:hAnsi="Arial"/>
                <w:sz w:val="18"/>
                <w:szCs w:val="18"/>
                <w:color w:val="auto"/>
              </w:rPr>
              <w:t>Total time deposits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Federal Deposit Insurance Corporation (“FDIC”) 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December 31, 2021 and 2020. The composition of network deposits as of December 31, 2021 and 2020 was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CDARS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w:t>
            </w:r>
          </w:p>
        </w:tc>
        <w:tc>
          <w:tcPr>
            <w:tcW w:w="10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ICS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307,636</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261,127</w:t>
            </w:r>
          </w:p>
        </w:tc>
      </w:tr>
      <w:tr>
        <w:trPr>
          <w:trHeight w:val="223"/>
        </w:trPr>
        <w:tc>
          <w:tcPr>
            <w:tcW w:w="8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network deposits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330,047</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the years ended December 31, 2021 and 2020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Money market</w:t>
            </w: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1,797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Time, $250 or more</w:t>
            </w: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time</w:t>
            </w:r>
          </w:p>
        </w:tc>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8"/>
                <w:szCs w:val="18"/>
                <w:color w:val="auto"/>
              </w:rPr>
              <w:t>Total interest expense on interest-bearing deposits</w:t>
            </w:r>
          </w:p>
        </w:tc>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700" w:type="dxa"/>
            <w:vAlign w:val="bottom"/>
            <w:vMerge w:val="restart"/>
          </w:tcPr>
          <w:p>
            <w:pPr>
              <w:jc w:val="right"/>
              <w:ind w:right="247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20" w:type="dxa"/>
            <w:vAlign w:val="bottom"/>
            <w:tcBorders>
              <w:bottom w:val="single" w:sz="8" w:color="DCDCDC"/>
            </w:tcBorders>
          </w:tcPr>
          <w:p>
            <w:pPr>
              <w:spacing w:after="0"/>
              <w:rPr>
                <w:sz w:val="11"/>
                <w:szCs w:val="11"/>
                <w:color w:val="auto"/>
              </w:rPr>
            </w:pPr>
          </w:p>
        </w:tc>
        <w:tc>
          <w:tcPr>
            <w:tcW w:w="370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6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9: Long Term Debt and Other Borrowings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Subordinated notes</w:t>
      </w:r>
      <w:r>
        <w:rPr>
          <w:rFonts w:ascii="Arial" w:cs="Arial" w:eastAsia="Arial" w:hAnsi="Arial"/>
          <w:sz w:val="16"/>
          <w:szCs w:val="16"/>
          <w:color w:val="auto"/>
        </w:rPr>
        <w:t>: On November 8, 2019, the Company completed a private placement of $3,750,000 of fixed-to-floating rate subordinated notes to certain qualified investors. All of the debt was purchased by four existing members of the board of directors or their affiliates. The notes were used for general corporate purposes, for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rate plus 354.4 basis points (3.75% as of December 31, 2021) until maturity. The notes include a right of prepayment, on or after September 30,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$25,000,000 in principal of fixed-to-floating rate subordinated notes to certain qualified investors, of which $8,000,000 is owned by an entity that is controlled by a member of the board of directors and three principal shareholders. The notes were used for general corporate purposes, for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rate plus 404.4 basis points (4.25% as of December 31, 2021) until maturity. The notes include a right of prepayment, on or after September 28,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subordinated notes have been structured to qualify as Tier 2 capital for regulatory capital purposes. Debt issuance costs incurred in conjunction with the notes were $642,000, of which $280,000 has been amortized through December 31, 2021. The Company reflects debt issuance costs as a direct deduction from the face of the note. The debt issuance costs are amortized into interest expense through the maturity period. At December 31, 2021 and 2020, the Company’s subordinated debt carrying value was $28,386,000 and $28,320,000, respectively.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The Company has an agreement with the FHLB that granted the FHLB a blanket lien on all loans receivable (except for construction and agricultural loans) as collateral for a borrowing line. Based on the dollar volume of qualifying loan collateral, the Company had a total financing availability of $696,285,000 at December 31, 2021 and $519,274,000 at December 31, 2020. At December 31, 2021 and 2020, the Company had no outstanding borrowings. As of December 31, 2021 and 2020, the Company had letters of credit issued on its behalf totaling $420,500,000 and $293,500,000, respectively, as discussed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letters of credit totaling $80,500,000 were pledged to secure State of California deposits and $340,000,000 were pledged to secure local agency deposits. As of December 31, 2020, letters of credit totaling $13,500,000 were pledged to secure State of California deposits and $280,000,000 were pledged to secure local agency deposits. The letters of credit issued reduced the Company’s available borrowing capacity to $275,785,000 and $284,810,000 as of December 31, 2021 and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 had five unsecured federal funds lines of credit totaling $150,000,000 with five of its correspondent banks, respectively. At December 31, 2020, the Company had three unsecured federal funds lines of credit totaling $75,000,000 with three of its correspondent banks, respectively. There were no amounts outstanding at December 31, 2021 and 2020.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2021 and 2020, the Company had the ability to borrow from the Federal Reserve Discount Window. At December 31, 2021 and 2020, the borrowing capacity under this arrangement was $16,999,000 and $25,881,000, respectively. There were no amounts outstanding at December 31, 2021 and 2020. The borrowing line is secured by liens on the Company’s construction and agricultural loan portfolios.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401(k) Benefit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401(k) benefit plan covers substantially all employees and allows voluntary employee contributions up to the lesser of 80% of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2021 and 2020 was $593,000 and $465,000,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its IPO and became a taxable C Corporation. Prior to that date, as an S Corporation, the Company had no U.S. federal income tax expense. As such, any periods prior to May 5, 2021 will only reflect an effective state income tax rate and corresponding tax expense.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termination of the Subchapter S corporation status,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$4,638,000 increase to the net deferred tax asset to $5,370,000 and a reduction to the provision for income taxes of $4,638,000 during the year ended December 31, 2021.</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provision for income tax for the years ended December 31, 2021 and 2020 differs from the statutory federal rate of 21.00% due to the following items, which relate primarily to the Company’s conversion from an S Corporation to a C Corporation: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of S Corporation status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(7,824)</w:t>
            </w: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 adjustment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2021, the Company’s effective tax rate differed from the statutory California tax rate of 3.50% used prior to May 5, 2021 and the statutory federal and state tax rate, net of federal benefit, of 29.56% used May 5, 2021 and after, as the effective tax rate primarily represents the weighted average rate between the S Corporation tax rate of 3.50% and the C Corporation tax rate of 29.56% based on the number of days the Company was each type of corporation during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components of the consolidated provision for income taxes are as follows: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6,178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2,530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8,708</w:t>
            </w:r>
          </w:p>
        </w:tc>
        <w:tc>
          <w:tcPr>
            <w:tcW w:w="4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Deferred tax benefit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(3,561)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460" w:type="dxa"/>
            <w:vAlign w:val="bottom"/>
            <w:tcBorders>
              <w:top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Deferred tax assets and liabilities were due to the following as of December 31, 2021 and 2020:</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8"/>
                <w:szCs w:val="18"/>
                <w:color w:val="auto"/>
              </w:rPr>
              <w:t>Allowance for credit losses</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7,398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Supplemental employee retirement plan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8"/>
                <w:szCs w:val="18"/>
                <w:color w:val="auto"/>
              </w:rPr>
              <w:t>Gain on available-for-sale assets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loss on securities available-for-sale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Accrual to cash adjustment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loan fees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Net unrealized gain on securities available-for-sale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tax</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460" w:type="dxa"/>
            <w:vAlign w:val="bottom"/>
            <w:tcBorders>
              <w:bottom w:val="single" w:sz="8" w:color="CCEEFF"/>
            </w:tcBorders>
          </w:tcPr>
          <w:p>
            <w:pPr>
              <w:jc w:val="right"/>
              <w:ind w:right="3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deferred tax asset valuation allowance was established during 2021 or 2020, as management believes it is more likely than not the Company will realize the benefits of these deductible differences as of December 31, 2021 and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308" w:gutter="0" w:footer="0" w:header="0"/>
        </w:sectPr>
      </w:pPr>
    </w:p>
    <w:bookmarkStart w:id="106" w:name="page107"/>
    <w:bookmarkEnd w:id="106"/>
    <w:p>
      <w:pPr>
        <w:jc w:val="both"/>
        <w:spacing w:after="0" w:line="277" w:lineRule="auto"/>
        <w:rPr>
          <w:sz w:val="20"/>
          <w:szCs w:val="20"/>
          <w:color w:val="auto"/>
        </w:rPr>
      </w:pPr>
      <w:r>
        <w:rPr>
          <w:rFonts w:ascii="Arial" w:cs="Arial" w:eastAsia="Arial" w:hAnsi="Arial"/>
          <w:sz w:val="18"/>
          <w:szCs w:val="18"/>
          <w:color w:val="auto"/>
        </w:rPr>
        <w:t>No unrecognized tax benefits were outstanding as of December 31, 2021 or 2020. The Company files tax returns in the U.S. federal and California state jurisdictions. The Company is no longer subject to examinations for years before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interest or penalties in 2021 and 2020. It is the Company’s policy to record such accruals in its income taxes accounts.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the Company paid approximately $27,000,000 to shareholders of record as of May 3, 2021, for the Accumulated Adjustments Account (“AAA”) payout under the Company’s Tax Sharing Agreement. The AAA represents previously taxed, but undistributed, earnings. As of December 31, 2021, the balance of the Company’s AAA was estimated to be approximately $4,877,000 and is subject to adjustment upon completion of the 2021 tax return, which could be material. The balance in the AAA account represents the remaining amount of previously taxed but undistributed earnings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The following is a summary of loans to related parties in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New loans or advance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7,828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Loans issued in prior years to new related parties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Repayments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and 2020, deposits from related parties (directors, executive officers, and principal shareholders) totaled $32,410,000 and $42,466,000, respectively. Property management fees totaling $12,000 and $27,000 in 2021 and 2020, respectively, were paid to an entity owned by some of the Company’s directors.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2021, nine of the Company’s directors were each granted 4,500 fully vested shares of the Company’s stock for the payment of director fees in addition to their standard cash compensation, totaling 40,500 shares with a combined fair value of $810,000, and one director was granted 1,140 fully vested shares of the Company’s stock, with a fair value of $36,000, upon retirement. Additionally, during 2021, ten directors purchased a total of 190,071 shares for $3,985,000. During 2020, eight of the Company’s directors were each granted 2,000 fully vested shares of the Company’s stock for the payment of director fees in addition to their standard cash compensation, totaling 16,000 shares with a combined fair value of $252,000. Additionally, during 2020, two new directors purchased 50,000 shares for $900,000.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Additional transactions with related parties are described in Note 15,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 Incentive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our shareholders. The stock options granted under the Equity Incentive Plan may be either non-statutory stock options or incentive stock options. There were no stock options outstanding at December 31, 2021 or 2020, respectively.</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total number of shares of our common stock reserved and available for grant and issuance pursuant to the Equity Incentive Plan will not exceed 1,700,000 shares. Each of these shares may be issued as an incentive stock option. The Equity Incentive Plan does not contain an “evergreen” provision pursuant to which shares authorized for issuance may be automatically replenished.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stock-based compensation consists of RSAs granted under its historical stock-based incentive arrangement (the “Historical Incentive Plan”) and RSAs issued under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loan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174,347 and 11,398 restricted shares during the years ended December 31, 2021 and 2020, respectively. In addition, 4,522 and no restricted shares were forfeited during the years ended December 31, 2021 and 2020, respectively. Non-cash stock compensation expense recognized for the years ended December 31, 2021 and 2020 was $1,440,000 and $568,000,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granted a total of 41,640 fully vested shares to members of the board of directors as compensation for their service. In 2020, the Company granted 2,000 fully vested shares to the Chief Executive Officer for service as a member of the board of directors and 1,250 fully vested shares to another officer as a discretionary grant.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2021 and 2020, respectively, there were 127,751 and 11,568 unvested restricted shares. As of December 31, 2021, there was approximately $2,204,000 of unrecognized compensation expense related to the 127,751 unvested restricted shares. The holders of unvested RSAs are entitled to dividends on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years ended December 31, 2021 and 2020 was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restricted shares: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Weighted</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Average Grant</w:t>
            </w:r>
          </w:p>
        </w:tc>
      </w:tr>
      <w:tr>
        <w:trPr>
          <w:trHeight w:val="230"/>
        </w:trPr>
        <w:tc>
          <w:tcPr>
            <w:tcW w:w="484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Shares</w:t>
            </w:r>
          </w:p>
        </w:tc>
        <w:tc>
          <w:tcPr>
            <w:tcW w:w="16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Date Fair Value</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Shares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the period balance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Shares granted</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174,347</w:t>
            </w:r>
          </w:p>
        </w:tc>
        <w:tc>
          <w:tcPr>
            <w:tcW w:w="1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19.97</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Shares vested</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(53,642)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20.35</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Shares forfeited</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(4,522)</w:t>
            </w:r>
          </w:p>
        </w:tc>
        <w:tc>
          <w:tcPr>
            <w:tcW w:w="180" w:type="dxa"/>
            <w:vAlign w:val="bottom"/>
          </w:tcPr>
          <w:p>
            <w:pPr>
              <w:spacing w:after="0"/>
              <w:rPr>
                <w:sz w:val="19"/>
                <w:szCs w:val="19"/>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19.33</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the period balance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the Company declared cash dividends on its common shares totaling $24,975,000. On May 20, 2021, as a result of the Company’s conversion to a C Corporation, the board of directors declared an aggregate distribution of $26,967,000 for the AAA payout, which is described in further detail in Note 11, Income Taxes, and the Company reclassified the resulting retained deficit related to S Corporation activities to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 of unfunded loan commitments and standby letters of credit not reflected in the consolidated balance sheets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of credit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Undisbursed construction loans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46,584</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50,442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Undisbursed commercial real estate loans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47,793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Agricultural lines of credit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9,955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11,553</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Undisbursed agricultural real estate loans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3,764</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commitments and standby letters of credit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248,877</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$100,000 as of December 31, 2021 and 2020, which is recorded in interest payable and other liabilities in the consolidated balance sheets.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89.31% of the Company’s loan portfolio at December 31, 2021 and 79.23% of the Company’s loan portfolio at December 31, 2020.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 concentrations</w:t>
      </w:r>
      <w:r>
        <w:rPr>
          <w:rFonts w:ascii="Arial" w:cs="Arial" w:eastAsia="Arial" w:hAnsi="Arial"/>
          <w:sz w:val="18"/>
          <w:szCs w:val="18"/>
          <w:color w:val="auto"/>
        </w:rPr>
        <w:t>: At December 31, 2021, the Company had 64 deposit relationships that exceeded $5,000,000 each, totaling $1,166,728,000, or approximately 51.04% of total deposits. The Company’s largest single deposit relationship at December 31, 2021 totaled $154,988,000, or approximately 6.78% of total deposits. Management maintains the Company’s liquidity position and lines of credit with correspondent banks to mitigate the risk of large withdrawals by the Company’s large depositors.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Correspondent banking agreements</w:t>
      </w:r>
      <w:r>
        <w:rPr>
          <w:rFonts w:ascii="Arial" w:cs="Arial" w:eastAsia="Arial" w:hAnsi="Arial"/>
          <w:sz w:val="16"/>
          <w:szCs w:val="16"/>
          <w:color w:val="auto"/>
        </w:rPr>
        <w:t>: The Company maintains funds on deposit with other FDIC-insured financial institutions under correspondent banking agreements. Uninsured deposits through these agreements totaled $147,219,000 and $118,003,000 at December 31,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for its banking operations under non-cancelable operating leases of various terms. The leases expire at various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The Company has a sublease agreement for space adjacent to the Redding location. The sublease has renewal terms extended to December 31, 2022.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both"/>
        <w:spacing w:after="0" w:line="257" w:lineRule="auto"/>
        <w:rPr>
          <w:sz w:val="20"/>
          <w:szCs w:val="20"/>
          <w:color w:val="auto"/>
        </w:rPr>
      </w:pPr>
      <w:r>
        <w:rPr>
          <w:rFonts w:ascii="Arial" w:cs="Arial" w:eastAsia="Arial" w:hAnsi="Arial"/>
          <w:sz w:val="18"/>
          <w:szCs w:val="18"/>
          <w:color w:val="auto"/>
        </w:rPr>
        <w:t>The Company leases its Sacramento loan production office from a partnership comprised of some of the Company’s shareholders and certain members of the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was $140,000 and $225,000 for the years ended December 31, 2021 and 2020, respectively, under these leases.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future minimum lease payments and weighted average remaining lease terms under the Company’s operating lease arrangements as of December 31, 2021.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8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Weighted average remaining term (in years)</w:t>
            </w: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Requirements and Restrictions on Retained Earnings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the below table) of total capital, Tier 1 capital, and common equity Tier 1 capital (as defined in the regulations) to risk-weighted assets and of Tier 1 capital to average assets. The Company operates under the Small Bank Holding Company Policy Statement, and, accordingly, is exempt from the Federal Reserve’s generally applicable risk-based capital ratio and leverage ratio requirements. The Bank is required to meet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Tier 1 leverage ratio of at least 4.00%. Management believes that, as of December 31, 2021, the Company and the Bank met all capital adequacy requirements to which they are subject.</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Bank was categorized as “well-capitalized” under the regulatory framework for prompt corrective action. To be categorized as well-capitalized, an institution must maintain minimum total risk-based, Tier 1 risk-based, and Tier 1 leverage ratios as set forth in the below table. There are no conditions or events since that notification that management believes have changed the Bank’s category.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source of cash for the Company is dividends from the Bank. Dividends from the Bank to the Company are restricted under California law to the lesser of: (a) the Bank’s retained earnings; or (b) the Bank’s net income for the latest three fiscal years, less dividends previously declared during that period. As of December 31, 2021 and 2020, the maximum amount available for dividend distribution under this restriction was approximately $15,464,000 and $15,624,000, respectively. If a proposed dividend exceeds the limit, the Bank may still pay a dividend to the Holding Company if it obtains approval from the California Department of Financial Protection and Innovation and the dividend does not exceed the greater of: (i) the retained earnings of the Bank; (ii) the net income of the Bank for its last fiscal year; or (iii) the net income of the Bank for its current fiscal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The Company’s and the Bank’s actual capital amounts and ratios as of December 31, 2021 and 2020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12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Arial" w:cs="Arial" w:eastAsia="Arial" w:hAnsi="Arial"/>
                <w:sz w:val="18"/>
                <w:szCs w:val="18"/>
                <w:b w:val="1"/>
                <w:bCs w:val="1"/>
                <w:color w:val="auto"/>
                <w:w w:val="97"/>
              </w:rPr>
              <w:t>Capitalized under Prompt</w:t>
            </w: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center"/>
              <w:ind w:right="260"/>
              <w:spacing w:after="0" w:line="181" w:lineRule="exact"/>
              <w:rPr>
                <w:sz w:val="20"/>
                <w:szCs w:val="20"/>
                <w:color w:val="auto"/>
              </w:rPr>
            </w:pPr>
            <w:r>
              <w:rPr>
                <w:rFonts w:ascii="Arial" w:cs="Arial" w:eastAsia="Arial" w:hAnsi="Arial"/>
                <w:sz w:val="18"/>
                <w:szCs w:val="18"/>
                <w:b w:val="1"/>
                <w:bCs w:val="1"/>
                <w:color w:val="auto"/>
                <w:w w:val="91"/>
              </w:rPr>
              <w:t>Corrective Action</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b w:val="1"/>
                <w:bCs w:val="1"/>
                <w:color w:val="auto"/>
              </w:rPr>
              <w:t>Capital Ratios for Bancorp</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3"/>
                <w:szCs w:val="23"/>
                <w:color w:val="auto"/>
              </w:rPr>
            </w:pPr>
          </w:p>
        </w:tc>
        <w:tc>
          <w:tcPr>
            <w:tcW w:w="1860" w:type="dxa"/>
            <w:vAlign w:val="bottom"/>
            <w:gridSpan w:val="5"/>
          </w:tcPr>
          <w:p>
            <w:pPr>
              <w:jc w:val="center"/>
              <w:ind w:right="100"/>
              <w:spacing w:after="0" w:line="270" w:lineRule="exact"/>
              <w:rPr>
                <w:sz w:val="20"/>
                <w:szCs w:val="20"/>
                <w:color w:val="auto"/>
              </w:rPr>
            </w:pPr>
            <w:r>
              <w:rPr>
                <w:rFonts w:ascii="Arial" w:cs="Arial" w:eastAsia="Arial" w:hAnsi="Arial"/>
                <w:sz w:val="18"/>
                <w:szCs w:val="18"/>
                <w:b w:val="1"/>
                <w:bCs w:val="1"/>
                <w:color w:val="auto"/>
                <w:w w:val="87"/>
              </w:rPr>
              <w:t>Adequacy Purposes</w:t>
            </w:r>
            <w:r>
              <w:rPr>
                <w:rFonts w:ascii="Arial" w:cs="Arial" w:eastAsia="Arial" w:hAnsi="Arial"/>
                <w:sz w:val="29"/>
                <w:szCs w:val="29"/>
                <w:b w:val="1"/>
                <w:bCs w:val="1"/>
                <w:color w:val="auto"/>
                <w:w w:val="87"/>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9"/>
                <w:szCs w:val="19"/>
                <w:color w:val="auto"/>
              </w:rPr>
            </w:pPr>
          </w:p>
        </w:tc>
        <w:tc>
          <w:tcPr>
            <w:tcW w:w="98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285,128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163,177</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233,397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122,382</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233,397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91,787</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233,397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98,600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176,861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116,138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130,347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87,103</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130,347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65,327</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130,347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79,204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4.00%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99"/>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Arial" w:cs="Arial" w:eastAsia="Arial" w:hAnsi="Arial"/>
                <w:sz w:val="18"/>
                <w:szCs w:val="18"/>
                <w:b w:val="1"/>
                <w:bCs w:val="1"/>
                <w:color w:val="auto"/>
                <w:w w:val="97"/>
              </w:rPr>
              <w:t>Capitalized under Prompt</w:t>
            </w:r>
          </w:p>
        </w:tc>
        <w:tc>
          <w:tcPr>
            <w:tcW w:w="0" w:type="dxa"/>
            <w:vAlign w:val="bottom"/>
          </w:tcPr>
          <w:p>
            <w:pPr>
              <w:spacing w:after="0"/>
              <w:rPr>
                <w:sz w:val="1"/>
                <w:szCs w:val="1"/>
                <w:color w:val="auto"/>
              </w:rPr>
            </w:pPr>
          </w:p>
        </w:tc>
      </w:tr>
      <w:tr>
        <w:trPr>
          <w:trHeight w:val="216"/>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Capital Ratios for the Bank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Corrective Action</w:t>
            </w:r>
          </w:p>
        </w:tc>
        <w:tc>
          <w:tcPr>
            <w:tcW w:w="0" w:type="dxa"/>
            <w:vAlign w:val="bottom"/>
          </w:tcPr>
          <w:p>
            <w:pPr>
              <w:spacing w:after="0"/>
              <w:rPr>
                <w:sz w:val="1"/>
                <w:szCs w:val="1"/>
                <w:color w:val="auto"/>
              </w:rPr>
            </w:pPr>
          </w:p>
        </w:tc>
      </w:tr>
      <w:tr>
        <w:trPr>
          <w:trHeight w:val="234"/>
        </w:trPr>
        <w:tc>
          <w:tcPr>
            <w:tcW w:w="4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Adequacy Purposes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9"/>
                <w:szCs w:val="19"/>
                <w:color w:val="auto"/>
              </w:rPr>
            </w:pPr>
          </w:p>
        </w:tc>
        <w:tc>
          <w:tcPr>
            <w:tcW w:w="98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9"/>
              </w:rPr>
              <w:t>Amount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279,152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163,078</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8.00%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203,848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255,807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6.00%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163,078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255,807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91,731</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4.50%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132,501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255,807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98,555</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4.00%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123,193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174,002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116,114</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8.00%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145,143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155,808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87,086</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6.00%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116,114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155,808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65,314</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4.50%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94,343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Tier 1 leverage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155,808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79,199</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 4.00%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98,998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0" w:hanging="392"/>
        <w:spacing w:after="0" w:line="194" w:lineRule="auto"/>
        <w:tabs>
          <w:tab w:leader="none" w:pos="40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Presented as if Bancorp were subject to Basel III capital requirements. The Company operates under the Small Bank Holding Company Policy Statement and therefore is not currently subject to generally applicable capital adequacy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Note 17: Fair Value of Assets and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15"/>
          </w:tcPr>
          <w:p>
            <w:pPr>
              <w:spacing w:after="0"/>
              <w:rPr>
                <w:sz w:val="20"/>
                <w:szCs w:val="20"/>
                <w:color w:val="auto"/>
              </w:rPr>
            </w:pPr>
            <w:r>
              <w:rPr>
                <w:rFonts w:ascii="Arial" w:cs="Arial" w:eastAsia="Arial" w:hAnsi="Arial"/>
                <w:sz w:val="18"/>
                <w:szCs w:val="18"/>
                <w:color w:val="auto"/>
                <w:w w:val="99"/>
              </w:rPr>
              <w:t>The following table summarizes the Company’s assets and liabilities that were carried at fair value on a recurring basis.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Measurement</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90"/>
              </w:rPr>
              <w:t>Quoted Prices in</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Significant</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w w:val="94"/>
              </w:rPr>
              <w:t>Active Markets for</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Observable</w:t>
            </w:r>
          </w:p>
        </w:tc>
        <w:tc>
          <w:tcPr>
            <w:tcW w:w="1380" w:type="dxa"/>
            <w:vAlign w:val="bottom"/>
            <w:gridSpan w:val="4"/>
          </w:tcPr>
          <w:p>
            <w:pPr>
              <w:ind w:left="120"/>
              <w:spacing w:after="0"/>
              <w:rPr>
                <w:sz w:val="20"/>
                <w:szCs w:val="20"/>
                <w:color w:val="auto"/>
              </w:rPr>
            </w:pPr>
            <w:r>
              <w:rPr>
                <w:rFonts w:ascii="Arial" w:cs="Arial" w:eastAsia="Arial" w:hAnsi="Arial"/>
                <w:sz w:val="18"/>
                <w:szCs w:val="18"/>
                <w:color w:val="auto"/>
              </w:rPr>
              <w:t>Unobservable</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Categories: Changes</w:t>
            </w: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Carrying</w:t>
            </w:r>
          </w:p>
        </w:tc>
        <w:tc>
          <w:tcPr>
            <w:tcW w:w="10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Identical Assets</w:t>
            </w:r>
          </w:p>
        </w:tc>
        <w:tc>
          <w:tcPr>
            <w:tcW w:w="140" w:type="dxa"/>
            <w:vAlign w:val="bottom"/>
          </w:tcPr>
          <w:p>
            <w:pPr>
              <w:spacing w:after="0"/>
              <w:rPr>
                <w:sz w:val="19"/>
                <w:szCs w:val="1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Inputs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Fair Value Recorded</w:t>
            </w:r>
          </w:p>
        </w:tc>
        <w:tc>
          <w:tcPr>
            <w:tcW w:w="0" w:type="dxa"/>
            <w:vAlign w:val="bottom"/>
          </w:tcPr>
          <w:p>
            <w:pPr>
              <w:spacing w:after="0"/>
              <w:rPr>
                <w:sz w:val="1"/>
                <w:szCs w:val="1"/>
                <w:color w:val="auto"/>
              </w:rPr>
            </w:pPr>
          </w:p>
        </w:tc>
      </w:tr>
      <w:tr>
        <w:trPr>
          <w:trHeight w:val="267"/>
        </w:trPr>
        <w:tc>
          <w:tcPr>
            <w:tcW w:w="436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3"/>
                <w:szCs w:val="23"/>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1)</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(Level 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3)</w:t>
            </w:r>
          </w:p>
        </w:tc>
        <w:tc>
          <w:tcPr>
            <w:tcW w:w="1760" w:type="dxa"/>
            <w:vAlign w:val="bottom"/>
            <w:gridSpan w:val="2"/>
          </w:tcPr>
          <w:p>
            <w:pPr>
              <w:jc w:val="center"/>
              <w:ind w:right="100"/>
              <w:spacing w:after="0" w:line="267" w:lineRule="exact"/>
              <w:rPr>
                <w:sz w:val="20"/>
                <w:szCs w:val="20"/>
                <w:color w:val="auto"/>
              </w:rPr>
            </w:pPr>
            <w:r>
              <w:rPr>
                <w:rFonts w:ascii="Arial" w:cs="Arial" w:eastAsia="Arial" w:hAnsi="Arial"/>
                <w:sz w:val="18"/>
                <w:szCs w:val="18"/>
                <w:color w:val="auto"/>
                <w:w w:val="85"/>
              </w:rPr>
              <w:t>In</w:t>
            </w:r>
            <w:r>
              <w:rPr>
                <w:rFonts w:ascii="Arial" w:cs="Arial" w:eastAsia="Arial" w:hAnsi="Arial"/>
                <w:sz w:val="29"/>
                <w:szCs w:val="29"/>
                <w:color w:val="auto"/>
                <w:w w:val="85"/>
                <w:vertAlign w:val="superscript"/>
              </w:rPr>
              <w:t>1</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60"/>
              <w:spacing w:after="0" w:line="201" w:lineRule="exact"/>
              <w:rPr>
                <w:sz w:val="20"/>
                <w:szCs w:val="20"/>
                <w:color w:val="auto"/>
              </w:rPr>
            </w:pPr>
            <w:r>
              <w:rPr>
                <w:rFonts w:ascii="Arial" w:cs="Arial" w:eastAsia="Arial" w:hAnsi="Arial"/>
                <w:sz w:val="18"/>
                <w:szCs w:val="18"/>
                <w:color w:val="auto"/>
                <w:w w:val="93"/>
              </w:rPr>
              <w:t>U.S. government agencies, mortgage-backed securities,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Arial" w:cs="Arial" w:eastAsia="Arial" w:hAnsi="Arial"/>
                <w:sz w:val="18"/>
                <w:szCs w:val="18"/>
                <w:color w:val="auto"/>
              </w:rPr>
              <w:t>collateralized mortgage obligations, and 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20"/>
              <w:spacing w:after="0"/>
              <w:rPr>
                <w:sz w:val="20"/>
                <w:szCs w:val="20"/>
                <w:color w:val="auto"/>
              </w:rPr>
            </w:pPr>
            <w:r>
              <w:rPr>
                <w:rFonts w:ascii="Arial" w:cs="Arial" w:eastAsia="Arial" w:hAnsi="Arial"/>
                <w:sz w:val="18"/>
                <w:szCs w:val="18"/>
                <w:color w:val="auto"/>
              </w:rPr>
              <w:t>bonds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148,807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148,807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OCI</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60"/>
              <w:spacing w:after="0" w:line="201" w:lineRule="exact"/>
              <w:rPr>
                <w:sz w:val="20"/>
                <w:szCs w:val="20"/>
                <w:color w:val="auto"/>
              </w:rPr>
            </w:pPr>
            <w:r>
              <w:rPr>
                <w:rFonts w:ascii="Arial" w:cs="Arial" w:eastAsia="Arial" w:hAnsi="Arial"/>
                <w:sz w:val="18"/>
                <w:szCs w:val="18"/>
                <w:color w:val="auto"/>
                <w:w w:val="93"/>
              </w:rPr>
              <w:t>U.S. government agencies, mortgage-backed securities,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20"/>
              <w:spacing w:after="0"/>
              <w:rPr>
                <w:sz w:val="20"/>
                <w:szCs w:val="20"/>
                <w:color w:val="auto"/>
              </w:rPr>
            </w:pPr>
            <w:r>
              <w:rPr>
                <w:rFonts w:ascii="Arial" w:cs="Arial" w:eastAsia="Arial" w:hAnsi="Arial"/>
                <w:sz w:val="18"/>
                <w:szCs w:val="18"/>
                <w:color w:val="auto"/>
                <w:w w:val="99"/>
              </w:rPr>
              <w:t>obligations of states and political subdivisions, 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20"/>
              <w:spacing w:after="0"/>
              <w:rPr>
                <w:sz w:val="20"/>
                <w:szCs w:val="20"/>
                <w:color w:val="auto"/>
              </w:rPr>
            </w:pPr>
            <w:r>
              <w:rPr>
                <w:rFonts w:ascii="Arial" w:cs="Arial" w:eastAsia="Arial" w:hAnsi="Arial"/>
                <w:sz w:val="18"/>
                <w:szCs w:val="18"/>
                <w:color w:val="auto"/>
              </w:rPr>
              <w:t>collateralized mortgage obligations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114,949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114,949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OCI</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hanging="398"/>
        <w:spacing w:after="0"/>
        <w:tabs>
          <w:tab w:leader="none" w:pos="46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Other comprehensive income (“OCI”) or net income (“NI”).</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 issued bonds, privately issued collateralized mortgage obligations, and corporate bonds. As of December 31, 2021 and 2020, there were no Level 1 or Level 3 securities and no transfers between Level 1 and Level 2 classifications for assets or liabilities measured at fair value on a recurring basis.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derivative is comprised of an interest rate swap for a structured lending arrangement and is reported at fair value utilizing Level 2 inputs. The Company obtains fair values from financial institutions that utilize internal models with observable market data inputs to estimate the values of these instruments (Level 2 inputs).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OREO. As of December 31, 2021 and 2020, the Company did not carry any assets measured at fair value on a non-recurring basis.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table below is a summary of fair value estimates for financial instruments as of December 31, 2021 and 2020.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8"/>
              </w:rPr>
              <w:t>December 31, 2021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December 31, 2020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6"/>
                <w:szCs w:val="16"/>
                <w:color w:val="auto"/>
              </w:rPr>
            </w:pPr>
          </w:p>
        </w:tc>
        <w:tc>
          <w:tcPr>
            <w:tcW w:w="1160" w:type="dxa"/>
            <w:vAlign w:val="bottom"/>
            <w:gridSpan w:val="2"/>
          </w:tcPr>
          <w:p>
            <w:pPr>
              <w:jc w:val="right"/>
              <w:ind w:right="600"/>
              <w:spacing w:after="0" w:line="195" w:lineRule="exact"/>
              <w:rPr>
                <w:sz w:val="20"/>
                <w:szCs w:val="20"/>
                <w:color w:val="auto"/>
              </w:rPr>
            </w:pPr>
            <w:r>
              <w:rPr>
                <w:rFonts w:ascii="Arial" w:cs="Arial" w:eastAsia="Arial" w:hAnsi="Arial"/>
                <w:sz w:val="18"/>
                <w:szCs w:val="18"/>
                <w:color w:val="auto"/>
              </w:rPr>
              <w:t>Fair</w:t>
            </w:r>
          </w:p>
        </w:tc>
        <w:tc>
          <w:tcPr>
            <w:tcW w:w="780" w:type="dxa"/>
            <w:vAlign w:val="bottom"/>
          </w:tcPr>
          <w:p>
            <w:pPr>
              <w:ind w:left="20"/>
              <w:spacing w:after="0" w:line="195" w:lineRule="exact"/>
              <w:rPr>
                <w:sz w:val="20"/>
                <w:szCs w:val="20"/>
                <w:color w:val="auto"/>
              </w:rPr>
            </w:pPr>
            <w:r>
              <w:rPr>
                <w:rFonts w:ascii="Arial" w:cs="Arial" w:eastAsia="Arial" w:hAnsi="Arial"/>
                <w:sz w:val="18"/>
                <w:szCs w:val="18"/>
                <w:color w:val="auto"/>
                <w:w w:val="90"/>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6"/>
                <w:szCs w:val="16"/>
                <w:color w:val="auto"/>
              </w:rPr>
            </w:pPr>
          </w:p>
        </w:tc>
        <w:tc>
          <w:tcPr>
            <w:tcW w:w="11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0"/>
              </w:rPr>
              <w:t>Fair</w:t>
            </w:r>
          </w:p>
        </w:tc>
        <w:tc>
          <w:tcPr>
            <w:tcW w:w="780" w:type="dxa"/>
            <w:vAlign w:val="bottom"/>
          </w:tcPr>
          <w:p>
            <w:pPr>
              <w:ind w:left="20"/>
              <w:spacing w:after="0" w:line="195" w:lineRule="exact"/>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6"/>
                <w:szCs w:val="16"/>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40" w:type="dxa"/>
            <w:vAlign w:val="bottom"/>
          </w:tcPr>
          <w:p>
            <w:pPr>
              <w:jc w:val="right"/>
              <w:spacing w:after="0"/>
              <w:rPr>
                <w:sz w:val="20"/>
                <w:szCs w:val="20"/>
                <w:color w:val="auto"/>
              </w:rPr>
            </w:pPr>
            <w:r>
              <w:rPr>
                <w:rFonts w:ascii="Arial" w:cs="Arial" w:eastAsia="Arial" w:hAnsi="Arial"/>
                <w:sz w:val="18"/>
                <w:szCs w:val="18"/>
                <w:color w:val="auto"/>
              </w:rPr>
              <w:t>Amounts</w:t>
            </w:r>
          </w:p>
        </w:tc>
        <w:tc>
          <w:tcPr>
            <w:tcW w:w="32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Hierarchy</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Amounts</w:t>
            </w:r>
          </w:p>
        </w:tc>
        <w:tc>
          <w:tcPr>
            <w:tcW w:w="3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Hierarchy</w:t>
            </w: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w w:val="96"/>
              </w:rPr>
              <w:t>$  425,329</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  425,329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290,493</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  290,493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1</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 in banks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14,464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23,705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1</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Securities available-for-sale</w:t>
            </w:r>
          </w:p>
        </w:tc>
        <w:tc>
          <w:tcPr>
            <w:tcW w:w="840" w:type="dxa"/>
            <w:vAlign w:val="bottom"/>
          </w:tcPr>
          <w:p>
            <w:pPr>
              <w:jc w:val="right"/>
              <w:spacing w:after="0"/>
              <w:rPr>
                <w:sz w:val="20"/>
                <w:szCs w:val="20"/>
                <w:color w:val="auto"/>
              </w:rPr>
            </w:pPr>
            <w:r>
              <w:rPr>
                <w:rFonts w:ascii="Arial" w:cs="Arial" w:eastAsia="Arial" w:hAnsi="Arial"/>
                <w:sz w:val="18"/>
                <w:szCs w:val="18"/>
                <w:color w:val="auto"/>
              </w:rPr>
              <w:t>148,807</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148,807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114,949</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114,949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held-to-maturity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5,197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8,755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Loans held for sale</w:t>
            </w:r>
          </w:p>
        </w:tc>
        <w:tc>
          <w:tcPr>
            <w:tcW w:w="840" w:type="dxa"/>
            <w:vAlign w:val="bottom"/>
          </w:tcPr>
          <w:p>
            <w:pPr>
              <w:jc w:val="right"/>
              <w:spacing w:after="0"/>
              <w:rPr>
                <w:sz w:val="20"/>
                <w:szCs w:val="20"/>
                <w:color w:val="auto"/>
              </w:rPr>
            </w:pPr>
            <w:r>
              <w:rPr>
                <w:rFonts w:ascii="Arial" w:cs="Arial" w:eastAsia="Arial" w:hAnsi="Arial"/>
                <w:sz w:val="18"/>
                <w:szCs w:val="18"/>
                <w:color w:val="auto"/>
              </w:rPr>
              <w:t>10,671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11,217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4,820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5,012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held for investment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1,911,217</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1,893,431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1,480,970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1,464,794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FHLB stock and other 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12,464</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9,989</w:t>
            </w:r>
          </w:p>
        </w:tc>
        <w:tc>
          <w:tcPr>
            <w:tcW w:w="320" w:type="dxa"/>
            <w:vAlign w:val="bottom"/>
          </w:tcPr>
          <w:p>
            <w:pPr>
              <w:spacing w:after="0"/>
              <w:rPr>
                <w:sz w:val="18"/>
                <w:szCs w:val="18"/>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Interest rate swap</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149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840" w:type="dxa"/>
            <w:vAlign w:val="bottom"/>
          </w:tcPr>
          <w:p>
            <w:pPr>
              <w:jc w:val="right"/>
              <w:spacing w:after="0"/>
              <w:rPr>
                <w:sz w:val="20"/>
                <w:szCs w:val="20"/>
                <w:color w:val="auto"/>
              </w:rPr>
            </w:pPr>
            <w:r>
              <w:rPr>
                <w:rFonts w:ascii="Arial" w:cs="Arial" w:eastAsia="Arial" w:hAnsi="Arial"/>
                <w:sz w:val="18"/>
                <w:szCs w:val="18"/>
                <w:color w:val="auto"/>
              </w:rPr>
              <w:t>2,285,890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2,210,555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1,784,001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1,785,944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Interest rate swap</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149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28,386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Level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to estimate the fair value of its financial instruments at December 31, 2021 and 2020: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securities</w:t>
      </w:r>
      <w:r>
        <w:rPr>
          <w:rFonts w:ascii="Arial" w:cs="Arial" w:eastAsia="Arial" w:hAnsi="Arial"/>
          <w:sz w:val="16"/>
          <w:szCs w:val="16"/>
          <w:color w:val="auto"/>
        </w:rPr>
        <w:t>: See discussion above for the methods and assumptions used by the Company to estimate the fair value of investment securities.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Loans held for investment</w:t>
      </w:r>
      <w:r>
        <w:rPr>
          <w:rFonts w:ascii="Arial" w:cs="Arial" w:eastAsia="Arial" w:hAnsi="Arial"/>
          <w:sz w:val="16"/>
          <w:szCs w:val="16"/>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auto"/>
        </w:rPr>
        <w:t>Interest receivable and payable</w:t>
      </w:r>
      <w:r>
        <w:rPr>
          <w:rFonts w:ascii="Arial" w:cs="Arial" w:eastAsia="Arial" w:hAnsi="Arial"/>
          <w:sz w:val="18"/>
          <w:szCs w:val="18"/>
          <w:color w:val="auto"/>
        </w:rPr>
        <w:t>: For interest receivable and payable, the carrying amount is estimated to be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 interest rate swap</w:t>
      </w:r>
      <w:r>
        <w:rPr>
          <w:rFonts w:ascii="Arial" w:cs="Arial" w:eastAsia="Arial" w:hAnsi="Arial"/>
          <w:sz w:val="16"/>
          <w:szCs w:val="16"/>
          <w:color w:val="auto"/>
        </w:rPr>
        <w:t>: See above for a discussion of the methods and assumptions used by the Company to estimate the fair value of derivatives.</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Deposits</w:t>
      </w:r>
      <w:r>
        <w:rPr>
          <w:rFonts w:ascii="Arial" w:cs="Arial" w:eastAsia="Arial" w:hAnsi="Arial"/>
          <w:sz w:val="16"/>
          <w:szCs w:val="16"/>
          <w:color w:val="auto"/>
        </w:rPr>
        <w:t>: The fair values for demand deposits are, by definition, equal to the amount payable on demand at the reporting date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Commitments to extend credit</w:t>
      </w:r>
      <w:r>
        <w:rPr>
          <w:rFonts w:ascii="Arial" w:cs="Arial" w:eastAsia="Arial" w:hAnsi="Arial"/>
          <w:sz w:val="18"/>
          <w:szCs w:val="18"/>
          <w:color w:val="auto"/>
        </w:rPr>
        <w:t>: Commitments to extend credit are primarily for adjustable rate loans. For these commitments, there are no differences between the committed amounts and their fair values. Commitments to fund fixed rate loans are at rates which approximate fair value at each reporting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The fair value is estimated by discounting the future cash flow using the current 3-month LIBOR rate. The Company’s subordinated notes are not registered securities and were issued through private placements, resulting in a Level 3 classification. The notes are recorded at carrying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Note 18: Parent Company Only Condensed Financial Information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tcPr>
          <w:p>
            <w:pPr>
              <w:jc w:val="center"/>
              <w:ind w:left="3130"/>
              <w:spacing w:after="0"/>
              <w:rPr>
                <w:sz w:val="20"/>
                <w:szCs w:val="20"/>
                <w:color w:val="auto"/>
              </w:rPr>
            </w:pPr>
            <w:r>
              <w:rPr>
                <w:rFonts w:ascii="Arial" w:cs="Arial" w:eastAsia="Arial" w:hAnsi="Arial"/>
                <w:sz w:val="18"/>
                <w:szCs w:val="18"/>
                <w:b w:val="1"/>
                <w:bCs w:val="1"/>
                <w:color w:val="auto"/>
                <w:w w:val="98"/>
              </w:rPr>
              <w:t>CONDENSED BALANCE SHEETS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20" w:type="dxa"/>
            <w:vAlign w:val="bottom"/>
          </w:tcPr>
          <w:p>
            <w:pPr>
              <w:jc w:val="center"/>
              <w:ind w:left="3130"/>
              <w:spacing w:after="0"/>
              <w:rPr>
                <w:sz w:val="20"/>
                <w:szCs w:val="20"/>
                <w:color w:val="auto"/>
              </w:rPr>
            </w:pPr>
            <w:r>
              <w:rPr>
                <w:rFonts w:ascii="Arial" w:cs="Arial" w:eastAsia="Arial" w:hAnsi="Arial"/>
                <w:sz w:val="18"/>
                <w:szCs w:val="18"/>
                <w:b w:val="1"/>
                <w:bCs w:val="1"/>
                <w:color w:val="auto"/>
                <w:w w:val="90"/>
              </w:rPr>
              <w:t>December 31, 2021 and 2020</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jc w:val="center"/>
              <w:ind w:left="3130"/>
              <w:spacing w:after="0"/>
              <w:rPr>
                <w:sz w:val="20"/>
                <w:szCs w:val="20"/>
                <w:color w:val="auto"/>
              </w:rPr>
            </w:pPr>
            <w:r>
              <w:rPr>
                <w:rFonts w:ascii="Arial" w:cs="Arial" w:eastAsia="Arial" w:hAnsi="Arial"/>
                <w:sz w:val="18"/>
                <w:szCs w:val="18"/>
                <w:color w:val="auto"/>
                <w:w w:val="90"/>
              </w:rPr>
              <w:t>(In thousands)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5,636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banking subsidiary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257,456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159,236</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264,014</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Subordinated notes and other liabilities</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28,968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235,046</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264,014</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jc w:val="center"/>
              <w:ind w:left="3130"/>
              <w:spacing w:after="0"/>
              <w:rPr>
                <w:sz w:val="20"/>
                <w:szCs w:val="20"/>
                <w:color w:val="auto"/>
              </w:rPr>
            </w:pPr>
            <w:r>
              <w:rPr>
                <w:rFonts w:ascii="Arial" w:cs="Arial" w:eastAsia="Arial" w:hAnsi="Arial"/>
                <w:sz w:val="18"/>
                <w:szCs w:val="18"/>
                <w:b w:val="1"/>
                <w:bCs w:val="1"/>
                <w:color w:val="auto"/>
                <w:w w:val="99"/>
              </w:rPr>
              <w:t>CONDENSED STATEMENTS OF INCOME</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w w:val="89"/>
              </w:rPr>
              <w:t>Years ended December 31, 2021 and 2020</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jc w:val="center"/>
              <w:ind w:left="3130"/>
              <w:spacing w:after="0"/>
              <w:rPr>
                <w:sz w:val="20"/>
                <w:szCs w:val="20"/>
                <w:color w:val="auto"/>
              </w:rPr>
            </w:pPr>
            <w:r>
              <w:rPr>
                <w:rFonts w:ascii="Arial" w:cs="Arial" w:eastAsia="Arial" w:hAnsi="Arial"/>
                <w:sz w:val="18"/>
                <w:szCs w:val="18"/>
                <w:color w:val="auto"/>
                <w:w w:val="90"/>
              </w:rPr>
              <w:t>(In thousands)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banking subsidiary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1,773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Income before income tax and undistributed banking subsidiary income</w:t>
            </w: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22,298</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Equity in undistributed banking subsidiary income</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19,331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jc w:val="center"/>
              <w:ind w:left="3150"/>
              <w:spacing w:after="0"/>
              <w:rPr>
                <w:sz w:val="20"/>
                <w:szCs w:val="20"/>
                <w:color w:val="auto"/>
              </w:rPr>
            </w:pPr>
            <w:r>
              <w:rPr>
                <w:rFonts w:ascii="Arial" w:cs="Arial" w:eastAsia="Arial" w:hAnsi="Arial"/>
                <w:sz w:val="18"/>
                <w:szCs w:val="18"/>
                <w:color w:val="auto"/>
                <w:w w:val="86"/>
              </w:rPr>
              <w:t>112</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20" w:type="dxa"/>
            <w:vAlign w:val="bottom"/>
            <w:tcBorders>
              <w:bottom w:val="single" w:sz="8" w:color="DCDCDC"/>
            </w:tcBorders>
          </w:tcPr>
          <w:p>
            <w:pPr>
              <w:spacing w:after="0"/>
              <w:rPr>
                <w:sz w:val="11"/>
                <w:szCs w:val="11"/>
                <w:color w:val="auto"/>
              </w:rPr>
            </w:pPr>
          </w:p>
        </w:tc>
        <w:tc>
          <w:tcPr>
            <w:tcW w:w="6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6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42,441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35,928</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to directors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Equity in undistributed banking subsidiary income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(19,331)</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(10,637)</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notes issuance costs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Change in other assets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r>
      <w:tr>
        <w:trPr>
          <w:trHeight w:val="230"/>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accrued expenses and other liabilities</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09"/>
        </w:trPr>
        <w:tc>
          <w:tcPr>
            <w:tcW w:w="73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23,580</w:t>
            </w: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7320" w:type="dxa"/>
            <w:vAlign w:val="bottom"/>
          </w:tcPr>
          <w:p>
            <w:pPr>
              <w:ind w:left="160"/>
              <w:spacing w:after="0"/>
              <w:rPr>
                <w:sz w:val="20"/>
                <w:szCs w:val="20"/>
                <w:color w:val="auto"/>
              </w:rPr>
            </w:pPr>
            <w:r>
              <w:rPr>
                <w:rFonts w:ascii="Arial" w:cs="Arial" w:eastAsia="Arial" w:hAnsi="Arial"/>
                <w:sz w:val="18"/>
                <w:szCs w:val="18"/>
                <w:color w:val="auto"/>
              </w:rPr>
              <w:t>Investment in subsidiary</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(80,800)</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(13,500)</w:t>
            </w:r>
          </w:p>
        </w:tc>
      </w:tr>
      <w:tr>
        <w:trPr>
          <w:trHeight w:val="209"/>
        </w:trPr>
        <w:tc>
          <w:tcPr>
            <w:tcW w:w="73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(80,800</w:t>
            </w:r>
          </w:p>
        </w:tc>
        <w:tc>
          <w:tcPr>
            <w:tcW w:w="460" w:type="dxa"/>
            <w:vAlign w:val="bottom"/>
            <w:tcBorders>
              <w:top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stock</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111,243</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13,400</w:t>
            </w:r>
          </w:p>
        </w:tc>
      </w:tr>
      <w:tr>
        <w:trPr>
          <w:trHeight w:val="229"/>
        </w:trPr>
        <w:tc>
          <w:tcPr>
            <w:tcW w:w="732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21"/>
              <w:spacing w:after="0"/>
              <w:rPr>
                <w:sz w:val="20"/>
                <w:szCs w:val="20"/>
                <w:color w:val="auto"/>
              </w:rPr>
            </w:pPr>
            <w:r>
              <w:rPr>
                <w:rFonts w:ascii="Arial" w:cs="Arial" w:eastAsia="Arial" w:hAnsi="Arial"/>
                <w:sz w:val="18"/>
                <w:szCs w:val="18"/>
                <w:color w:val="auto"/>
              </w:rPr>
              <w:t>(51,942)</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(26,369)</w:t>
            </w:r>
          </w:p>
        </w:tc>
      </w:tr>
      <w:tr>
        <w:trPr>
          <w:trHeight w:val="210"/>
        </w:trPr>
        <w:tc>
          <w:tcPr>
            <w:tcW w:w="73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3,555</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20, 2022, the board of directors declared a $0.15 per common share dividend for shareholders of record as of February 7, 2022, which was paid on February 14, 2022 in the amount of $2,587,000.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2021.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include a management’s report regarding internal control over financial reporting due to a transition period established by rules of the SEC for newly public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Rule 13a-15(f) under the Exchange Act) that occurred during the three months ended December 31, 2021 that has materially affected, or is reasonably likely to materially affect, such controls.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an emerging growth company.</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23, 2022, the Company’s board of directors amended and restated the Company’s bylaws, clarifying the Company’s voting standards for the election of directors, which is determined by a plurality vote. The bylaws, as amended and restated, are effective as of February 23, 2022 and are attached hereto as Exhibit 3.2. The provisions of the Company’s bylaws described herein otherwise remain unchanged.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the Company’s board of directors, the section entitled </w:t>
      </w:r>
      <w:r>
        <w:rPr>
          <w:rFonts w:ascii="Arial" w:cs="Arial" w:eastAsia="Arial" w:hAnsi="Arial"/>
          <w:sz w:val="18"/>
          <w:szCs w:val="18"/>
          <w:i w:val="1"/>
          <w:iCs w:val="1"/>
          <w:color w:val="auto"/>
        </w:rPr>
        <w:t>“Items to be Voted on by Shareholders —Item 1 —Election of Directors”</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officers of the Company, the section entitled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regarding compliance with Delinquent Section 16(a) Reports, the section entitled </w:t>
      </w:r>
      <w:r>
        <w:rPr>
          <w:rFonts w:ascii="Arial" w:cs="Arial" w:eastAsia="Arial" w:hAnsi="Arial"/>
          <w:sz w:val="18"/>
          <w:szCs w:val="18"/>
          <w:i w:val="1"/>
          <w:iCs w:val="1"/>
          <w:color w:val="auto"/>
        </w:rPr>
        <w:t>“Stock Information —Delinquent Section 16(a) Reports”</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Code of Conduct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information concerning the Company’s Code of Conduct, the information contained under the section entitled </w:t>
      </w:r>
      <w:r>
        <w:rPr>
          <w:rFonts w:ascii="Arial" w:cs="Arial" w:eastAsia="Arial" w:hAnsi="Arial"/>
          <w:sz w:val="16"/>
          <w:szCs w:val="16"/>
          <w:i w:val="1"/>
          <w:iCs w:val="1"/>
          <w:color w:val="auto"/>
        </w:rPr>
        <w:t>“Corporate Governance —Code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in the Company’s Proxy Statement for the 2022 Annual Meeting of Shareholders is incorporated by reference. A copy of the Code of Conduct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to shareholders on the Company’s investor relations website at </w:t>
      </w:r>
      <w:r>
        <w:rPr>
          <w:rFonts w:ascii="Arial" w:cs="Arial" w:eastAsia="Arial" w:hAnsi="Arial"/>
          <w:sz w:val="16"/>
          <w:szCs w:val="16"/>
          <w:u w:val="single" w:color="auto"/>
          <w:color w:val="auto"/>
        </w:rPr>
        <w:t>https://investors.fivestarbank.com/corporate-governance/governance-overview</w:t>
      </w:r>
      <w:r>
        <w:rPr>
          <w:rFonts w:ascii="Arial" w:cs="Arial" w:eastAsia="Arial" w:hAnsi="Arial"/>
          <w:sz w:val="16"/>
          <w:szCs w:val="16"/>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Audit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information regarding the Company’s Nominating and Audit Committees, their composition, and the audit committee financial experts, the section entitled </w:t>
      </w:r>
      <w:r>
        <w:rPr>
          <w:rFonts w:ascii="Arial" w:cs="Arial" w:eastAsia="Arial" w:hAnsi="Arial"/>
          <w:sz w:val="18"/>
          <w:szCs w:val="18"/>
          <w:i w:val="1"/>
          <w:iCs w:val="1"/>
          <w:color w:val="auto"/>
        </w:rPr>
        <w:t>“Corporate Governance —Board Committees”</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regarding executive compensation, the sections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“Director Compensation”</w:t>
      </w:r>
      <w:r>
        <w:rPr>
          <w:rFonts w:ascii="Arial" w:cs="Arial" w:eastAsia="Arial" w:hAnsi="Arial"/>
          <w:sz w:val="18"/>
          <w:szCs w:val="18"/>
          <w:color w:val="auto"/>
        </w:rPr>
        <w:t xml:space="preserve"> in the Company’s Proxy Statement for the 2022 Annual Meeting of Shareholders are incorporated herein by reference.</w:t>
      </w:r>
    </w:p>
    <w:p>
      <w:pPr>
        <w:spacing w:after="0" w:line="126" w:lineRule="exact"/>
        <w:rPr>
          <w:sz w:val="20"/>
          <w:szCs w:val="20"/>
          <w:color w:val="auto"/>
        </w:rPr>
      </w:pPr>
    </w:p>
    <w:p>
      <w:pPr>
        <w:ind w:right="2580"/>
        <w:spacing w:after="0" w:line="47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 Security Ownership of Certain Beneficial Owners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herein by reference to the section entitled </w:t>
      </w:r>
      <w:r>
        <w:rPr>
          <w:rFonts w:ascii="Arial" w:cs="Arial" w:eastAsia="Arial" w:hAnsi="Arial"/>
          <w:sz w:val="18"/>
          <w:szCs w:val="18"/>
          <w:i w:val="1"/>
          <w:iCs w:val="1"/>
          <w:color w:val="auto"/>
        </w:rPr>
        <w:t>“Stock Information —Security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 and Management” </w:t>
      </w:r>
      <w:r>
        <w:rPr>
          <w:rFonts w:ascii="Arial" w:cs="Arial" w:eastAsia="Arial" w:hAnsi="Arial"/>
          <w:sz w:val="18"/>
          <w:szCs w:val="18"/>
          <w:color w:val="auto"/>
        </w:rPr>
        <w:t>in the Company’s Proxy Statement for the 2022 Annual Meeting of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required by this item is incorporated herein by reference to the section entitled </w:t>
      </w:r>
      <w:r>
        <w:rPr>
          <w:rFonts w:ascii="Arial" w:cs="Arial" w:eastAsia="Arial" w:hAnsi="Arial"/>
          <w:sz w:val="18"/>
          <w:szCs w:val="18"/>
          <w:i w:val="1"/>
          <w:iCs w:val="1"/>
          <w:color w:val="auto"/>
        </w:rPr>
        <w:t>“Stock Information —Security Ownership of Certain 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 and Management” </w:t>
      </w:r>
      <w:r>
        <w:rPr>
          <w:rFonts w:ascii="Arial" w:cs="Arial" w:eastAsia="Arial" w:hAnsi="Arial"/>
          <w:sz w:val="18"/>
          <w:szCs w:val="18"/>
          <w:color w:val="auto"/>
        </w:rPr>
        <w:t>in in the Company’s Proxy Statement for the 2022 Annual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about the Company common stock that may be issued upon the exercise of stock options, warrants, and rights under all the Company’s equity compensation plans as of December 31,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62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62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for issuance under</w:t>
            </w:r>
          </w:p>
        </w:tc>
      </w:tr>
      <w:tr>
        <w:trPr>
          <w:trHeight w:val="216"/>
        </w:trPr>
        <w:tc>
          <w:tcPr>
            <w:tcW w:w="56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securities to be issued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(b)</w:t>
            </w:r>
          </w:p>
        </w:tc>
        <w:tc>
          <w:tcPr>
            <w:tcW w:w="16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62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upon exercise of</w:t>
            </w:r>
          </w:p>
        </w:tc>
        <w:tc>
          <w:tcPr>
            <w:tcW w:w="18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Weighted-average</w:t>
            </w:r>
          </w:p>
        </w:tc>
        <w:tc>
          <w:tcPr>
            <w:tcW w:w="16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6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 of</w:t>
            </w:r>
          </w:p>
        </w:tc>
        <w:tc>
          <w:tcPr>
            <w:tcW w:w="1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securities reflected in</w:t>
            </w:r>
          </w:p>
        </w:tc>
      </w:tr>
      <w:tr>
        <w:trPr>
          <w:trHeight w:val="234"/>
        </w:trPr>
        <w:tc>
          <w:tcPr>
            <w:tcW w:w="56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outstanding options</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100" w:type="dxa"/>
            <w:vAlign w:val="bottom"/>
            <w:tcBorders>
              <w:bottom w:val="single" w:sz="8" w:color="CCEEFF"/>
            </w:tcBorders>
          </w:tcPr>
          <w:p>
            <w:pPr>
              <w:spacing w:after="0"/>
              <w:rPr>
                <w:sz w:val="20"/>
                <w:szCs w:val="20"/>
                <w:color w:val="auto"/>
              </w:rPr>
            </w:pPr>
          </w:p>
        </w:tc>
      </w:tr>
      <w:tr>
        <w:trPr>
          <w:trHeight w:val="237"/>
        </w:trPr>
        <w:tc>
          <w:tcPr>
            <w:tcW w:w="5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Equity compensation plan approved by shareholders</w:t>
            </w:r>
            <w:r>
              <w:rPr>
                <w:rFonts w:ascii="Arial" w:cs="Arial" w:eastAsia="Arial" w:hAnsi="Arial"/>
                <w:sz w:val="27"/>
                <w:szCs w:val="27"/>
                <w:color w:val="auto"/>
                <w:vertAlign w:val="superscript"/>
              </w:rPr>
              <w:t>1</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1,536,904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Equity compensation not approved by shareholders</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6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6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Plans approved by shareholders include the Five Star Bancorp 2021 Equity Incentive Plan.</w:t>
      </w:r>
    </w:p>
    <w:p>
      <w:pPr>
        <w:spacing w:after="0" w:line="198" w:lineRule="exact"/>
        <w:rPr>
          <w:sz w:val="20"/>
          <w:szCs w:val="20"/>
          <w:color w:val="auto"/>
        </w:rPr>
      </w:pPr>
    </w:p>
    <w:p>
      <w:pPr>
        <w:ind w:right="4540"/>
        <w:spacing w:after="0" w:line="440"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Transactions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certain relationships and related transactions, the section entitled “</w:t>
      </w:r>
      <w:r>
        <w:rPr>
          <w:rFonts w:ascii="Arial" w:cs="Arial" w:eastAsia="Arial" w:hAnsi="Arial"/>
          <w:sz w:val="18"/>
          <w:szCs w:val="18"/>
          <w:i w:val="1"/>
          <w:iCs w:val="1"/>
          <w:color w:val="auto"/>
        </w:rPr>
        <w:t>Other Information —Transactions with Related Parties”</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information regarding director independence, the section entitled </w:t>
      </w:r>
      <w:r>
        <w:rPr>
          <w:rFonts w:ascii="Arial" w:cs="Arial" w:eastAsia="Arial" w:hAnsi="Arial"/>
          <w:sz w:val="18"/>
          <w:szCs w:val="18"/>
          <w:i w:val="1"/>
          <w:iCs w:val="1"/>
          <w:color w:val="auto"/>
        </w:rPr>
        <w:t>“Corporate Governance —Director Independence”</w:t>
      </w:r>
      <w:r>
        <w:rPr>
          <w:rFonts w:ascii="Arial" w:cs="Arial" w:eastAsia="Arial" w:hAnsi="Arial"/>
          <w:sz w:val="18"/>
          <w:szCs w:val="18"/>
          <w:color w:val="auto"/>
        </w:rPr>
        <w:t xml:space="preserve"> in the Company’s Proxy Statement for the 2022 Annual Meeting of Shareholders is incorporated herein by reference.</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For information regarding the principal accountant fees and expenses, the section entitled </w:t>
      </w:r>
      <w:r>
        <w:rPr>
          <w:rFonts w:ascii="Arial" w:cs="Arial" w:eastAsia="Arial" w:hAnsi="Arial"/>
          <w:sz w:val="16"/>
          <w:szCs w:val="16"/>
          <w:i w:val="1"/>
          <w:iCs w:val="1"/>
          <w:color w:val="auto"/>
        </w:rPr>
        <w:t>“Item 2 —Ratification of Selection of Independent Registered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Public Accounting Firm” </w:t>
      </w:r>
      <w:r>
        <w:rPr>
          <w:rFonts w:ascii="Arial" w:cs="Arial" w:eastAsia="Arial" w:hAnsi="Arial"/>
          <w:sz w:val="16"/>
          <w:szCs w:val="16"/>
          <w:color w:val="auto"/>
        </w:rPr>
        <w:t>in the Company’s Proxy Statement for the 2022 Annual Meeting of Shareholders is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89" w:lineRule="exact"/>
        <w:rPr>
          <w:sz w:val="20"/>
          <w:szCs w:val="20"/>
          <w:color w:val="auto"/>
        </w:rPr>
      </w:pPr>
    </w:p>
    <w:p>
      <w:pPr>
        <w:ind w:left="660" w:right="540" w:hanging="652"/>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statements required in response to this item are incorporated herein by reference from Part II, Item 8 of this Annual Report on Form 10-K.</w:t>
      </w:r>
    </w:p>
    <w:p>
      <w:pPr>
        <w:spacing w:after="0" w:line="1" w:lineRule="exact"/>
        <w:rPr>
          <w:rFonts w:ascii="Arial" w:cs="Arial" w:eastAsia="Arial" w:hAnsi="Arial"/>
          <w:sz w:val="18"/>
          <w:szCs w:val="18"/>
          <w:color w:val="auto"/>
        </w:rPr>
      </w:pPr>
    </w:p>
    <w:p>
      <w:pPr>
        <w:ind w:left="660" w:right="104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required or applicable, or the required information is shown in the consolidated financial statements or the notes thereto.</w:t>
      </w: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3"/>
          </w:tcPr>
          <w:p>
            <w:pPr>
              <w:ind w:left="640"/>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5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Filing 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16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4400" w:type="dxa"/>
            <w:vAlign w:val="bottom"/>
            <w:tcBorders>
              <w:bottom w:val="single" w:sz="8" w:color="0000EE"/>
            </w:tcBorders>
            <w:gridSpan w:val="27"/>
          </w:tcPr>
          <w:p>
            <w:pPr>
              <w:spacing w:after="0" w:line="169"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Amended and Restated Articles of Incorporation of Five Star</w:t>
              </w:r>
            </w:hyperlink>
          </w:p>
        </w:tc>
        <w:tc>
          <w:tcPr>
            <w:tcW w:w="800" w:type="dxa"/>
            <w:vAlign w:val="bottom"/>
          </w:tcPr>
          <w:p>
            <w:pPr>
              <w:jc w:val="center"/>
              <w:spacing w:after="0" w:line="169" w:lineRule="exact"/>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line="169" w:lineRule="exact"/>
              <w:rPr>
                <w:sz w:val="20"/>
                <w:szCs w:val="20"/>
                <w:color w:val="auto"/>
              </w:rPr>
            </w:pPr>
            <w:r>
              <w:rPr>
                <w:rFonts w:ascii="Arial" w:cs="Arial" w:eastAsia="Arial" w:hAnsi="Arial"/>
                <w:sz w:val="18"/>
                <w:szCs w:val="18"/>
                <w:color w:val="auto"/>
                <w:w w:val="90"/>
              </w:rPr>
              <w:t>001-40379</w:t>
            </w: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52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9"/>
              </w:rPr>
              <w:t>June 17, 2021</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Bancorp</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38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Amended and Restated Bylaws of Five Star Bancorp</w:t>
              </w:r>
            </w:hyperlink>
          </w:p>
        </w:tc>
        <w:tc>
          <w:tcPr>
            <w:tcW w:w="6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4.1</w:t>
            </w:r>
          </w:p>
        </w:tc>
        <w:tc>
          <w:tcPr>
            <w:tcW w:w="4400" w:type="dxa"/>
            <w:vAlign w:val="bottom"/>
            <w:gridSpan w:val="27"/>
          </w:tcPr>
          <w:p>
            <w:pPr>
              <w:spacing w:after="0" w:line="196"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Form of Common Stock Certificate of Five Star Bancorp</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5"/>
              </w:rPr>
              <w:t>April 26,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4.2</w:t>
            </w:r>
          </w:p>
        </w:tc>
        <w:tc>
          <w:tcPr>
            <w:tcW w:w="41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Form of 6.0% Fixed-to-Floating Rate Subordinated Note</w:t>
              </w:r>
            </w:hyperlink>
          </w:p>
        </w:tc>
        <w:tc>
          <w:tcPr>
            <w:tcW w:w="3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8"/>
              </w:rPr>
              <w:t>Exhibit A</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Due 2027</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7"/>
              </w:rPr>
              <w:t>of Exhibit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5"/>
              </w:rPr>
              <w:t>4.3</w:t>
            </w:r>
          </w:p>
        </w:tc>
        <w:tc>
          <w:tcPr>
            <w:tcW w:w="410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Form of 5.5% Fixed-to-Floating Rate Subordinated Note</w:t>
              </w:r>
            </w:hyperlink>
          </w:p>
        </w:tc>
        <w:tc>
          <w:tcPr>
            <w:tcW w:w="30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8"/>
              </w:rPr>
              <w:t>Exhibit A</w:t>
            </w: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Due 2027</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7"/>
              </w:rPr>
              <w:t>of Exhibit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333-255143</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8"/>
              </w:rPr>
              <w:t>10.10</w:t>
            </w:r>
          </w:p>
        </w:tc>
        <w:tc>
          <w:tcPr>
            <w:tcW w:w="1520" w:type="dxa"/>
            <w:vAlign w:val="bottom"/>
            <w:vMerge w:val="restart"/>
          </w:tcPr>
          <w:p>
            <w:pPr>
              <w:jc w:val="center"/>
              <w:ind w:right="50"/>
              <w:spacing w:after="0"/>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4.4</w:t>
            </w:r>
          </w:p>
        </w:tc>
        <w:tc>
          <w:tcPr>
            <w:tcW w:w="1800" w:type="dxa"/>
            <w:vAlign w:val="bottom"/>
            <w:gridSpan w:val="7"/>
            <w:vMerge w:val="restart"/>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Description of Securities</w:t>
              </w:r>
            </w:hyperlink>
          </w:p>
        </w:tc>
        <w:tc>
          <w:tcPr>
            <w:tcW w:w="2600" w:type="dxa"/>
            <w:vAlign w:val="bottom"/>
            <w:gridSpan w:val="20"/>
            <w:vMerge w:val="restart"/>
          </w:tcPr>
          <w:p>
            <w:pPr>
              <w:spacing w:after="0"/>
              <w:rPr>
                <w:sz w:val="20"/>
                <w:szCs w:val="20"/>
                <w:color w:val="auto"/>
              </w:rPr>
            </w:pPr>
          </w:p>
        </w:tc>
        <w:tc>
          <w:tcPr>
            <w:tcW w:w="8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80"/>
        </w:trPr>
        <w:tc>
          <w:tcPr>
            <w:tcW w:w="1160" w:type="dxa"/>
            <w:vAlign w:val="bottom"/>
            <w:vMerge w:val="continue"/>
          </w:tcPr>
          <w:p>
            <w:pPr>
              <w:spacing w:after="0"/>
              <w:rPr>
                <w:sz w:val="15"/>
                <w:szCs w:val="15"/>
                <w:color w:val="auto"/>
              </w:rPr>
            </w:pPr>
          </w:p>
        </w:tc>
        <w:tc>
          <w:tcPr>
            <w:tcW w:w="1800" w:type="dxa"/>
            <w:vAlign w:val="bottom"/>
            <w:tcBorders>
              <w:bottom w:val="single" w:sz="8" w:color="0000EE"/>
            </w:tcBorders>
            <w:gridSpan w:val="7"/>
            <w:vMerge w:val="continue"/>
          </w:tcPr>
          <w:p>
            <w:pPr>
              <w:spacing w:after="0"/>
              <w:rPr>
                <w:sz w:val="15"/>
                <w:szCs w:val="15"/>
                <w:color w:val="auto"/>
              </w:rPr>
            </w:pPr>
          </w:p>
        </w:tc>
        <w:tc>
          <w:tcPr>
            <w:tcW w:w="2600" w:type="dxa"/>
            <w:vAlign w:val="bottom"/>
            <w:gridSpan w:val="20"/>
            <w:vMerge w:val="continue"/>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8"/>
              </w:rPr>
              <w:t>10.1†</w:t>
            </w:r>
          </w:p>
        </w:tc>
        <w:tc>
          <w:tcPr>
            <w:tcW w:w="4400" w:type="dxa"/>
            <w:vAlign w:val="bottom"/>
            <w:gridSpan w:val="2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Form of S Corporation Termination and Tax Sharing</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Agreement</w:t>
              </w:r>
            </w:hyperlink>
          </w:p>
        </w:tc>
        <w:tc>
          <w:tcPr>
            <w:tcW w:w="2980" w:type="dxa"/>
            <w:vAlign w:val="bottom"/>
            <w:tcBorders>
              <w:top w:val="single" w:sz="8" w:color="0000EE"/>
            </w:tcBorders>
            <w:gridSpan w:val="11"/>
          </w:tcPr>
          <w:p>
            <w:pPr>
              <w:spacing w:after="0"/>
              <w:rPr>
                <w:sz w:val="17"/>
                <w:szCs w:val="17"/>
                <w:color w:val="auto"/>
              </w:rPr>
            </w:pPr>
          </w:p>
        </w:tc>
        <w:tc>
          <w:tcPr>
            <w:tcW w:w="620" w:type="dxa"/>
            <w:vAlign w:val="bottom"/>
            <w:gridSpan w:val="1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10.2*</w:t>
            </w:r>
          </w:p>
        </w:tc>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Five Star Bancorp 2021 Equity Incentive Plan</w:t>
              </w:r>
            </w:hyperlink>
          </w:p>
        </w:tc>
        <w:tc>
          <w:tcPr>
            <w:tcW w:w="1080" w:type="dxa"/>
            <w:vAlign w:val="bottom"/>
            <w:gridSpan w:val="1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5"/>
              </w:rPr>
              <w:t>April 26,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10.3*</w:t>
            </w: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Form of Restricted Stock Vesting Agreement pursuant to</w:t>
              </w:r>
            </w:hyperlink>
          </w:p>
        </w:tc>
        <w:tc>
          <w:tcPr>
            <w:tcW w:w="3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Historical Incentive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4400" w:type="dxa"/>
            <w:vAlign w:val="bottom"/>
            <w:gridSpan w:val="27"/>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Form of Restricted Stock Vesting Agreement for Executives</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pursuant to the Five Star Bancorp 2021 Equity Incentive</w:t>
              </w:r>
            </w:hyperlink>
          </w:p>
        </w:tc>
        <w:tc>
          <w:tcPr>
            <w:tcW w:w="24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50">
              <w:r>
                <w:rPr>
                  <w:rFonts w:ascii="Arial" w:cs="Arial" w:eastAsia="Arial" w:hAnsi="Arial"/>
                  <w:sz w:val="18"/>
                  <w:szCs w:val="18"/>
                  <w:color w:val="0000EE"/>
                  <w:w w:val="83"/>
                </w:rPr>
                <w:t>Plan</w:t>
              </w:r>
            </w:hyperlink>
          </w:p>
        </w:tc>
        <w:tc>
          <w:tcPr>
            <w:tcW w:w="4080" w:type="dxa"/>
            <w:vAlign w:val="bottom"/>
            <w:gridSpan w:val="2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42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Form of Restricted Stock Vesting Agreement for Directors</w:t>
              </w:r>
            </w:hyperlink>
          </w:p>
        </w:tc>
        <w:tc>
          <w:tcPr>
            <w:tcW w:w="1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pursuant to the Five Star Bancorp 2021 Equity Incentive</w:t>
              </w:r>
            </w:hyperlink>
          </w:p>
        </w:tc>
        <w:tc>
          <w:tcPr>
            <w:tcW w:w="32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61">
              <w:r>
                <w:rPr>
                  <w:rFonts w:ascii="Arial" w:cs="Arial" w:eastAsia="Arial" w:hAnsi="Arial"/>
                  <w:sz w:val="18"/>
                  <w:szCs w:val="18"/>
                  <w:color w:val="0000EE"/>
                  <w:w w:val="83"/>
                </w:rPr>
                <w:t>Plan</w:t>
              </w:r>
            </w:hyperlink>
          </w:p>
        </w:tc>
        <w:tc>
          <w:tcPr>
            <w:tcW w:w="4080" w:type="dxa"/>
            <w:vAlign w:val="bottom"/>
            <w:gridSpan w:val="2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8"/>
              </w:rPr>
              <w:t>10.6†</w:t>
            </w:r>
          </w:p>
        </w:tc>
        <w:tc>
          <w:tcPr>
            <w:tcW w:w="42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Form of Subordinated Note Purchase Agreement for 6.0%</w:t>
              </w:r>
            </w:hyperlink>
          </w:p>
        </w:tc>
        <w:tc>
          <w:tcPr>
            <w:tcW w:w="2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Fixed-to-Floating Rate Subordinated Note Due 2027</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1"/>
              </w:rPr>
              <w:t>10.9</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42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Form of Subordinated Note Purchase Agreement for 5.5 %</w:t>
              </w:r>
            </w:hyperlink>
          </w:p>
        </w:tc>
        <w:tc>
          <w:tcPr>
            <w:tcW w:w="1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Fixed-to-Floating Rate Subordinated Note Due 2027</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10.8*</w:t>
            </w:r>
          </w:p>
        </w:tc>
        <w:tc>
          <w:tcPr>
            <w:tcW w:w="4400" w:type="dxa"/>
            <w:vAlign w:val="bottom"/>
            <w:gridSpan w:val="27"/>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Executive Employment Agreement, dated January 3, 2019,</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between Five Star Bank and James Beckwith</w:t>
              </w:r>
            </w:hyperlink>
          </w:p>
        </w:tc>
        <w:tc>
          <w:tcPr>
            <w:tcW w:w="16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1520" w:type="dxa"/>
            <w:vAlign w:val="bottom"/>
          </w:tcPr>
          <w:p>
            <w:pPr>
              <w:ind w:left="180"/>
              <w:spacing w:after="0" w:line="196" w:lineRule="exact"/>
              <w:rPr>
                <w:sz w:val="20"/>
                <w:szCs w:val="20"/>
                <w:color w:val="auto"/>
              </w:rPr>
            </w:pPr>
            <w:r>
              <w:rPr>
                <w:rFonts w:ascii="Arial" w:cs="Arial" w:eastAsia="Arial" w:hAnsi="Arial"/>
                <w:sz w:val="18"/>
                <w:szCs w:val="18"/>
                <w:color w:val="auto"/>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5"/>
              </w:rPr>
              <w:t>10.9*</w:t>
            </w:r>
          </w:p>
        </w:tc>
        <w:tc>
          <w:tcPr>
            <w:tcW w:w="4400" w:type="dxa"/>
            <w:vAlign w:val="bottom"/>
            <w:gridSpan w:val="27"/>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Five Star Bank Salary Continuation Agreement, dated</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8"/>
              </w:rPr>
              <w:t>Exhibit A</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September 1, 2007, as amended, between Five Star Bank</w:t>
              </w:r>
            </w:hyperlink>
          </w:p>
        </w:tc>
        <w:tc>
          <w:tcPr>
            <w:tcW w:w="3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7"/>
              </w:rPr>
              <w:t>of Exhibit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and James Beckwith</w:t>
              </w:r>
            </w:hyperlink>
          </w:p>
        </w:tc>
        <w:tc>
          <w:tcPr>
            <w:tcW w:w="2920" w:type="dxa"/>
            <w:vAlign w:val="bottom"/>
            <w:gridSpan w:val="2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333-255143</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152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April 9, 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21.1</w:t>
            </w:r>
          </w:p>
        </w:tc>
        <w:tc>
          <w:tcPr>
            <w:tcW w:w="21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Subsidiaries of the Registrant</w:t>
              </w:r>
            </w:hyperlink>
          </w:p>
        </w:tc>
        <w:tc>
          <w:tcPr>
            <w:tcW w:w="228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Consent of Moss Adams LLP</w:t>
              </w:r>
            </w:hyperlink>
          </w:p>
        </w:tc>
        <w:tc>
          <w:tcPr>
            <w:tcW w:w="22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4400" w:type="dxa"/>
            <w:vAlign w:val="bottom"/>
            <w:gridSpan w:val="27"/>
          </w:tcPr>
          <w:p>
            <w:pPr>
              <w:spacing w:after="0" w:line="196" w:lineRule="exact"/>
              <w:rPr>
                <w:rFonts w:ascii="Arial" w:cs="Arial" w:eastAsia="Arial" w:hAnsi="Arial"/>
                <w:sz w:val="18"/>
                <w:szCs w:val="18"/>
                <w:color w:val="0000EE"/>
                <w:w w:val="99"/>
              </w:rPr>
            </w:pPr>
            <w:hyperlink w:anchor="page172">
              <w:r>
                <w:rPr>
                  <w:rFonts w:ascii="Arial" w:cs="Arial" w:eastAsia="Arial" w:hAnsi="Arial"/>
                  <w:sz w:val="18"/>
                  <w:szCs w:val="18"/>
                  <w:color w:val="0000EE"/>
                  <w:w w:val="99"/>
                </w:rPr>
                <w:t>Certification of Chief Executive Officer pursuant to Rule</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13a-14(a)/15d-14(a), as adopted pursuant to Section 302 of</w:t>
              </w:r>
            </w:hyperlink>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the Sarbanes-Oxley Act of 2002</w:t>
              </w:r>
            </w:hyperlink>
          </w:p>
        </w:tc>
        <w:tc>
          <w:tcPr>
            <w:tcW w:w="20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40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173">
              <w:r>
                <w:rPr>
                  <w:rFonts w:ascii="Arial" w:cs="Arial" w:eastAsia="Arial" w:hAnsi="Arial"/>
                  <w:sz w:val="18"/>
                  <w:szCs w:val="18"/>
                  <w:color w:val="0000EE"/>
                  <w:w w:val="93"/>
                </w:rPr>
                <w:t>Certification of Chief Financial Officer pursuant to Rule</w:t>
              </w:r>
            </w:hyperlink>
          </w:p>
        </w:tc>
        <w:tc>
          <w:tcPr>
            <w:tcW w:w="34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13a-14(a)/15d-14(a), as adopted pursuant to Section 302 of</w:t>
              </w:r>
            </w:hyperlink>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the Sarbanes-Oxley Act of 2002</w:t>
              </w:r>
            </w:hyperlink>
          </w:p>
        </w:tc>
        <w:tc>
          <w:tcPr>
            <w:tcW w:w="208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4400" w:type="dxa"/>
            <w:vAlign w:val="bottom"/>
            <w:gridSpan w:val="2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Certification of Chief Executive Officer pursuant to 18</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1900" w:type="dxa"/>
            <w:vAlign w:val="bottom"/>
            <w:tcBorders>
              <w:right w:val="single" w:sz="8" w:color="0000EE"/>
            </w:tcBorders>
            <w:gridSpan w:val="10"/>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w w:val="91"/>
              </w:rPr>
            </w:pPr>
            <w:hyperlink w:anchor="page174">
              <w:r>
                <w:rPr>
                  <w:rFonts w:ascii="Arial" w:cs="Arial" w:eastAsia="Arial" w:hAnsi="Arial"/>
                  <w:sz w:val="18"/>
                  <w:szCs w:val="18"/>
                  <w:color w:val="0000EE"/>
                  <w:w w:val="91"/>
                </w:rPr>
                <w:t>U.S.C. Section 1350, as adopted pursuant to Section 906 of</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the Sarbanes-Oxley Act of 2002</w:t>
              </w:r>
            </w:hyperlink>
          </w:p>
        </w:tc>
        <w:tc>
          <w:tcPr>
            <w:tcW w:w="1920" w:type="dxa"/>
            <w:vAlign w:val="bottom"/>
            <w:tcBorders>
              <w:top w:val="single" w:sz="8" w:color="0000EE"/>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394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175">
              <w:r>
                <w:rPr>
                  <w:rFonts w:ascii="Arial" w:cs="Arial" w:eastAsia="Arial" w:hAnsi="Arial"/>
                  <w:sz w:val="18"/>
                  <w:szCs w:val="18"/>
                  <w:color w:val="0000EE"/>
                  <w:w w:val="93"/>
                </w:rPr>
                <w:t>Certification of Chief Financial Officer pursuant to 18</w:t>
              </w:r>
            </w:hyperlink>
          </w:p>
        </w:tc>
        <w:tc>
          <w:tcPr>
            <w:tcW w:w="4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2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U.S.C. Section 1350, as adopted by Section 906 of the</w:t>
              </w:r>
            </w:hyperlink>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ind w:left="460"/>
              <w:spacing w:after="0" w:line="196" w:lineRule="exact"/>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Sarbanes-Oxley Act of 2002</w:t>
              </w:r>
            </w:hyperlink>
          </w:p>
        </w:tc>
        <w:tc>
          <w:tcPr>
            <w:tcW w:w="4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360" w:type="dxa"/>
            <w:vAlign w:val="bottom"/>
            <w:gridSpan w:val="1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4400" w:type="dxa"/>
            <w:vAlign w:val="bottom"/>
            <w:gridSpan w:val="27"/>
          </w:tcPr>
          <w:p>
            <w:pPr>
              <w:spacing w:after="0"/>
              <w:rPr>
                <w:sz w:val="20"/>
                <w:szCs w:val="20"/>
                <w:color w:val="auto"/>
              </w:rPr>
            </w:pPr>
            <w:r>
              <w:rPr>
                <w:rFonts w:ascii="Arial" w:cs="Arial" w:eastAsia="Arial" w:hAnsi="Arial"/>
                <w:sz w:val="18"/>
                <w:szCs w:val="18"/>
                <w:color w:val="auto"/>
              </w:rPr>
              <w:t>Inline XBRL Interactive Data</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4400" w:type="dxa"/>
            <w:vAlign w:val="bottom"/>
            <w:gridSpan w:val="2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400" w:type="dxa"/>
            <w:vAlign w:val="bottom"/>
            <w:gridSpan w:val="27"/>
            <w:vMerge w:val="restart"/>
          </w:tcPr>
          <w:p>
            <w:pPr>
              <w:spacing w:after="0"/>
              <w:rPr>
                <w:sz w:val="20"/>
                <w:szCs w:val="20"/>
                <w:color w:val="auto"/>
              </w:rPr>
            </w:pPr>
            <w:r>
              <w:rPr>
                <w:rFonts w:ascii="Arial" w:cs="Arial" w:eastAsia="Arial" w:hAnsi="Arial"/>
                <w:sz w:val="18"/>
                <w:szCs w:val="18"/>
                <w:color w:val="auto"/>
              </w:rPr>
              <w:t>Inline XBRL document in Exhibit 101)</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400" w:type="dxa"/>
            <w:vAlign w:val="bottom"/>
            <w:gridSpan w:val="27"/>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 to</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furnish a copy of all omitted exhibits and schedules to the SEC upon its request.</w:t>
      </w:r>
    </w:p>
    <w:p>
      <w:pPr>
        <w:spacing w:after="0" w:line="9"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538"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FIVE STAR BANCORP</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Dated: February 25, 2022</w:t>
            </w:r>
          </w:p>
        </w:tc>
        <w:tc>
          <w:tcPr>
            <w:tcW w:w="22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Beckwith</w:t>
            </w:r>
          </w:p>
        </w:tc>
      </w:tr>
      <w:tr>
        <w:trPr>
          <w:trHeight w:val="195"/>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James E. Beckwith</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80" w:type="dxa"/>
            <w:vAlign w:val="bottom"/>
          </w:tcPr>
          <w:p>
            <w:pPr>
              <w:spacing w:after="0"/>
              <w:rPr>
                <w:sz w:val="24"/>
                <w:szCs w:val="24"/>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5280" w:type="dxa"/>
            <w:vAlign w:val="bottom"/>
          </w:tcPr>
          <w:p>
            <w:pPr>
              <w:spacing w:after="0"/>
              <w:rPr>
                <w:sz w:val="24"/>
                <w:szCs w:val="24"/>
                <w:color w:val="auto"/>
              </w:rPr>
            </w:pPr>
          </w:p>
        </w:tc>
      </w:tr>
      <w:tr>
        <w:trPr>
          <w:trHeight w:val="128"/>
        </w:trPr>
        <w:tc>
          <w:tcPr>
            <w:tcW w:w="3680" w:type="dxa"/>
            <w:vAlign w:val="bottom"/>
            <w:tcBorders>
              <w:bottom w:val="single" w:sz="8" w:color="DCDCDC"/>
            </w:tcBorders>
          </w:tcPr>
          <w:p>
            <w:pPr>
              <w:spacing w:after="0"/>
              <w:rPr>
                <w:sz w:val="11"/>
                <w:szCs w:val="11"/>
                <w:color w:val="auto"/>
              </w:rPr>
            </w:pPr>
          </w:p>
        </w:tc>
        <w:tc>
          <w:tcPr>
            <w:tcW w:w="2280" w:type="dxa"/>
            <w:vAlign w:val="bottom"/>
            <w:tcBorders>
              <w:bottom w:val="single" w:sz="8" w:color="DCDCDC"/>
            </w:tcBorders>
          </w:tcPr>
          <w:p>
            <w:pPr>
              <w:spacing w:after="0"/>
              <w:rPr>
                <w:sz w:val="11"/>
                <w:szCs w:val="11"/>
                <w:color w:val="auto"/>
              </w:rPr>
            </w:pPr>
          </w:p>
        </w:tc>
        <w:tc>
          <w:tcPr>
            <w:tcW w:w="528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1"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2840" w:type="dxa"/>
            <w:vAlign w:val="bottom"/>
          </w:tcPr>
          <w:p>
            <w:pPr>
              <w:spacing w:after="0"/>
              <w:rPr>
                <w:sz w:val="17"/>
                <w:szCs w:val="17"/>
                <w:color w:val="auto"/>
              </w:rPr>
            </w:pP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Title</w:t>
            </w:r>
          </w:p>
        </w:tc>
        <w:tc>
          <w:tcPr>
            <w:tcW w:w="224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4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73"/>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E. Beckwith</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 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James E. Beckwith</w:t>
            </w:r>
          </w:p>
        </w:tc>
        <w:tc>
          <w:tcPr>
            <w:tcW w:w="572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Heather C. Luck</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Heather C. Luck</w:t>
            </w:r>
          </w:p>
        </w:tc>
        <w:tc>
          <w:tcPr>
            <w:tcW w:w="572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Lucchetti</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Chair of the Board and 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David J. Lucchetti</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F. Nickum</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Vice Chair of the Board and 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David F. Nickum</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E. Allbaugh</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Larry E. Allbaugh</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Campbell</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Michael D. Campbell</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Shannon Deary-Bell</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Shannon Deary-Bell</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P. Kashiwagi</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Warren P. Kashiwagi</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Donna L. Lucas</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Donna L. Lucas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T. Perry-Smith</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Robert T. Perry-Smith</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Ramos</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Kevin F. Ramos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25"/>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Randall E. Reynoso</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Randall E. Reynoso</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8"/>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Judson T. Riggs</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Judson T. Riggs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Leigh A. White</w:t>
            </w:r>
          </w:p>
        </w:tc>
        <w:tc>
          <w:tcPr>
            <w:tcW w:w="57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2"/>
          </w:tcPr>
          <w:p>
            <w:pPr>
              <w:spacing w:after="0"/>
              <w:rPr>
                <w:sz w:val="20"/>
                <w:szCs w:val="20"/>
                <w:color w:val="auto"/>
              </w:rPr>
            </w:pPr>
            <w:r>
              <w:rPr>
                <w:rFonts w:ascii="Arial" w:cs="Arial" w:eastAsia="Arial" w:hAnsi="Arial"/>
                <w:sz w:val="18"/>
                <w:szCs w:val="18"/>
                <w:color w:val="auto"/>
              </w:rPr>
              <w:t>February 25, 2022</w:t>
            </w: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Leigh A. White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720" w:type="dxa"/>
            <w:vAlign w:val="bottom"/>
            <w:gridSpan w:val="3"/>
          </w:tcPr>
          <w:p>
            <w:pPr>
              <w:ind w:left="222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28"/>
        </w:trPr>
        <w:tc>
          <w:tcPr>
            <w:tcW w:w="440" w:type="dxa"/>
            <w:vAlign w:val="bottom"/>
            <w:tcBorders>
              <w:bottom w:val="single" w:sz="8" w:color="DCDCDC"/>
            </w:tcBorders>
          </w:tcPr>
          <w:p>
            <w:pPr>
              <w:spacing w:after="0"/>
              <w:rPr>
                <w:sz w:val="11"/>
                <w:szCs w:val="11"/>
                <w:color w:val="auto"/>
              </w:rPr>
            </w:pPr>
          </w:p>
        </w:tc>
        <w:tc>
          <w:tcPr>
            <w:tcW w:w="284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528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19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February 23,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Principal Office</w:t>
      </w:r>
      <w:r>
        <w:rPr>
          <w:rFonts w:ascii="Arial" w:cs="Arial" w:eastAsia="Arial" w:hAnsi="Arial"/>
          <w:sz w:val="17"/>
          <w:szCs w:val="17"/>
          <w:b w:val="1"/>
          <w:bCs w:val="1"/>
          <w:color w:val="auto"/>
        </w:rPr>
        <w:t xml:space="preserve">. </w:t>
      </w:r>
      <w:r>
        <w:rPr>
          <w:rFonts w:ascii="Arial" w:cs="Arial" w:eastAsia="Arial" w:hAnsi="Arial"/>
          <w:sz w:val="17"/>
          <w:szCs w:val="17"/>
          <w:color w:val="auto"/>
        </w:rPr>
        <w:t>The principal executive office of the corporation is hereby located at such place as the board of directors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Board is hereby granted full power and authority to change said principal executive office from one location to another.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Other Offices</w:t>
      </w:r>
      <w:r>
        <w:rPr>
          <w:rFonts w:ascii="Arial" w:cs="Arial" w:eastAsia="Arial" w:hAnsi="Arial"/>
          <w:sz w:val="17"/>
          <w:szCs w:val="17"/>
          <w:b w:val="1"/>
          <w:bCs w:val="1"/>
          <w:color w:val="auto"/>
        </w:rPr>
        <w:t xml:space="preserve">. </w:t>
      </w:r>
      <w:r>
        <w:rPr>
          <w:rFonts w:ascii="Arial" w:cs="Arial" w:eastAsia="Arial" w:hAnsi="Arial"/>
          <w:sz w:val="17"/>
          <w:szCs w:val="17"/>
          <w:color w:val="auto"/>
        </w:rPr>
        <w:t>Other business offices may, at any time, be established by the Board at such other places as it deems appropriate.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Shareholders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shareholders may be held at such place within or outside the state of California, or at no place, as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by means of remote communication. In the absence of any such designation, shareholders’ meetings shall be held at the principal executive office of the corporation.</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 The annual meeting of shareholders shall be held for the election of directors on a date and at a time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 date so designated shall be within fifteen months after the last annual meeting. At such meeting, directors shall be elected, and any other proper business within the power of the shareholders may be transacted. The Board may postpone, reschedule or cancel any annual meeting.</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permitted by applicable law, nominations of persons for election to the Board and the proposal of business to be considered by the shareholders may be made at a meeting of shareholders: (i) pursuant to the corporation’s notice of meeting of shareholders (with respect to business other than nominations); (ii) brought specifically by or at the direction of the Board; or (iii) by any shareholder of the corporation who was a shareholder of record at the time of giving the shareholder’s notice provided in the following paragraph, who is entitled to vote at the meeting and who complied with the notice procedures set forth in this Section 2.2. For the avoidance of doubt, clause (iii) above shall be the exclusive means for a shareholder to make nominations and submit other business (other than matters properly included in the corporation’s notice of meeting of shareholders and proxy statement under Rule 14a-8 under the Securities Exchange Act of 1934, as amended, and the rules and regulations thereunder (the “1934 Act”)) before an annual meeting of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firstLine="332"/>
        <w:spacing w:after="0" w:line="277" w:lineRule="auto"/>
        <w:tabs>
          <w:tab w:leader="none" w:pos="5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an annual meeting of the shareholders, only such business shall be conducted as is a proper matter for shareholder action under California law and as shall have been properly brought before the meeting in accordance with the procedures below.</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 nominations for the election to the Board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nominee such shareholder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that such nominee agrees to tender an irrevocable resignation to the secretary, to be effective upon (x) such person’s failure to receive the required vote for re-election in any uncontested election at which such person would face re-election and (y) acceptance of such resignation by the Board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(including such person’s written consent to being named as a nominee and to serving as a director if elected); and (B) the information required by Section 2.2(b)(iv). The corporation may require any proposed nominee to furnish such other information as it may reasonably require to determine the eligibility of such proposed nominee to serve as an independent director of the corporation or that could be material to a reasonable shareholder’s understanding of the independence, or lack thereof, of such proposed nominee.</w:t>
      </w:r>
    </w:p>
    <w:p>
      <w:pPr>
        <w:spacing w:after="0" w:line="170" w:lineRule="exact"/>
        <w:rPr>
          <w:rFonts w:ascii="Arial" w:cs="Arial" w:eastAsia="Arial" w:hAnsi="Arial"/>
          <w:sz w:val="16"/>
          <w:szCs w:val="16"/>
          <w:color w:val="auto"/>
        </w:rPr>
      </w:pPr>
    </w:p>
    <w:p>
      <w:pPr>
        <w:jc w:val="both"/>
        <w:ind w:firstLine="656"/>
        <w:spacing w:after="0" w:line="290" w:lineRule="auto"/>
        <w:tabs>
          <w:tab w:leader="none" w:pos="918" w:val="left"/>
        </w:tabs>
        <w:numPr>
          <w:ilvl w:val="1"/>
          <w:numId w:val="35"/>
        </w:numPr>
        <w:rPr>
          <w:rFonts w:ascii="Arial" w:cs="Arial" w:eastAsia="Arial" w:hAnsi="Arial"/>
          <w:sz w:val="16"/>
          <w:szCs w:val="16"/>
          <w:color w:val="auto"/>
        </w:rPr>
      </w:pPr>
      <w:r>
        <w:rPr>
          <w:rFonts w:ascii="Arial" w:cs="Arial" w:eastAsia="Arial" w:hAnsi="Arial"/>
          <w:sz w:val="16"/>
          <w:szCs w:val="16"/>
          <w:color w:val="auto"/>
        </w:rPr>
        <w:t>Other than proposals sought to be included in the corporation’s proxy materials pursuant to Rule 14a-8 under the 1934 Act, for business other than nominations for the election to the Board of Directors to be properly brought before an annual meeting by a shareholder pursuant to clause (iii) of Section 2.2(a) of these bylaws, the shareholder must deliver written notice to the secretary at the principal executive offices of the corporation on a timely basis as set forth in Section 2.2(b)(iii), and must update and supplement such written notice on a timely basis as set forth in Section 2.2(c). Such shareholder’s notice shall set forth: (A) as to each matter such shareholder proposes to bring before the meeting, a brief description of the business desired to be brought before the meeting, the reasons for conducting such business at the meeting, and any material interest in such business of any Proponent (as defined below) (including any anticipated benefit of such business to any Proponent other than solely as a result of its ownership of the corporation’s capital stock, that is material to any Proponent individually, or to the Proponents in the aggregate); and (B) the information required by Section 2.2(b)(iv).</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3" w:name="page124"/>
    <w:bookmarkEnd w:id="123"/>
    <w:p>
      <w:pPr>
        <w:jc w:val="both"/>
        <w:ind w:firstLine="656"/>
        <w:spacing w:after="0" w:line="290" w:lineRule="auto"/>
        <w:tabs>
          <w:tab w:leader="none" w:pos="968"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be timely, the written notice required by Section 2.2(b)(i) or 2.2(b)(ii) must be received by the secretary at the principal executive offices of the corporation not later than the close of business on the 90th day nor earlier than the close of business on the 120th day prior to the first anniversary of the preceding year’s annual meeting; provided that, subject to the last sentence of this Section 2.2(b)(iii), in the event that the date of the annual meeting is advanced more than 30 days prior to or delayed by more than 30 days after the anniversary of the preceding year’s annual meeting, notice by the shareholder to be timely must be so received (A) not earlier than the close of business on the 120th day prior to such annual meeting and (B) not later than the close of business on the later of the 90th day prior to such annual meeting or the tenth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shareholder’s notice as described above.</w:t>
      </w:r>
    </w:p>
    <w:p>
      <w:pPr>
        <w:spacing w:after="0" w:line="165" w:lineRule="exact"/>
        <w:rPr>
          <w:rFonts w:ascii="Arial" w:cs="Arial" w:eastAsia="Arial" w:hAnsi="Arial"/>
          <w:sz w:val="16"/>
          <w:szCs w:val="16"/>
          <w:color w:val="auto"/>
        </w:rPr>
      </w:pPr>
    </w:p>
    <w:p>
      <w:pPr>
        <w:jc w:val="both"/>
        <w:ind w:firstLine="656"/>
        <w:spacing w:after="0" w:line="286" w:lineRule="auto"/>
        <w:tabs>
          <w:tab w:leader="none" w:pos="95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written notice required by Section 2.2(b)(i) or 2.2(b)(ii) shall also set forth, as of the date of the notice and as to the shareholder giving the notice and the beneficial owner, if any, on whose behalf the nomination or proposal is made (each, a “Proponent” and collectively, the “Proponents”):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2.2(b)(i)) or to propose the business that is specified in the notice (with respect to a notice under Section 2.2(b)(ii)); (E) a representation as to whether the Proponents intend to deliver a proxy statement and form of proxy to holders of a sufficient number of holders of the corporation’s voting shares to elect such nominee or nominees (with respect to a notice under Section 2.2(b)(i)) or to carry such proposal (with respect to a notice under Section 2.2(b)(ii)); (F) to the extent known by any Proponent, the name and address of any other shareholder supporting the proposal on the date of such shareholder’s notice; and (G) a description of all Derivative Transactions (as defined below) by each Proponent during the previous twelve month period, including the date of the transactions and the class, series and number of securities involved in, and the material economic terms of, such Derivative Transactions.</w:t>
      </w:r>
    </w:p>
    <w:p>
      <w:pPr>
        <w:spacing w:after="0" w:line="170" w:lineRule="exact"/>
        <w:rPr>
          <w:rFonts w:ascii="Arial" w:cs="Arial" w:eastAsia="Arial" w:hAnsi="Arial"/>
          <w:sz w:val="16"/>
          <w:szCs w:val="16"/>
          <w:color w:val="auto"/>
        </w:rPr>
      </w:pPr>
    </w:p>
    <w:p>
      <w:pPr>
        <w:jc w:val="both"/>
        <w:ind w:firstLine="332"/>
        <w:spacing w:after="0" w:line="271" w:lineRule="auto"/>
        <w:tabs>
          <w:tab w:leader="none" w:pos="5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shareholder providing written notice required by Section 2.2(b)(i) or 2.2(b)(ii)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Section 2.2(c), such update and supplement shall be received by the secretary at the principal executive offices of the corporation not later than five business days after the record date for the meeting. In the case of an update and supplement pursuant to clause (ii) of this Section 2.2(c),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4" w:name="page125"/>
    <w:bookmarkEnd w:id="124"/>
    <w:p>
      <w:pPr>
        <w:jc w:val="both"/>
        <w:ind w:left="-332" w:firstLine="332"/>
        <w:spacing w:after="0" w:line="254" w:lineRule="auto"/>
        <w:tabs>
          <w:tab w:leader="none" w:pos="2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in Section 2.2(b)(iii) to the contrary, in the event that the number of directors of the Board of the corporation is increased and there is no public announcement of the appointment of a director, or, if no appointment was made, of the vacancy, made by the corporation at least ten days before the last day a shareholder may deliver a notice of nomination in accordance with Section 2.2(b)(iii), a shareholder’s notice required by this Section 2.2 and which complies with the requirements in Section 2.2(b)(i), other than the timing requirements in Section 2.2(b)(iii),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94" w:lineRule="exact"/>
        <w:rPr>
          <w:rFonts w:ascii="Arial" w:cs="Arial" w:eastAsia="Arial" w:hAnsi="Arial"/>
          <w:sz w:val="18"/>
          <w:szCs w:val="18"/>
          <w:color w:val="auto"/>
        </w:rPr>
      </w:pPr>
    </w:p>
    <w:p>
      <w:pPr>
        <w:jc w:val="both"/>
        <w:ind w:left="-332" w:firstLine="332"/>
        <w:spacing w:after="0" w:line="254" w:lineRule="auto"/>
        <w:tabs>
          <w:tab w:leader="none" w:pos="2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person shall not be eligible for election as a director unless the person is nominated either in accordance with clause (ii) of Section 2.2(a), or in accordance with clause (iii) of Section 2.2(a).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2.2(b)(iv)(D) and 2.2(b)(iv)(E), to declare that such proposal or nomination shall not be presented for shareholder action at the meeting and shall be disregarded, notwithstanding that proxies in respect of such nominations or such business may have been solicited or received.</w:t>
      </w:r>
    </w:p>
    <w:p>
      <w:pPr>
        <w:spacing w:after="0" w:line="194" w:lineRule="exact"/>
        <w:rPr>
          <w:rFonts w:ascii="Arial" w:cs="Arial" w:eastAsia="Arial" w:hAnsi="Arial"/>
          <w:sz w:val="18"/>
          <w:szCs w:val="18"/>
          <w:color w:val="auto"/>
        </w:rPr>
      </w:pPr>
    </w:p>
    <w:p>
      <w:pPr>
        <w:jc w:val="both"/>
        <w:ind w:left="-332" w:firstLine="332"/>
        <w:spacing w:after="0" w:line="275" w:lineRule="auto"/>
        <w:tabs>
          <w:tab w:leader="none" w:pos="2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2.2, in order to include information with respect to a shareholder proposal in the proxy statement and form of proxy for a shareholders’ meeting, a shareholder must also comply with all applicable requirements of the 1934 Act. Nothing in these bylaws shall be deemed to affect any rights of shareholders to request inclusion of proposals in the corporation’s proxy statement pursuant to Rule 14a-8 under the 1934 Act; provided that any references in these bylaws to the 1934 Act are not intended to and shall not limit the requirements applicable to proposals and/or nominations to be considered pursuant to Section 2.2(a)(iii) of these bylaws.</w:t>
      </w:r>
    </w:p>
    <w:p>
      <w:pPr>
        <w:spacing w:after="0" w:line="176" w:lineRule="exact"/>
        <w:rPr>
          <w:rFonts w:ascii="Arial" w:cs="Arial" w:eastAsia="Arial" w:hAnsi="Arial"/>
          <w:sz w:val="17"/>
          <w:szCs w:val="17"/>
          <w:color w:val="auto"/>
        </w:rPr>
      </w:pPr>
    </w:p>
    <w:p>
      <w:pPr>
        <w:ind w:left="248" w:hanging="248"/>
        <w:spacing w:after="0"/>
        <w:tabs>
          <w:tab w:leader="none" w:pos="2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Section 2.2,</w:t>
      </w:r>
    </w:p>
    <w:p>
      <w:pPr>
        <w:spacing w:after="0" w:line="225" w:lineRule="exact"/>
        <w:rPr>
          <w:rFonts w:ascii="Arial" w:cs="Arial" w:eastAsia="Arial" w:hAnsi="Arial"/>
          <w:sz w:val="18"/>
          <w:szCs w:val="18"/>
          <w:color w:val="auto"/>
        </w:rPr>
      </w:pPr>
    </w:p>
    <w:p>
      <w:pPr>
        <w:ind w:left="-332" w:firstLine="656"/>
        <w:spacing w:after="0" w:line="277" w:lineRule="auto"/>
        <w:tabs>
          <w:tab w:leader="none" w:pos="5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“affiliates” and “associates” shall have the meanings set forth in Rule 405 under the Securities Act of 1933, as amended, and Rule 12b-2 under the 1934 Act.</w:t>
      </w:r>
    </w:p>
    <w:p>
      <w:pPr>
        <w:spacing w:after="0" w:line="170" w:lineRule="exact"/>
        <w:rPr>
          <w:rFonts w:ascii="Arial" w:cs="Arial" w:eastAsia="Arial" w:hAnsi="Arial"/>
          <w:sz w:val="18"/>
          <w:szCs w:val="18"/>
          <w:color w:val="auto"/>
        </w:rPr>
      </w:pPr>
    </w:p>
    <w:p>
      <w:pPr>
        <w:ind w:left="-332" w:firstLine="656"/>
        <w:spacing w:after="0" w:line="277" w:lineRule="auto"/>
        <w:tabs>
          <w:tab w:leader="none" w:pos="58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“Derivative Transaction” means any agreement, arrangement, interest or understanding entered into by, or on behalf or for the benefit of, any Proponent or any of its affiliates or associates, whether record or beneficial:</w:t>
      </w:r>
    </w:p>
    <w:p>
      <w:pPr>
        <w:spacing w:after="0" w:line="170" w:lineRule="exact"/>
        <w:rPr>
          <w:rFonts w:ascii="Arial" w:cs="Arial" w:eastAsia="Arial" w:hAnsi="Arial"/>
          <w:sz w:val="18"/>
          <w:szCs w:val="18"/>
          <w:color w:val="auto"/>
        </w:rPr>
      </w:pPr>
    </w:p>
    <w:p>
      <w:pPr>
        <w:ind w:left="5248" w:right="140" w:hanging="4276"/>
        <w:spacing w:after="0" w:line="527" w:lineRule="auto"/>
        <w:tabs>
          <w:tab w:leader="none" w:pos="1268"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value of which is derived in whole or in part from the value of any class or series of shares or other securities of the corporation,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-87630</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125" w:name="page126"/>
    <w:bookmarkEnd w:id="125"/>
    <w:p>
      <w:pPr>
        <w:ind w:firstLine="1304"/>
        <w:spacing w:after="0" w:line="277" w:lineRule="auto"/>
        <w:tabs>
          <w:tab w:leader="none" w:pos="16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which otherwise provides any direct or indirect opportunity to gain or share in any gain derived from a change in the value of securities of the corporation,</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64" w:lineRule="exact"/>
        <w:rPr>
          <w:rFonts w:ascii="Arial" w:cs="Arial" w:eastAsia="Arial" w:hAnsi="Arial"/>
          <w:sz w:val="16"/>
          <w:szCs w:val="16"/>
          <w:color w:val="auto"/>
        </w:rPr>
      </w:pPr>
    </w:p>
    <w:p>
      <w:pPr>
        <w:jc w:val="both"/>
        <w:ind w:firstLine="656"/>
        <w:spacing w:after="0" w:line="263" w:lineRule="auto"/>
        <w:tabs>
          <w:tab w:leader="none" w:pos="9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announcement” shall mean disclosure in a press release reported by the Dow Jones News Service, Associated Press or comparable national news service or in a document publicly filed by the corporation with the United States Securities and Exchange Commission (the “SEC”) pursuant to Section 13, 14 or 15(d) of the 1934 Act.</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shareholders may be called at any time by the Board, the chairperson of the Board, the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by the holders of shares entitled to cast not less than ten percent of the votes at such meeting. If a special meeting is called by any person or persons other than the Board, the request shall be in writing, specifying the time and place of such meeting and the general nature of the business proposed to be transacted, and shall be delivered personally or by registered mail to the chairperson of the Board, the president, any vice president or the secretary of the corporation. The officer receiving the request shall cause notice to be promptly given to the shareholders entitled to vote that a meeting will be held at a time requested by the person or persons calling the meeting, not less than 35 nor more than 60 days after receipt of the request. If the notice is not given within 20 days after receipt of the request, the person or persons requesting the meeting may give the notice. Nothing in this paragraph shall be construed as limiting, fixing or affecting the time when a meeting of shareholders called by action of the Board may be held.</w:t>
      </w:r>
    </w:p>
    <w:p>
      <w:pPr>
        <w:spacing w:after="0" w:line="15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notice, in accordance with Section 2.5, of each annual or special meeting of shareholders shall be given not</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ten nor more than 60 days before the date of the meeting to each shareholder entitled to vote thereat. Such notice shall state the place, date and hour of the meeting and (a) in the case of a special meeting, the general nature of the business to be transacted, and no other business may be transacted, or</w:t>
      </w:r>
    </w:p>
    <w:p>
      <w:pPr>
        <w:spacing w:after="0" w:line="2" w:lineRule="exact"/>
        <w:rPr>
          <w:sz w:val="20"/>
          <w:szCs w:val="20"/>
          <w:color w:val="auto"/>
        </w:rPr>
      </w:pPr>
    </w:p>
    <w:p>
      <w:pPr>
        <w:jc w:val="both"/>
        <w:ind w:firstLine="8"/>
        <w:spacing w:after="0" w:line="302" w:lineRule="auto"/>
        <w:tabs>
          <w:tab w:leader="none" w:pos="2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the annual meeting, those matters which the Board, at the time of the mailing of the notice, intends to present for action by the shareholders, but, subject to the provisions of applicable law, any proper matter may be presented at the meeting for such action. The notice of any meeting at which directors are to be elected shall include the names of nominees intended at the time of the notice to be presented by the Board for election.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6" w:name="page127"/>
    <w:bookmarkEnd w:id="126"/>
    <w:p>
      <w:pPr>
        <w:jc w:val="both"/>
        <w:spacing w:after="0" w:line="275" w:lineRule="auto"/>
        <w:rPr>
          <w:sz w:val="20"/>
          <w:szCs w:val="20"/>
          <w:color w:val="auto"/>
        </w:rPr>
      </w:pPr>
      <w:r>
        <w:rPr>
          <w:rFonts w:ascii="Arial" w:cs="Arial" w:eastAsia="Arial" w:hAnsi="Arial"/>
          <w:sz w:val="17"/>
          <w:szCs w:val="17"/>
          <w:color w:val="auto"/>
        </w:rPr>
        <w:t>If action is proposed to be taken at any meeting for approval of (a) a contract or transaction in which a director has a direct or indirect financial interest, pursuant to Section 310 of the California Corporations Code, as amended (the “Code”), (b) an amendment of the articles of incorporation, pursuant to Section 902 of the Code, (c) a reorganization of the corporation, pursuant to Section 1201 of the Code, (d) a voluntary dissolution of the corporation, pursuant to Section 1900 of the Code, or (e) a distribution in dissolution other than in accordance with the rights of outstanding preferred shares, pursuant to Section 2007 of the Code, the notice shall also state the general nature of that proposal.</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Manner of Giving Notice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 shareholders’ meeting shall be given either in writing or by electronic transmission. If mailed, notice is</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deposited in the United States mail, postage prepaid, directed to the shareholder at the shareholder’s address as it appears on the records of the corporation. If sent via electronic transmission, notice is given as of the sending time recorded at the time of transmission. Notice of the time, place, if any, and purpose of any meeting of shareholders (to the extent required) may be waived in writing, signed by the person entitled to notice thereof, or by electronic transmission by such person, either before or after such meeting, and will be waived by any shareholder by his or her attendance thereat in person, by remote communication, if applicable, or by proxy, except when the shareholder attends a meeting for the express purpose of objecting, at the beginning of the meeting, to the transaction of any business because the meeting is not lawfully called or convened. Any shareholder so waiving notice of such meeting shall be bound by the proceedings of any such meeting in all respects as if due notice thereof had been given.</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shares entitled to vote represented in person or by proxy, shall constitute a quorum at any meeting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present at a duly called or held meeting at which a quorum is present may continue to transact business until adjournment notwithstanding the withdrawal of enough shareholders to leave less than a quorum, if any action taken (other than adjournment) is approved by at least a majority of the shares required to constitute a quorum.</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Adjourned Meeting and Notice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shareholders’ meeting, whether or not a quorum is present, may be adjourned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either by the chairperson of the meeting or by the vote of a majority of the shares represented either in person or by proxy at the meeting. At the adjourned meeting, the corporation may transact any business that might have been transacted at the original meeting.</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any meeting of shareholders, either annual or special, is adjourned to another time or place, notice need not be given of the adjourned meeting if the time and place are announced at the meeting at which the adjournment is taken. However, when any shareholders’ meeting is adjourned for more than 45 days from the date set for the original meeting, or, if after adjournment a new record date is fixed for the adjourned meeting, notice of the adjourned meeting shall be given to each shareholder of record entitled to vote at the meeting.</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entitled to notice of any meeting or to vote at any such meeting shall be only persons in whose name shares stand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records of the corporation as of the record date determined in accordance with Section 2.9. Every person entitled to vote shall have the right to do so either in person, by remote communication, if applicable, or by an agent or agents authorized by a proxy granted in accordance with Section 2.12. An agent so appointed need not be a shareholder.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Voting of shares of the corporation shall in all cases be subject to the provisions of Sections 700 through 711, inclusive, of the Code.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any matter any shareholder may vote part of the shares in favor of the proposal and refrain from voting the remaining shares or vote them against the proposal (other than the election of directors), but, if the shareholder fails to specify the number of shares which the shareholder is voting affirmatively, it will be conclusively presumed that the shareholder’s approving vote is with respect to all shares that the shareholder is entitled to vote. If a quorum is present, the affirmative vote of the majority of the shares represented at the meeting and entitled to vote on any matter (which shares voting affirmatively shall also constitute at least a majority of the required quorum), other than the election of directors, shall be the act of the shareholders, unless the vote of a greater number or voting by classes is required by the Code or by the articles of incorporation.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are prohibited from cumulating their votes in any election of directors of the corporation. In any election of directors, the candidates receiving the highest number of affirmative votes of the shares entitled to be voted for them, up to the number of directors to be elected, shall be elected. Votes against the director and votes withheld shall have no legal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Record Date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hanging="652"/>
        <w:spacing w:after="0" w:line="28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Board may fix, in advance, a record date for the determination of the shareholders entitled to notice of any meeting or to vote or entitled to give written consent to corporate action without a meeting. The record date so fixed shall be not more than 60 days nor less than ten days prior to the date of the meeting. When a record date is so fixed, only shareholders of record on that date are entitled to notice of and to vote at the meeting or to give written consent to corporate action without a meeting, as the case may be, notwithstanding any transfer of shares on the books of the corporation after the record date. A record date for a meeting of shareholders shall apply to any adjournment of the meeting unless the Board fixes a new record date for the adjourned meeting. The Board shall fix a new record date if the meeting is adjourned for more than 45 days. If no record date is fixed by the Board, (i) the record date for determining shareholders entitled to notice of or to vote at a meeting of shareholders shall be at the close of business on the business day preceding the day on which notice of the meeting is given or, if notice is waived, the close of business on the business day preceding the day on which the meeting is held, and (ii) the record date for determining shareholders entitled to give consent pursuant to Section 2.11, when no prior action by the Board has been taken, shall be the day on which the first written consent is given.</w:t>
      </w:r>
    </w:p>
    <w:p>
      <w:pPr>
        <w:spacing w:after="0" w:line="168" w:lineRule="exact"/>
        <w:rPr>
          <w:rFonts w:ascii="Arial" w:cs="Arial" w:eastAsia="Arial" w:hAnsi="Arial"/>
          <w:sz w:val="16"/>
          <w:szCs w:val="16"/>
          <w:color w:val="auto"/>
        </w:rPr>
      </w:pPr>
    </w:p>
    <w:p>
      <w:pPr>
        <w:jc w:val="both"/>
        <w:ind w:left="660" w:hanging="652"/>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may fix, in advance, a record date for the determination of the shareholders entitled to receive payment of any dividend or other distribution, or allotment of any rights, or to exercise any rights in respect of any other lawful action. The record date so fixed shall be not more than 60 days prior to any such action. When a record date is so fixed, only shareholders of record on that date are entitled to receive the dividend, distribution, or allotment of rights, or to exercise rights, as the case may be, notwithstanding any transfer of shares on the books of the corporation after the record date. If no record date is fixed by the Board, the record date for determining shareholders for any such purpose shall be at the close of business on the day on which the Board adopts the resolution relating thereto, or the 60th day prior to the date of such other action, whichever is later.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Consent of Absentees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of any meeting of shareholders, however called and noticed, and wherever held, are as valid as</w:t>
      </w:r>
      <w:r>
        <w:rPr>
          <w:rFonts w:ascii="Arial" w:cs="Arial" w:eastAsia="Arial" w:hAnsi="Arial"/>
          <w:sz w:val="17"/>
          <w:szCs w:val="17"/>
          <w:b w:val="1"/>
          <w:bCs w:val="1"/>
          <w:color w:val="auto"/>
        </w:rPr>
        <w:t xml:space="preserve"> </w:t>
      </w:r>
      <w:r>
        <w:rPr>
          <w:rFonts w:ascii="Arial" w:cs="Arial" w:eastAsia="Arial" w:hAnsi="Arial"/>
          <w:sz w:val="17"/>
          <w:szCs w:val="17"/>
          <w:color w:val="auto"/>
        </w:rPr>
        <w:t>though had at a meeting duly held after regular call and notice, if a quorum is present either in person or by proxy, and if, either before or after the meeting, each of the persons entitled to vote, who was not present in person or by proxy, signs a written waiver of notice, or a consent to the holding of the meeting or an approval of the minutes thereof. All such waivers, consents or approvals shall be filed with the corporate records or made a part of the minutes of the meeting. Attendance of a person at a meeting shall constitute a waiver of notice of and presence at such meeting, except when the person objects, at the beginning of the meeting, to the transaction of any business because the meeting is not lawfully called or convened and except that attendance at a meeting is not a waiver of any right to object to the consideration of matters required by the Code to be included in the notice but not so included, if such objection is expressly made at the meeting. Neither the business to be transacted at, nor the purpose of, any regular or special meeting of shareholders need be specified in any written waiver of notice, consent to the holding of the meeting or approval of the minutes of the meeting, except that if action is taken or proposed to be taken for approval of any of those matters specified in the second paragraph of Section 2.4, the waiver of notice, consent or approval shall state the general nature of the proposal.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Action by Written Consent Without a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603 of the Code, any action which may be taken at any annual or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shareholders may be taken without a meeting and without prior notice if a consent in writing, setting forth the action so taken, is signed by the holders of the outstanding shares, or their proxies,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provided that (a) unless the consents of all shareholders entitled to vote have been solicited in writing, notice of any shareholder approval without a meeting by less than unanimous consent shall be given, as provided by Section 603(b) of the Code, and (b) in the case of election of directors, such a consent shall be effective only if signed by the holders of all outstanding shares entitled to vote for the election of directors; provided that subject to applicable law, a director may be elected at any time to fill a vacancy on the Board that has not been filled by the directors, by the written consent of the holders of a majority of the outstanding shares entitled to vote for the election of directors. Any written consent may be revoked by a writing received by the secretary of the corporation prior to the time that written consents of the number of shares required to authorize the proposed action have been filed with the secretary.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jc w:val="both"/>
        <w:spacing w:after="0" w:line="272"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Every person entitled to vote shares or execute written consents has the right to do so either in person or by one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a written proxy executed and dated by such shareholder and filed with the secretary of the corporation prior to the convening of any meeting of the shareholders at which any such proxy is to be used or prior to the use of such written consent. A validly executed proxy which does not state that it is irrevocable continues in full force and effect unless: (a) revoked by the person executing it prior to the vote pursuant thereto, by a writing delivered to the corporation stating that the proxy is revoked or by a subsequent proxy executed by the person executing the prior proxy and presented to the meeting, or as to any meeting of shareholders, by attendance at such meeting and voting in person by the person executing the proxy; or (b) written notice of the death or incapacity of the maker of the proxy is received by the corporation before the vote pursuant thereto is counted; provided that no proxy shall be valid after the expiration of 11 months from the date of its execution unless otherwise provided in the proxy.</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Inspectors of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advance of any meeting of shareholders, the Board may appoint any persons other than nominees for office as</w:t>
      </w:r>
      <w:r>
        <w:rPr>
          <w:rFonts w:ascii="Arial" w:cs="Arial" w:eastAsia="Arial" w:hAnsi="Arial"/>
          <w:sz w:val="16"/>
          <w:szCs w:val="16"/>
          <w:b w:val="1"/>
          <w:bCs w:val="1"/>
          <w:color w:val="auto"/>
        </w:rPr>
        <w:t xml:space="preserve"> </w:t>
      </w:r>
      <w:r>
        <w:rPr>
          <w:rFonts w:ascii="Arial" w:cs="Arial" w:eastAsia="Arial" w:hAnsi="Arial"/>
          <w:sz w:val="16"/>
          <w:szCs w:val="16"/>
          <w:color w:val="auto"/>
        </w:rPr>
        <w:t>inspectors of election to act at such meeting and any adjournment thereof. If no inspectors of election are so appointed, or if any persons so appointed fail to appear or refuse to act, the chairperson of any such meeting may, and on the request of any shareholder or shareholder’s proxy shall, appoint inspectors of election at the meeting. The number of inspectors shall be either one or three. If inspectors are appointed at a meeting on the request of one or more shareholders or proxies, the holders of a majority of shares or their proxies present shall determine whether one or three inspectors are to be appointed.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duties of such inspectors shall be as prescribed by Section 707(b) of the Code and shall include: determining the number of shares outstanding and the voting power of each; determining the shares represented at the meeting; determining the existence of a quorum; determining the authenticity, validity and the effect of proxies; receiving votes, ballots or consents; hearing and determining all challenges and questions in any way arising in connection with the right to vote; counting and tabulating all votes or consents; determining when the polls shall close; determining the result; and doing such acts as may be proper to conduct the election or vote with fairness to all shareholders. If there are three inspectors of election, the decision, act or certificate of a majority is effective in all respects as the decision, act or certificate of all. In the event that any person appointed as an inspector fails to appear or fails or refuses to act, the vacancy may, and on the request of any shareholder or a shareholder’s proxy shall, be filled by appointment by the Board in advance of the meeting, or at the meeting by the chairperson of the Board.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u w:val="single" w:color="auto"/>
          <w:color w:val="auto"/>
        </w:rPr>
        <w:t>Conduct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shall preside at all meetings of the shareholders and shall conduct each such meeting in a businesslike</w:t>
      </w:r>
      <w:r>
        <w:rPr>
          <w:rFonts w:ascii="Arial" w:cs="Arial" w:eastAsia="Arial" w:hAnsi="Arial"/>
          <w:sz w:val="18"/>
          <w:szCs w:val="18"/>
          <w:b w:val="1"/>
          <w:bCs w:val="1"/>
          <w:color w:val="auto"/>
        </w:rPr>
        <w:t xml:space="preserve"> </w:t>
      </w:r>
      <w:r>
        <w:rPr>
          <w:rFonts w:ascii="Arial" w:cs="Arial" w:eastAsia="Arial" w:hAnsi="Arial"/>
          <w:sz w:val="18"/>
          <w:szCs w:val="18"/>
          <w:color w:val="auto"/>
        </w:rPr>
        <w:t>and fair manner, but shall not be obligated to follow any technical, formal or parliamentary rules or principles of procedure. The presiding officer’s rulings on procedural matters shall be conclusive and binding on all shareholders, unless at the time of ruling a request for a vote is made to the shareholders entitled to vote and represented in person or by proxy at the meeting, in which case the decision of a majority of such shares shall be conclusive and binding on all shareholders. Without limiting the generality of the foregoing, the presiding officer shall have all the powers usually vested in the presiding officer of a meeting of shareholders.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Powers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the Code and any limitations in the articles of incorporation and these bylaws relating to actions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approved by the shareholders or by the outstanding shares, the business and affairs of the corporation shall be managed and all corporate powers shall be exercised by or under the direction of the Board. The Board may delegate the management of the day-to-day operations of the business of the corporation to an officer, agent or other person provided that the business and affairs of the corporation shall be managed and all corporate powers shall be exercised under the ultimate direction of the Board. Without prejudice to such general powers, but subject to the same limitations, it is hereby expressly declared that the Board shall have the following powers in addition to the other powers enumerated in these bylaws:</w:t>
      </w:r>
    </w:p>
    <w:p>
      <w:pPr>
        <w:spacing w:after="0" w:line="177" w:lineRule="exact"/>
        <w:rPr>
          <w:sz w:val="20"/>
          <w:szCs w:val="20"/>
          <w:color w:val="auto"/>
        </w:rPr>
      </w:pPr>
    </w:p>
    <w:p>
      <w:pPr>
        <w:ind w:left="660" w:right="2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select and remove all the other officers, agents and employees of the corporation, prescribe any qualifications, powers and duties for them that are consistent with law, the articles of incorporation or these bylaws, fix their compensation, and require from them security for faithful service;</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conduct, manage and control the affairs and business of the corporation and to make such rules and regulations therefor not inconsistent with law, the articles of incorporation or these bylaws, as they may deem best;</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adopt, make and use a corporate seal, to prescribe the forms of certificates of stock, and to alter the form of such seal and of such certificates from time to time as in their judgment they may deem best;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authorize the issuance of shares of stock of the corporation from time to time, upon such terms and for such consideration as may be lawful;</w:t>
      </w:r>
    </w:p>
    <w:p>
      <w:pPr>
        <w:spacing w:after="0" w:line="2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borrow money and incur indebtedness for the purposes of the corporation, and to cause to be executed and delivered therefor, in the corporate name, promissory and capital notes, bonds, debentures, deeds of trust, mortgages, pledges, hypothecations or other evidences of debt and securities therefor and any agreements pertaining thereto;</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prescribe the manner in which and the person or persons by whom any or all of the checks, drafts, notes, contracts and other corporate instruments shall be executed;</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appoint and designate, by resolution adopted by a majority of the authorized number of directors, one or more committees, each consisting of two or more directors, including the appointment of alternate members of any committee who may replace any absent member at any meeting of the committee;</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the compensation of directors for their services as such and may provide for the payment or reimbursement of any or all expenses reasonably incurred by them in attending meetings of the Board or of any committee of the Board or in the performance of their other duties as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1" w:name="page132"/>
    <w:bookmarkEnd w:id="131"/>
    <w:p>
      <w:pPr>
        <w:jc w:val="both"/>
        <w:ind w:left="660" w:hanging="652"/>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change the principal executive and principal office for the transaction of the business of the corporation from one location to another as provided in Section 1.1 hereof; to fix and locate from time to time one or more subsidiary offices of the corporation within or outside of the State of California, as provided in Section 1.2 hereof; to designate any place within or outside of the State of California for the holding of any shareholders’ meeting or meetings; and</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generally, to do and perform every act or thing whatever that may pertain to or be authorized by the board of directors of a corporation incorporated under the laws of the State of California.</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Number and Qualification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authorized number of directors of the corporation shall not be less than five nor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fifteen until changed by an amendment of the articles of incorporation or by a bylaw amending this Section 3.2 duly adopted by the vote or written consent of holders of a majority of the outstanding shares entitled to vote. The exact number of directors shall be fixed from time to time, within the range specified in the articles of incorporation or in this Section 3.2 initially by a resolution duly adopted by the Board and thereafter by a bylaw or amendment thereof duly adopted by the Board or the vote of a majority of the shares entitled to vote represented at a duly held meeting of shareholders at which a quorum is present, or by the written consent of the holders of a majority of the outstanding shares entitled to vote; or by approval of the shareholders (as defined in Section 153 of the Code).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Nominations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for election of members of the Board may be made by the Board or by any holder of any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class of capital stock of the corporation entitled to vote for the election of directors. Nominations for election of members of the Board may be made at an annual meeting of shareholders in accordance with Section 2.2.</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Election and Term of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shall be elected at each annual meeting of shareholders, but if any annual meeting is not held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are not elected thereat, the directors may be elected at any special meeting of shareholders held for that purpose. Each director shall hold office until the next annual meeting and until a successor has been elected and qualified. Notwithstanding the rule stated herein that directors shall be elected annually, each director continuing to serve as such at the time of an annual or special meeting of the shareholders shall nevertheless continue as a director until the expiration of the term to which he or she was previously elected by the shareholders, or until his or her earlier prior death, resignation or removal.</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Vacancies on the Board, except for a vacancy created by the removal of a director, may be filled by a majority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though less than a quorum, or by a sole remaining director, and each director so elected shall hold office until the next annual meeting and until such director’s successor has been elected and qualified. A vacancy on the Board created by the removal of a director may only be filled by the vote of a majority of the shares entitled to vote represented at a duly held meeting at which a quorum is present, or by the written consent of the holders of all of the outstanding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2" w:name="page133"/>
    <w:bookmarkEnd w:id="132"/>
    <w:p>
      <w:pPr>
        <w:jc w:val="both"/>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other than to fill a vacancy created by removal requires the consent of a majority of the outstanding shares entitled to vote.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director may resign effective upon giving written notice to the chairperson of the Board, the president, secretary, or the Board, unless the notice specifies a later time for the effectiveness of such resignation. If the Board accepts the resignation of a director tendered to take effect at a future time, the Board or the shareholders shall have power to elect a successor to take office when the resignation is to become effective.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vacancy or vacancies on the Board shall be deemed to exist in case of the death, resignation or removal of any director, or if the authorized number of directors is increased, or if the shareholders fail, at any annual or special meeting of shareholders at which any director or directors are elected, to elect the full authorized number of directors to be voted for at that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Board may declare vacant the office of a director who has been declared of unsound mind by an order of court or convicted of a felony.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 reduction of the authorized number of directors shall have the effect of removing any director prior to the expiration of the director’s term of office.</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Place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or special meetings of the Board shall be held at any place within or outside the state of California which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of meeting or if there is no notice, at the principal executive office of the corporation, or at a place or no place, as designated by resolution of the Board or by the written consent of all members of the Board, or may be held by means of remote communication. Any regular or special meeting is valid wherever held (including by means of remote communication) if held upon written consent of all members of the Board given either before or after the meeting and filed with the secretary of the corporation.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each annual meeting of shareholders, the Board shall hold a regular meeting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any desired election of officers and the transaction of other business. Notice of this meeting shall not be required.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regular meetings of the Board shall be held from time to time by resolution of the Board or by written consent of all members of the Board. In the absence of such designation, regular meetings shall be held at the principal executive offices of the corporation. Special meetings of the Board may be held either at a place so designated, within the State of California, or at the principal executive office. There shall be no required notice period for any regular meeting of the Board.</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for any purpose or purposes may be called at any time by the chairperson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Lead Independent Director (as defined below) (if appointed), the president, any vice president, the secretary or by any two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18"/>
          <w:szCs w:val="18"/>
          <w:color w:val="auto"/>
        </w:rPr>
        <w:t>The person or persons calling a special meeting of the Board shall, at least 24 hours before the meeting, give notice thereof by any usual means of communication. Such notice may be communicated, without limitation, in person; by telephone, facsimile, or other electronic transmission; by mail or private carrier; or in the manner and to the extent permitted by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meetings may be held without notice by the waiver of notice by the directors.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A majority of the authorized number of directors constitutes a quorum of the Board for the transaction of business, except to adjourn</w:t>
      </w:r>
      <w:r>
        <w:rPr>
          <w:rFonts w:ascii="Arial" w:cs="Arial" w:eastAsia="Arial" w:hAnsi="Arial"/>
          <w:sz w:val="17"/>
          <w:szCs w:val="17"/>
          <w:b w:val="1"/>
          <w:bCs w:val="1"/>
          <w:color w:val="auto"/>
        </w:rPr>
        <w:t xml:space="preserve"> </w:t>
      </w:r>
      <w:r>
        <w:rPr>
          <w:rFonts w:ascii="Arial" w:cs="Arial" w:eastAsia="Arial" w:hAnsi="Arial"/>
          <w:sz w:val="17"/>
          <w:szCs w:val="17"/>
          <w:color w:val="auto"/>
        </w:rPr>
        <w:t>as hereinafter provided. Every act or decision done or made by a majority of the directors present at a meeting duly held at which a quorum is present shall be regarded as the act of the Board, unless a greater number be required by the articles of incorporation and subject to the provisions of Section 310 of the Code (as to approval of contracts or transactions in which a director has a direct or indirect material financial interest) and Section 317(e) of the Code (as to indemnification of directors). A meeting at which a quorum is initially present may continue to transact business notwithstanding the withdrawal of directors, if any action taken is approved by at least a majority of the required quorum for such meeting.</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Participation in Meetings by Remote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may participate in a meeting through use of a conference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similar communications equipment or other means of remote communication not prohibited by applicable law, so long as all members participating in such meeting can hear one another. Participation in a meeting pursuant to this Section 3.10 constitutes presence in person at such meeting.</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 meeting need not be given to any director who signs a waiver of notice or a consent to holding the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an approval of the minutes of the meeting, whether before or after the meeting, or who attends the meeting without protesting, before the meeting or at its commencement, the lack of notice to such director. All such waivers, consents or approvals shall be filed with the corporate records or made a part of the minutes of the meeting.</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Adjournment</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directors present, whether or not a quorum is present, may adjourn any directors’ meeting to another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and/or place. Notice of the time and/or place of holding an adjourned meeting need not be given, unless the meeting is adjourned for more than twenty-four hours, in which case notice of the time and place shall be given before the time of the adjourned meeting to the directors who were not present at the time of the adjournment.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Action Without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a duly authorized committee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such duly authorized committee thereof may be taken without a meeting if all members of the Board or such committee shall consent in writing to such action. Such written consent or consents shall be filed with the minutes of the proceedings of the Board or committee, as the case may be. Such action by written consent shall have the same effect as a unanimous vote of the board.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3.14. </w:t>
      </w:r>
      <w:r>
        <w:rPr>
          <w:rFonts w:ascii="Arial" w:cs="Arial" w:eastAsia="Arial" w:hAnsi="Arial"/>
          <w:sz w:val="17"/>
          <w:szCs w:val="17"/>
          <w:b w:val="1"/>
          <w:bCs w:val="1"/>
          <w:u w:val="single" w:color="auto"/>
          <w:color w:val="auto"/>
        </w:rPr>
        <w:t>Fees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members of committees shall be entitled to such compensation, if any, for their services, and such</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for expenses, as may be fixed or determined by the Board. This Section 3.14 shall not be construed to preclude any director from serving the corporation in any other capacity as an officer, agent, employee or otherwise, and receiving compensation for those services.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4" w:name="page135"/>
    <w:bookmarkEnd w:id="134"/>
    <w:p>
      <w:pPr>
        <w:jc w:val="both"/>
        <w:spacing w:after="0" w:line="314" w:lineRule="auto"/>
        <w:rPr>
          <w:sz w:val="20"/>
          <w:szCs w:val="20"/>
          <w:color w:val="auto"/>
        </w:rPr>
      </w:pPr>
      <w:r>
        <w:rPr>
          <w:rFonts w:ascii="Arial" w:cs="Arial" w:eastAsia="Arial" w:hAnsi="Arial"/>
          <w:sz w:val="16"/>
          <w:szCs w:val="16"/>
          <w:b w:val="1"/>
          <w:bCs w:val="1"/>
          <w:color w:val="auto"/>
        </w:rPr>
        <w:t xml:space="preserve">Section 3.15. </w:t>
      </w:r>
      <w:r>
        <w:rPr>
          <w:rFonts w:ascii="Arial" w:cs="Arial" w:eastAsia="Arial" w:hAnsi="Arial"/>
          <w:sz w:val="16"/>
          <w:szCs w:val="16"/>
          <w:b w:val="1"/>
          <w:bCs w:val="1"/>
          <w:u w:val="single" w:color="auto"/>
          <w:color w:val="auto"/>
        </w:rPr>
        <w:t>Rights of Inspection</w:t>
      </w:r>
      <w:r>
        <w:rPr>
          <w:rFonts w:ascii="Arial" w:cs="Arial" w:eastAsia="Arial" w:hAnsi="Arial"/>
          <w:sz w:val="16"/>
          <w:szCs w:val="16"/>
          <w:b w:val="1"/>
          <w:bCs w:val="1"/>
          <w:color w:val="auto"/>
        </w:rPr>
        <w:t xml:space="preserve">. </w:t>
      </w:r>
      <w:r>
        <w:rPr>
          <w:rFonts w:ascii="Arial" w:cs="Arial" w:eastAsia="Arial" w:hAnsi="Arial"/>
          <w:sz w:val="16"/>
          <w:szCs w:val="16"/>
          <w:color w:val="auto"/>
        </w:rPr>
        <w:t>Every director of the corporation shall have the right at any reasonable time to inspect and copy all books, records and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of the corporation and to inspect the physical properties of the corporation and also of its subsidiary corporations, domestic or foreign. Such inspection by a director may be made in person or by agent or attorney, and the right of inspection includes the right to copy and make extracts.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Removal of Director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limitation imposed by applicable law, the Board or any individual director or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removed with or without cause by the affirmative vote of the holders of at least 66 2/3 percent of the then-outstanding shares of capital stock of the corporation entitled to vote generally at an election of directors.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Chairperson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chairperson of the Board, if appointed and when present, shall preside at all meetings of the Board and exercise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such other powers and duties as may be assigned from time to time by the Board.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u w:val="single" w:color="auto"/>
          <w:color w:val="auto"/>
        </w:rPr>
        <w:t>Vice Chairperson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vice chairperson of the Board, if appointed and when present, shall, in the absence of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 at all meetings of the Board and shareholders and exercise and perform such other powers and duties as may be assigned from time to time by the Board.</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Lead Independent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or if the chairperson is not an independent director, one of the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be designated by the independent members of the Board as lead independent director annually or until replaced by such members of the Board (“Lead Independent Director”), but such election shall not be required. The Lead Independent Director may be removed as Lead Independent Director by vote of a majority of the independent members of the Board. If appointed, the Lead Independent Director will serve as chairperson of Board meetings in the absence of both the chairperson and the vice chairperson of the Board or otherwise at their request, preside over meetings of the independent directors, and perform such other duties as may be established or delegated by the Board from time to time. For purposes of this Section, “independent” has the meaning set forth in the Nasdaq Stock Market listing rules, unless the corporation’s common stock ceases to be listed on the Nasdaq Stock Market and is listed on another exchange, in which case such exchange’s definition of “independent” shall apply.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be a president, a secretary and a chief financial officer. The corporation may also have,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of the Board, a chairperson of the Board, a vice chairperson of the Board, one or more vice presidents, one or more assistant secretaries, one or more assistant financial officers and such other officers as may be elected or appointed in accordance with the provisions of Section 4.3.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jc w:val="both"/>
        <w:spacing w:after="0" w:line="261"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Appointment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the corporation, except such officers as may be appointed in accordance with the provisions of Section 4.3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4.5, shall be chosen by, and shall serve at the pleasure of, the Board, and shall hold their respective offices until their resignation, removal or other disqualification from service, or until their respective successors shall be appointed, subject to the rights, if any, of an officer under any contract of employment.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Subordinate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appoint, or may empower the president to appoint, such other officers as the business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require, each to hold office for such period, have such authority and perform such duties as are provided in these bylaws or as the Board may from time to time determine.</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Removal and Resignation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rights, if any, of an officer under any contract of employment, any officer may be removed, either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or without cause, by the Board at any time, or by any officer upon whom such power of removal may be conferred by the Board.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officer may resign at any time by giving written notice to the Board or to the president, or to the secretary of the corporation without prejudice to the rights, if any, of the corporation under any contract to which the officer is a party. Any such resignation shall take effect at the date of the receipt of such notice by the Board or by the president, or by the secretary of the corporation, or at any later time specified therein; and, unless otherwise specified therein, the acceptance of such resignation shall not be necessary to make it effective.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A vacancy in any office because of death, resignation, removal, disqualification or any other cause shall be filled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in these bylaws for regular appointment to such office.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powers, if any, as may be given by the Board to the chairperson of the Board, if there shall be such an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is the general manager and chief executive officer of the corporation and has, subject to the control of the Board, general supervision, direction and control of the business and affairs of the corporation. The president shall preside at all meetings of the shareholders and in the absence of both the chairperson of the Board and the vice chairperson, or if there be none, at all meetings of the Board. The president has the general powers and duties of management usually vested in the office of president and chief executive officer of a corporation and such other powers and duties as may be prescribed by the Board.</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absence or disability of the president, the vice presidents in order of their rank as fixed by the Board or, if not ranked,</w:t>
      </w:r>
      <w:r>
        <w:rPr>
          <w:rFonts w:ascii="Arial" w:cs="Arial" w:eastAsia="Arial" w:hAnsi="Arial"/>
          <w:sz w:val="17"/>
          <w:szCs w:val="17"/>
          <w:b w:val="1"/>
          <w:bCs w:val="1"/>
          <w:color w:val="auto"/>
        </w:rPr>
        <w:t xml:space="preserve"> </w:t>
      </w:r>
      <w:r>
        <w:rPr>
          <w:rFonts w:ascii="Arial" w:cs="Arial" w:eastAsia="Arial" w:hAnsi="Arial"/>
          <w:sz w:val="17"/>
          <w:szCs w:val="17"/>
          <w:color w:val="auto"/>
        </w:rPr>
        <w:t>the vice president designated by the Board,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these bylaws, the Board, the president or the chairperson of the Board.</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keep or cause to be kept, at the principal executive office or such other place as the Board may order, a book of</w:t>
      </w:r>
      <w:r>
        <w:rPr>
          <w:rFonts w:ascii="Arial" w:cs="Arial" w:eastAsia="Arial" w:hAnsi="Arial"/>
          <w:sz w:val="18"/>
          <w:szCs w:val="18"/>
          <w:b w:val="1"/>
          <w:bCs w:val="1"/>
          <w:color w:val="auto"/>
        </w:rPr>
        <w:t xml:space="preserve"> </w:t>
      </w:r>
      <w:r>
        <w:rPr>
          <w:rFonts w:ascii="Arial" w:cs="Arial" w:eastAsia="Arial" w:hAnsi="Arial"/>
          <w:sz w:val="18"/>
          <w:szCs w:val="18"/>
          <w:color w:val="auto"/>
        </w:rPr>
        <w:t>minutes of all meetings of shareholders, the Board and its committees, with the time and place of holding, whether regular or special, and, if special, how authorized, the notice or waivers of notice thereof given, the names of those present at the Board and committee meetings, the number of shares present or represented at shareholders’ meetings, and the proceedings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18"/>
          <w:szCs w:val="18"/>
          <w:color w:val="auto"/>
        </w:rPr>
        <w:t>The secretary shall keep, or cause to be kept, a copy of these bylaws of the corporation at the principal executive office or business office in accordance with Section 213 of the Code. The secretary shall keep, or cause to be kept, at the principal executive office or at the office of the corporation’s transfer agent or registrar, if one is appointed, a record of its shareholders, or a duplicate record of its shareholders, giving the names and addresses of all shareholders and the number and class of shares held by each.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secretary shall give, or cause to be given, notice of all the meetings of the shareholders, of the Board and of any committees thereof required by these bylaws or by law to be given, shall keep the seal of the corporation in safe custody, and shall have such other powers and perform such other duties as may be prescribed by the Board.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Assistant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assistant secretary or the assistant secretaries, in the order of their seniority, shall,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or in the event of such officer’s refusal to act, perform the duties and exercise the powers of the secretary and shall have such additional powers and discharge such duties as may be assigned from time to time by the president or by the Board.</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shall keep and maintain, or cause to be kept and maintained, adequate and correct books</w:t>
      </w:r>
      <w:r>
        <w:rPr>
          <w:rFonts w:ascii="Arial" w:cs="Arial" w:eastAsia="Arial" w:hAnsi="Arial"/>
          <w:sz w:val="18"/>
          <w:szCs w:val="18"/>
          <w:b w:val="1"/>
          <w:bCs w:val="1"/>
          <w:color w:val="auto"/>
        </w:rPr>
        <w:t xml:space="preserve"> </w:t>
      </w:r>
      <w:r>
        <w:rPr>
          <w:rFonts w:ascii="Arial" w:cs="Arial" w:eastAsia="Arial" w:hAnsi="Arial"/>
          <w:sz w:val="18"/>
          <w:szCs w:val="18"/>
          <w:color w:val="auto"/>
        </w:rPr>
        <w:t>and records of the properties and financial and business transactions of the corporation, including accounts of its assets, liabilities, receipts, disbursements, gains, losses, capital, retained earnings and shares, and shall send or cause to be sent to the shareholders of the corporation such financial statements and reports that by law or these bylaws are required to be sent to them. The books of account shall at all times be open to inspection by any director of the corporation.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chief financial officer shall deposit all monies and other valuables in the name and to the credit of the corporation with such depositories as may be designated by the Board. The chief financial officer shall disburse the funds of the corporation as may be ordered by the Board, shall render to the president and directors, whenever they request it, an account of all transactions engaged in as chief financial officer and of the financial condition of the corporation, and shall have such other powers and perform such other duties as may be prescribed by the Board.</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Assistant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assistant financial officer or the assistant financial officers, in the order of their seniority, shall,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disability of the chief financial officer, or in the event of such officer’s refusal to act, perform the duties and exercise the powers of the chief financial officer, and shall have such additional powers and discharge such duties as may be assigned from time to time by the president or by the Board.</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Salaries</w:t>
      </w:r>
      <w:r>
        <w:rPr>
          <w:rFonts w:ascii="Arial" w:cs="Arial" w:eastAsia="Arial" w:hAnsi="Arial"/>
          <w:sz w:val="18"/>
          <w:szCs w:val="18"/>
          <w:b w:val="1"/>
          <w:bCs w:val="1"/>
          <w:color w:val="auto"/>
        </w:rPr>
        <w:t xml:space="preserve">. </w:t>
      </w:r>
      <w:r>
        <w:rPr>
          <w:rFonts w:ascii="Arial" w:cs="Arial" w:eastAsia="Arial" w:hAnsi="Arial"/>
          <w:sz w:val="18"/>
          <w:szCs w:val="18"/>
          <w:color w:val="auto"/>
        </w:rPr>
        <w:t>The salaries of the officers shall be fixed from time to time by the Board or a duly authorized committee thereof and no officer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prevented from receiving such salary by reason of the fact that such officer is also a director of the corporation.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Officers Holding More Than One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person may hold any number of offices of the corporation at one time unless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therefrom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7" w:name="page138"/>
    <w:bookmarkEnd w:id="137"/>
    <w:p>
      <w:pPr>
        <w:jc w:val="both"/>
        <w:spacing w:after="0" w:line="266"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Inability to Act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absence or inability to act of any officer of the corporation and of any person herein authorized to act in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place, the Board may from time to time delegate the powers or duties of such officer to any other officer, or any director or other person whom it may select.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Section 5.1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Committees of Directors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by resolution adopted by a majority of the authorized number of directors, designate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each consisting of two or more directors, to serve at the pleasure of the Board. The Board may designate one or more directors as alternate members of any committees, who may replace any absent member at any meeting of the committee. Any committee, to the extent provided in the resolution of the Board, shall have all the authority of the Board, except with respect to:</w:t>
      </w:r>
    </w:p>
    <w:p>
      <w:pPr>
        <w:spacing w:after="0" w:line="18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approval of any action which, under the Code, also requires shareholders’ approval or approval of the outstanding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filling of vacancies on the Board or in any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fixing of compensation of the directors for serving on the Board or on any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amendment or repeal of bylaws or the adoption of new bylaws;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amendment or repeal of any resolution of the Board which by its express terms is not so amendable or reparable;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appointment of committees of the Board or the members thereof;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distribution to the shareholders of the corporation, except at a rate or in a periodic amount or within a price range determined by the Board; or</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appointment of any other committees of the Board or the members of these committees.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u w:val="single" w:color="auto"/>
          <w:color w:val="auto"/>
        </w:rPr>
        <w:t>Section 5.2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Meetings and Action of Committees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and action of committees shall be governed by, and held and taken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Article III of these bylaws, with such changes in the context of those bylaws as are necessary to substitute the committee and its members for the Board and its members, except that the time of regular meetings of committees may be determined either by resolution of the Board or by resolution of the committee; special meetings of committees may also be called by resolution of the Board or by resolution of the committee; and notice of special meetings of committees shall also be given to all alternate members, who shall have the right to attend all meetings of the committee. The Board or a committee may adopt rules for the governance of the committee not inconsistent with the provisions of these bylaws.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in this Article VI, certain terms are defined as follows: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“Agent”: A director, officer, employee or agent of the corporation or a person who is or was serving at the request of the corporation as a director, officer, employee or agent of another foreign or domestic corporation, partnership, joint venture, trust, or other enterprise (including service with respect to employee benefit plans and service on creditors’ committees with respect to any proceeding under the United States Bankruptcy Code of 1978, as amended, assignment for the benefit of creditors or other liquidation of assets of a debtor of the corporation), or a person who was a director, officer, employee or agent of a foreign or domestic corporation which was a predecessor corporation of the corporation or of another enterprise at the request of the predecessor corporation.</w:t>
      </w:r>
    </w:p>
    <w:p>
      <w:pPr>
        <w:spacing w:after="0" w:line="177"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“Loss”: All expenses, liabilities, and losses including attorneys’ fees, judgments, fines, Employee Retirement Income Security Act excise taxes and penalties, amounts paid or to be paid in settlement, any interest, assessments, or other charges imposed thereon, and any federal, state, local, or foreign taxes imposed on any Agent as a result of the actual or deemed receipt of any payments under this Article.</w:t>
      </w:r>
    </w:p>
    <w:p>
      <w:pPr>
        <w:spacing w:after="0" w:line="16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“Proceeding”: Any threatened, pending or completed action, suit or proceeding including any and all appeals, whether civil, criminal, administrative or investigative.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Right to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who is or was a director or officer of the corporation (or was serving at the request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a director or officer of another foreign or domestic corporation, partnership, joint venture, trust or other enterprise) including any current or former director or officer who was or is a party or is threatened to be made a party to or is involved (as a party, witness or otherwise) in any Proceeding, by reason of the fact that he or she, or a person of whom he or she is the legal representative, is or was an Agent, is entitled to indemnification. In such cases, such person shall be indemnified and held harmless by the corporation to the fullest extent authorized by law. The right to indemnification conferred in this Article VI shall be a contract right. It is the corporation’s intention that these bylaws provide indemnification in excess of that expressly permitted by Section 317 of the Code, as authorized by the corporation’s articles of incorporation.</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Authority to Advance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indemnification provided in Section 6.2 of these bylaws shall include the right to be paid, in</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of a Proceeding’s final disposition, expenses incurred in defending that Proceeding; provided that if required by the California General Corporation Law, as amended, the payment of expenses in advance of the final disposition of the Proceeding shall be made only upon delivery to the corporation of an undertaking by or on behalf of the person entitled to indemnification hereunder to repay such amount if it shall ultimately be determined that he or she is not entitled to be indemnified by the corporation as authorized under this Article VI or otherwise. The indemnified party’s obligation to reimburse the corporation for advances shall be unsecured and no interest shall be charged thereon.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jc w:val="both"/>
        <w:spacing w:after="0" w:line="253"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Right of Claimant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If a claim under Section 6.2 or 6.3 of these bylaws is not paid in full by the corporation within 30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claim has been received by the corporation, the claimant may at any time thereafter bring suit against the corporation to recover the unpaid amount of the claim and, if successful in whole or in part, the claimant shall be entitled to be paid also the expenses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California General Corporation Law for the corporation to indemnify the claimant for the amount claimed. The burden of proving such a defense shall be on the corporation. Neither the failure of the corporation (including its board of directors, independent legal counsel, or its shareholders) to have made a determination prior to the commencement of such action that the indemnification of the claimant is proper under the circumstances because he or she has met the applicable standard of conduct set forth in the California General Corporation Law, nor an actual determination by the corporation (including its board of directors, independent legal counsel, or its shareholders) that the claimant has not met such applicable standard of conduct, shall be a defense to the action or create a presumption that claimant has not already met the applicable standard of conduct.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Provisions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conferred on any person by this Article V shall not be exclusive of any other rights that such person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or hereafter acquire under any statute, provision of the articles of incorporation, agreement, vote of shareholders or disinterested directors, or otherwise, both as to action in an official capacity and as to action in another capacity while holding such office. To the extent that any provision of the articles of incorporation, agreement, or vote of the shareholders or disinterested directors is inconsistent with these bylaws, the provision, agreement, or vote shall take precedence.</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Authority to Insure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to protect itself and any Agent against any Loss asserted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or incurred by such person, whether or not the corporation would have the power to indemnify such Agent against such Loss under applicable law or the provisions of this Article VI. If the corporation owns all or a portion of the shares of the company issuing the insurance policy, the company and/or the policy must meet one of the two sets of conditions set forth in Section 317 of the Code.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Survival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provided by this Article VI shall continue as to a person who is entitled to be indemnified hereunder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ceased to be an Agent and shall inure to the benefit of the heirs, executors, and administrators of such person.</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6.8. </w:t>
      </w:r>
      <w:r>
        <w:rPr>
          <w:rFonts w:ascii="Arial" w:cs="Arial" w:eastAsia="Arial" w:hAnsi="Arial"/>
          <w:sz w:val="17"/>
          <w:szCs w:val="17"/>
          <w:b w:val="1"/>
          <w:bCs w:val="1"/>
          <w:u w:val="single" w:color="auto"/>
          <w:color w:val="auto"/>
        </w:rPr>
        <w:t>Settlement of Claims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not be liable to indemnify any Agent under this Article VI for (a) any amounts paid in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action or claim effected without the corporation’s written consent, which consent shall not be unreasonably withheld; or (b) any judicial award, if the corporation was not given a reasonable and timely opportunity, at its expense, to participate in the defense of such action.</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6.9. </w:t>
      </w:r>
      <w:r>
        <w:rPr>
          <w:rFonts w:ascii="Arial" w:cs="Arial" w:eastAsia="Arial" w:hAnsi="Arial"/>
          <w:sz w:val="18"/>
          <w:szCs w:val="18"/>
          <w:b w:val="1"/>
          <w:bCs w:val="1"/>
          <w:u w:val="single" w:color="auto"/>
          <w:color w:val="auto"/>
        </w:rPr>
        <w:t>Effect of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repeal or modification of this Article VI shall not adversely affect any right or protection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Agent existing at the time of such amendment, repeal or modification.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jc w:val="both"/>
        <w:spacing w:after="0" w:line="266"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u w:val="single" w:color="auto"/>
          <w:color w:val="auto"/>
        </w:rPr>
        <w:t>Subrogation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payment under this Article VI, the corporation shall be subrogated to the extent of such payment to all of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of an Agent, who shall execute all papers required and shall do everything that may be necessary to secure such rights, including the execution of such documents necessary to enable the corporation effectively to bring suit to enforce such rights.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b w:val="1"/>
          <w:bCs w:val="1"/>
          <w:u w:val="single" w:color="auto"/>
          <w:color w:val="auto"/>
        </w:rPr>
        <w:t>No Duplication of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not be liable under this Article VI to make any payment in connection with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made against an Agent to the extent such Agent has otherwise actually received payment (under any insurance policy, agreement, vote or otherwise) of the amounts otherwise indemnifiable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Inspection of Corporate Records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shareholder or shareholders of the corporation holding at least five percent in the aggregate of the outstanding voting shares of the corporation or who hold at least one percent of the outstanding voting shares and have filed a Schedule 14B with the SEC relating to the election of directors of the corporation shall have an absolute right to do either or both of the following:</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inspect and copy the record of shareholders’ names and addresses and shareholdings during usual business hours upon five business days’ prior written demand upon the corporation; or</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obtain from the transfer agent, if any, for the corporation, upon written demand and upon the tender of its usual charges for such a list (the amount of which charges shall be stated to the shareholder by the transfer agent upon request), a list of the shareholders’ names and addresses who are entitled to vote for the election of directors and their shareholdings, as of the most recent record date for which it has been compiled, or as of a date specified by the shareholder subsequent to the date of demand. The corporation shall have a responsibility to cause the transfer agent to comply with this Section 7.1.</w:t>
      </w:r>
    </w:p>
    <w:p>
      <w:pPr>
        <w:spacing w:after="0" w:line="18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record of shareholders shall also be open to inspection and copying by any shareholder or holder of a voting trust certificate at any time during usual business hours upon written demand on the corporation, for a purpose reasonably related to such holder’s interest as a shareholder or holder of a voting trust certificate. A written demand for such inspection shall be accompanied by a statement in reasonable detail of the purpose of the inspection.</w:t>
      </w:r>
    </w:p>
    <w:p>
      <w:pPr>
        <w:spacing w:after="0" w:line="18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accounting books and records and minutes of proceedings of the shareholders and the Board and committees of the Board shall be open to inspection upon written demand on the corporation by any shareholder or holder of a voting trust certificate at any reasonable time during usual business hours, for a purpose reasonably related to such holder’s interest as a shareholder or as a holder of such voting trust certificate. The right of inspection created by this Section 7.1(c) shall extend to the records of each subsidiary of the corporation. A written demand for such inspection shall be accompanied by a statement in reasonable detail of the purpose of the inspection.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jc w:val="both"/>
        <w:spacing w:after="0" w:line="271"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Execution of Documents,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applicable law, any note, mortgage, evidence of indebtedness,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share certificate, initial transaction statement or written statement, conveyance or other instrument in writing and any assignment or endorsement thereof executed or entered into between the corporation and any other person, when signed by the chairperson of the Board, the president or any vice president and the secretary, any assistant secretary, the chief financial officer or any assistant financial officer of the corporation, or when stamped with a facsimile signature of such appropriate officers in the case of share certificates, shall be valid and binding upon the corporation in the absence of actual knowledge on the part of the other person that the signing officers did not have authority to execute the same. Any such instruments may be signed by any other person or persons and in such manner as from time to time shall be determined by the Board, and unless so authorized by the Board, no officer, agent or employee shall have any power or authority to bind the corporation by any contract or engagement or to pledge its credit or to render it liable for any purpose or amount.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Certificates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in the articles of incorporation or herein, every holder of shares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have a certificate signed in the name of the corporation by any officer authorized to sign stock certificates, certifying the number of shares and the class or series of shares owned by the shareholder. The signatures on the certificates may be facsimile signatures. If any officer, transfer agent or registrar who has signed a certificate or whose facsimile signature has been placed upon the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provided in this Section 7.3, no new certificate for shares shall be issued in lieu of an old certificate unless the latter is surrendered and canceled at the same time. The Board may, however, in case any certificate for shares is alleged to have been lost, stolen or destroyed, authorize the issuance of a new certificate in lieu thereof, and the corporation may require that the corporation be given a bond or other adequate security sufficient to indemnify it against any claim that may be made against it (including any expense or liability) on account of the alleged loss, theft or destruction of such certificate or the issuance of such new certificate.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due presentment for registration of transfer in the stock transfer book of the corporation, the registered owner shall be treated as the person exclusively entitled to vote, to receive notifications and otherwise to exercise all the rights and powers of an owner, except as expressly provided otherwise by the laws of the state of California.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 other provision of these bylaws and this Section 7.3, the corporation shall be entitled to issue in its discretion uncertificated securities in compliance with California Corporations Code Section 416(b), as amended, subject to the right of a holder of shares of the corporation to request issuance of a certificate in compliance with the provisions of this Section 7.3.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jc w:val="both"/>
        <w:spacing w:after="0" w:line="261"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Representation of Shares of Other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or any other officer or officers authorized by the Board or the president are</w:t>
      </w:r>
      <w:r>
        <w:rPr>
          <w:rFonts w:ascii="Arial" w:cs="Arial" w:eastAsia="Arial" w:hAnsi="Arial"/>
          <w:sz w:val="18"/>
          <w:szCs w:val="18"/>
          <w:b w:val="1"/>
          <w:bCs w:val="1"/>
          <w:color w:val="auto"/>
        </w:rPr>
        <w:t xml:space="preserve"> </w:t>
      </w:r>
      <w:r>
        <w:rPr>
          <w:rFonts w:ascii="Arial" w:cs="Arial" w:eastAsia="Arial" w:hAnsi="Arial"/>
          <w:sz w:val="18"/>
          <w:szCs w:val="18"/>
          <w:color w:val="auto"/>
        </w:rPr>
        <w:t>each authorized to vote, represent and exercise on behalf of the corporation all rights incident to any and all shares or other securities of any other corporation or corporations standing in the name of the corporation. The authority herein granted may be exercised either by any such officer in person or by any other person authorized to do so by proxy or power of attorney duly executed by said officer.</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7"/>
          <w:szCs w:val="17"/>
          <w:b w:val="1"/>
          <w:bCs w:val="1"/>
          <w:u w:val="single" w:color="auto"/>
          <w:color w:val="auto"/>
        </w:rPr>
        <w:t>Regulations</w:t>
      </w:r>
      <w:r>
        <w:rPr>
          <w:rFonts w:ascii="Arial" w:cs="Arial" w:eastAsia="Arial" w:hAnsi="Arial"/>
          <w:sz w:val="17"/>
          <w:szCs w:val="17"/>
          <w:color w:val="auto"/>
        </w:rPr>
        <w:t>. The board of directors may make such rules and regulations as it may deem expedient, not inconsistent with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concerning the issuance, transfer and registration of certificated or uncertificated shares of stock of the corporation. It may appoint, or authorize any officer or officers to appoint, one or more transfer clerks or one or more transfer agents and one or more registrars, and, in the case of certificated shares of stock, may require all such certificates to bear the signature or signatures of any of them or a facsimile thereof.</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seal of the corporation shall consist of two concentric circles, between which shall be the name of the corporation,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center shall be inscribed the word “Incorporated” and the date of its incorporation.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7.7. </w:t>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The fiscal year of the corporation shall begin on the first day of January and end on the 31st day of December of each year.</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7.8. </w:t>
      </w:r>
      <w:r>
        <w:rPr>
          <w:rFonts w:ascii="Arial" w:cs="Arial" w:eastAsia="Arial" w:hAnsi="Arial"/>
          <w:sz w:val="16"/>
          <w:szCs w:val="16"/>
          <w:b w:val="1"/>
          <w:bCs w:val="1"/>
          <w:u w:val="single" w:color="auto"/>
          <w:color w:val="auto"/>
        </w:rPr>
        <w:t>Construction and 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context otherwise requires, the general provisions, rules of construction and definitions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Code and the California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Bylaw Provisions Contrary to or Inconsistent with Provisions of Law</w:t>
      </w:r>
      <w:r>
        <w:rPr>
          <w:rFonts w:ascii="Arial" w:cs="Arial" w:eastAsia="Arial" w:hAnsi="Arial"/>
          <w:sz w:val="17"/>
          <w:szCs w:val="17"/>
          <w:b w:val="1"/>
          <w:bCs w:val="1"/>
          <w:color w:val="auto"/>
        </w:rPr>
        <w:t xml:space="preserve">. </w:t>
      </w:r>
      <w:r>
        <w:rPr>
          <w:rFonts w:ascii="Arial" w:cs="Arial" w:eastAsia="Arial" w:hAnsi="Arial"/>
          <w:sz w:val="17"/>
          <w:szCs w:val="17"/>
          <w:color w:val="auto"/>
        </w:rPr>
        <w:t>Any article, section, subsection, subdivision, sentence, clause or</w:t>
      </w:r>
      <w:r>
        <w:rPr>
          <w:rFonts w:ascii="Arial" w:cs="Arial" w:eastAsia="Arial" w:hAnsi="Arial"/>
          <w:sz w:val="17"/>
          <w:szCs w:val="17"/>
          <w:b w:val="1"/>
          <w:bCs w:val="1"/>
          <w:color w:val="auto"/>
        </w:rPr>
        <w:t xml:space="preserve"> </w:t>
      </w:r>
      <w:r>
        <w:rPr>
          <w:rFonts w:ascii="Arial" w:cs="Arial" w:eastAsia="Arial" w:hAnsi="Arial"/>
          <w:sz w:val="17"/>
          <w:szCs w:val="17"/>
          <w:color w:val="auto"/>
        </w:rPr>
        <w:t>phrase of these bylaws which, upon being construed in the manner provided in this Section 7.9, shall be contrary to or inconsistent with any applicable provision of the Code or other applicable laws of the state of California or of the United States shall not apply so long as said provisions of law shall remain in effect, but such result shall not affect the validity or applicability of any other portions of these bylaws, it being hereby declared that these bylaws would have been adopted and each article, section, subsection, subdivision, sentence, clause or phrase thereof, irrespective of the fact that any one or more articles, sections, subsections, subdivisions, sentences, clauses or phrases is or are illegal.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Forum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Section 8.1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Exclusive Forum for Certain Litigation</w:t>
      </w:r>
      <w:r>
        <w:rPr>
          <w:rFonts w:ascii="Arial" w:cs="Arial" w:eastAsia="Arial" w:hAnsi="Arial"/>
          <w:sz w:val="16"/>
          <w:szCs w:val="16"/>
          <w:color w:val="auto"/>
        </w:rPr>
        <w:t>. Unless the corporation consents in writing to the selection of an alternative forum,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Court for the Northern District of California (or, in the event that the United States District Court for the Northern District of California does not have jurisdiction, any other federal or state court of California) shall be the sole and exclusive forum for (a) any derivative action or proceeding brought on behalf of the corporation, (b) any action asserting a claim of breach of any duty owed by any director or officer or other employee of the corporation to the corporation or to the shareholders of the corporation, (c) any action asserting a claim against the corporation or any director or officer or other employee of the corporation arising pursuant to any provision of the Code or the Articles of Incorporation or these bylaws, or (d) any action asserting a claim against the corporation or any director or officer or other employee of the corporation that is governed by the internal affairs doctrine. Unless the corporation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federal securities laws of the United States of America, including, in each case, the applicable rules and regulations promulgated thereunder. If any provision of this Article VIII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or holding any interest in share of capital stock of the corporation shall be deemed to have notice of and to have consented to the provisions of this Article VIII.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Amendment by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New bylaws may be adopted or these bylaws may be amended or repealed by the vote 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a majority of the outstanding shares entitled to vote; provided that if the articles of incorporation of the corporation set forth the number of authorized directors of the corporation, the authorized number of directors may be changed only by an amendment of the articles of incorporation and provided also that a bylaw reducing the fixed number or the minimum number of directors to a number less than five cannot be adopted if the votes cast against adoption at a meeting, or the shares not consenting in the case of action by written consent, are equal to more than 16 2/3 percent of the outstanding shares entitled to vote.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Amendment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the shareholders as provided in Section 9.1, bylaws, other than a bylaw specifying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a fixed number of directors or the maximum or minimum number or changing from a fixed to a variable board or vice versa, may be adopted, amended or repealed by the Board.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As of December 31, 2021, Five Star Bancorp (the “Company,” “we,” “our” and “us”), had one class of securities registered under Section 12 of the Securities Exchange Act of 1934, as amended (the “Exchange Act”): common stock, no par value per share (“common stock”).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The following description of the current terms of our capital stock is a summary and is not meant to be complete. It is qualified in its entirety by reference to the California General Corporation Law (the “CGCL”), federal law, the Company’s amended and restated articles of incorporation (the “Articles of Incorporation”), and the Company’s amended and restated bylaws (the “Bylaws”). Our Articles of Incorporation and Bylaws are included as exhibits to our Annual Report on Form 10-K of which this Exhibit 4.4 forms a part. We encourage you to carefully read our Articles of Incorporation, Bylaws, and the applicable provisions of federal law and the CGCL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Our authorized capital stock consists of 100,000,000 shares of common stock and 10,000,000 shares of undesignated preferred stock, no par value per share (“preferred stock”), the terms of which may be established by our Board of Directors (the “Board”) by resolution.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Majority Written Consent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of our common stock are entitled to one vote per share on all matters requiring shareholder action, including the election of directors.</w:t>
      </w:r>
    </w:p>
    <w:p>
      <w:pPr>
        <w:spacing w:after="0" w:line="248" w:lineRule="exact"/>
        <w:rPr>
          <w:sz w:val="20"/>
          <w:szCs w:val="20"/>
          <w:color w:val="auto"/>
        </w:rPr>
      </w:pPr>
    </w:p>
    <w:p>
      <w:pPr>
        <w:jc w:val="both"/>
        <w:ind w:right="500" w:firstLine="648"/>
        <w:spacing w:after="0" w:line="301" w:lineRule="auto"/>
        <w:rPr>
          <w:sz w:val="20"/>
          <w:szCs w:val="20"/>
          <w:color w:val="auto"/>
        </w:rPr>
      </w:pPr>
      <w:r>
        <w:rPr>
          <w:rFonts w:ascii="Arial" w:cs="Arial" w:eastAsia="Arial" w:hAnsi="Arial"/>
          <w:sz w:val="16"/>
          <w:szCs w:val="16"/>
          <w:color w:val="auto"/>
        </w:rPr>
        <w:t>Our Bylaws provide that a majority of the shares entitled to vote at a shareholders’ meeting, represented in person or by proxy, constitutes a quorum. When a quorum is present, the affirmative vote of a majority of the shares represented at the meeting and entitled to vote, such affirmatively voting shares constituting at least a majority of the required quorum, are required to take action, unless otherwise specified by law or our Articles of Incorporation, and except for the election of directors, which will be determined by a plurality vote. There are no cumulative voting rights.</w:t>
      </w:r>
    </w:p>
    <w:p>
      <w:pPr>
        <w:spacing w:after="0" w:line="15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Any action that, under any provision of the CGCL, may be taken at a meeting of the shareholders, may be taken without a meeting and without prior notice if a consent in writing, setting forth the action so taken, is signed by the holders of the outstanding shares having not less than the minimum number of votes that would be necessary to authorize or take such action at a meeting at which all shares are entitled to vote thereon were present and voted; provided, that unless the consents of all shareholders entitled to vote have been solicited in writing, notice of any shareholder approval without a meeting by less than unanimous consent must be given as required under the CGCL, to such shareholders who are required to receive such notice under the CGCL. In addition, directors may be elected by written consent only if signed by the holders of all outstanding shares entitled to vote for the election of directors, except that action taken by shareholders to fill one or more vacancies on the Board (other than any vacancy created by removal) that has not been filled by the Board may be taken by written consent of a majority of the outstanding shares entitled to vote.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Under our Articles of Incorporation and Bylaws, the holders of our common stock have no preemptive or other subscription rights, and there are no redemption, sinking fund, or conversion privileges applicable 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payment of dividends is subject to the restrictions set forth in the CGCL. The CGCL provides that neither a company nor any of its subsidiaries may make any distribution to its shareholders unless: (i) the amount of retained earnings of the company immediately prior to the distribution equals or exceeds the sum of (a) the amount of the proposed distribution plus (b) the preferential dividends arrears amount (as calculated pursuant to Section 500(b) of the CGCL) or (ii) following the distribution, the value of the company’s assets would equal or exceed the sum of its total liabilities plus the preferential rights amount (as calculated pursuant to Section 500(b) of the CGCL).</w:t>
      </w:r>
    </w:p>
    <w:p>
      <w:pPr>
        <w:spacing w:after="0" w:line="18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Holders of our common stock may receive dividends when, as, and if declared by our Board out of funds legally available for the payment of dividends, subject to any restrictions imposed by regulatory authorities and the payment of any preferential amounts to which any class of preferred stock may be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the event of the liquidation, dissolution or winding up of the Company, subject to the rights of the holders of any then outstanding shares of preferred stock, the holders of our common stock are entitled to receive all of our assets remaining after satisfaction of all our liabilities and the payment of any liquidation preference of any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Certain provisions of our Articles of Incorporation and Bylaws, and the CGCL and federal banking regulations applicable to us, may be deemed to have anti-takeover effects and may delay, defer, or prevent a change of control of the Company and/or limit the price that certain investors may be willing to pay in the future for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corporate laws and regulations applicable to us enable our Board to issue, from time to time and at its discretion, but subject to the rules of any applicable securities exchange, any authorized but unissued shares of our common stock or preferred stock. Any such issuance of shares could be utilized for a variety of corporate purposes, including future offerings to raise additional capital, acquisitions, and employee benefit plans. The ability of our Board to issue authorized but unissued shares of our common stock or preferred stock at its sole discretion may enable our Board to sell shares to individuals or groups whom the Board perceives as friendly with management, which may make more difficult unsolicited attempts to obtain control of our organization. In addition, the ability of our board of directors to issue authorized but unissued shares of our capital stock at its sole discretion could deprive the shareholders of opportunities to sell their shares of common stock or preferred stock for prices higher than prevailing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Articles of Incorporation contain provisions that permit our Board to issue, without any further vote or action by the shareholders, up to 10,000,000 shares of preferred stock in one or more series and, with respect to each such series, to fix the number of shares constituting the series and the designation of the series, and to determine or alter the rights, powers, preferences, and restrictions of the shares of such series.</w:t>
      </w:r>
    </w:p>
    <w:p>
      <w:pPr>
        <w:spacing w:after="0" w:line="16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existence of shares of authorized undesignated preferred stock enables us to meet possible contingencies or opportunities in which the issuance of shares of preferred stock may be advisable, such as in the case of acquisition or financing transactions. Having shares of preferred stock available for issuance gives us flexibility in that it would allow us to avoid the expense and delay of calling a meeting of shareholders at the time the contingency or opportunity arises. Any issuance of preferred stock with voting rights or which is convertible into voting shares could adversely affect the voting power of the holders of common stock. Furthermore, the issuance of preferred stock could adversely affect the likelihood that such holders will receive dividend payments and payments upon liquidation. The shares of preferred stock that may be issued in the future may have other rights, including economic rights senior to our common stock, and, as a result, could have an adverse effect on the market value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ind w:right="140" w:firstLine="648"/>
        <w:spacing w:after="0" w:line="277"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shares over our then-market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Size and Vacancies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Bylaws enable our Board to increase the size of the Board between annual meetings and fill the vacancies created by the increase by a majority of the remaining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Bylaws prohibit cumulative voting in the election of directors. In the absence of cumulative voting, the holders of a majority of the shares of our common stock may elect all of the directors standing for election, if they should so choose.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 of Shareholders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Special meetings of the shareholders may be called by the Board, the chairperson of the Board, the president, or by the holders of shares entitled to cast at least 10% of the vote at such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Procedures for Director Nominations and Shareholder Proposals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Bylaws establish an advance notice procedure with regard to business to be brought before an annual or special meeting of shareholders and with regard to the nomination of candidates for election as directors, other than by or at the direction of the Board of directors. Although this procedure does not give our Board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Amending Certain Provisions of our Articles of Incorporation.</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Articles of Incorporation require a two-thirds vote of the directors then in office and two-thirds vote of then-outstanding shares of capital stock to modify the sections of our Articles of Incorporation addressing limitation of liability and indemnification of our officers and directors, which provide limitation of liability and indemnification to the maximum extent permitted by law and addressing the amendment of the Articles of Incorporation.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Amending our Amended Bylaws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board of directors may amend our Bylaws, other than a bylaw specifying or changing a fixed number of directors or the maximum or minimum number or changing from a fixed to a variable board or vice versa, without shareholder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Merger</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Under the CGCL, most business combinations, including mergers, consolidations, and sales of substantially all of the assets of a California corporation must be approved by the vote of the holders of at least a majority of the outstanding shares of common stock and any other affected class of stock of such corporation. The articles of incorporation of a California corporation may, but are not required to, set a higher standard for approval of such transactions. Our Articles of Incorporation do not set higher limits.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California Law and Federal Banking Laws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subject to the provisions of Section 1203 of the CGCL, which contains provisions that may have the effect of deterring hostile takeovers or delaying or preventing changes in control in which our shareholders could receive a premium for their shares or other changes in our management. First, if an “interested party” makes an offer to purchase the shares of some or all of our existing shareholders, we must obtain an affirmative opinion in writing as to the fairness of the offering price prior to completing the transaction. California law considers a person to be an “interested party” if the person directly or indirectly controls our company, if the person is directly or indirectly controlled by one of our officers or directors, or if the person is an entity in which one of our executive officers or directors holds a material financial interest. If, after receiving an offer from such an “interested person,” we receive a subsequent offer from a neutral third party at least 10 days prior to the date for acceptance of the tendered shares or the vote or notice of shareholder approval of the offer from such an “interested person,” then we must notify our shareholders of such third party offer and afford each of them the opportunity to withdraw their vote, consent, or proxy previously given to the “interested party” offer before such vote, consent, or proxy becomes effective or afford a reasonable time to withdraw any tendered shares before the purchase of the shares pursuant to the “interested party” proposal (with a delay of 10 days from the notice or publication of the later proposal will be deemed to provide a reasonable opportunity or time to effect that withdrawal).</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also subject to other provisions of the CGCL, which include voting requirements that may also have the effect of deterring hostile takeovers, disposing of our assets or delaying or preventing changes in control of our management. Under Section 1101 of the CGCL, except in (i) a short-form merger or (ii) a merger of a corporation into a subsidiary in which it owns at least 90% of the outstanding shares of each class, if a single entity or constituent corporation owns, directly or indirectly, prior to the merger more than 50% of any class of our capital stock and attempts to merge our Company into itself or other constituent corporation, the Company’s non-redeemable securities may only be exchanged for non-redeemable securities of the surviving entity, unless all of the shareholders of the applicable class of non-redeemable securities consent to the transaction or the terms of the transaction are approved and determined to be fair by the California Department of Financial Protection and Innovation (“DFPI”). Section 1001(d) of the CGCL provides that the principle terms of any proposed sale or disposition of all or substantially all of our assets to any other corporation that we are controlled by or under common control with must be consented to by at least 90% of the of the voting power of our capital stock or approved and determined fair by the DFPI, provided, however that this restriction does not apply if the disposition is to a domestic or foreign corporation or other business entity in consideration of the nonredeemable common shares or nonredeemable equity securities of the acquiring party or its parent. Sections 1101 and 1001 of the CGCL could make it significantly more difficult for a third party to acquire control of our Company by preventing a possible acquirer from cashing out minority shareholders or selling substantially all of our assets to a related party, and therefore could discourage a hostile bid or could delay, prevent, or deter entirely a merger, acquisition, or tender offer in which our shareholders could receive a premium for their shares or a proxy contest for control of us or other changes in our management.</w:t>
      </w:r>
    </w:p>
    <w:p>
      <w:pPr>
        <w:spacing w:after="0" w:line="18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Furthermore, the Bank Holding Company Act of 1956, as amended (the “BHC Act”), the Change in Bank Control Act (the “CBCA”), the DFPI, and the California Financial Code impose notice, application, approvals, and ongoing regulatory requirements on any shareholder or other party that seeks to acquire direct or indirect control of bank holding companies or banks, as applicable. These laws could delay or prevent an acquisition. The ability of a third party to acquire our stock is limited under applicable U.S. banking laws, and regulatory approval for the acquisition of our stock may be required under certain circumstances. The BHC Act requires any bank holding company to obtain the approval of the Federal Reserve prior to acquiring more than 5% of our outstanding common stock. Any corporation or other company that becomes a holder of 25% or more of our outstanding common stock, or otherwise is deemed to control us under the BHC Act, would be subject to regulation as a bank holding company under the BHC Act. In addition, any person other than a bank holding company may be required to obtain prior approval of the Federal Reserve to acquire 10% or more of our outstanding common stock under the CBCA. Further, prior approval of the DFPI is required for any person to acquire control of us, and control for these purposes is presumed to exist when a person owns 10% or more of our outstanding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Bylaws provide that, subject to limited exceptions, the United States District Court for the Northern District of California (or, in the event that the United States District Court for the Northern District of California does not have jurisdiction, any other federal or state court of California) will be the sole and exclusive forum for (i) any derivative action or proceeding brought on our behalf; (ii) any action asserting a claim of breach of a fiduciary duty owed by any of our directors, officers, or other employees to us or our shareholders; (iii) any action asserting a claim against us or any of our directors, officers, or other employees arising pursuant to any provision of the CGCL, our Articles of Incorporation, or Bylaws; or (iv) any other action asserting a claim against us or any of our directors, officers, or other employees that is governed by the internal affairs doctrine. Our Bylaws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or entity purchasing or otherwise acquiring or holding any interest in any shares of our capital stock will be deemed to have notice of and to have consented to this provision of our Bylaws. Although we believe this provision benefits us by providing increased consistency in the application of California and federal securities law in the types of lawsuits to which it applies, the provision may have the effect of discouraging lawsuits against our directors and officers.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8" w:name="page149"/>
    <w:bookmarkEnd w:id="148"/>
    <w:p>
      <w:pPr>
        <w:ind w:right="180" w:firstLine="648"/>
        <w:spacing w:after="0" w:line="259" w:lineRule="auto"/>
        <w:rPr>
          <w:sz w:val="20"/>
          <w:szCs w:val="20"/>
          <w:color w:val="auto"/>
        </w:rPr>
      </w:pPr>
      <w:r>
        <w:rPr>
          <w:rFonts w:ascii="Arial" w:cs="Arial" w:eastAsia="Arial" w:hAnsi="Arial"/>
          <w:sz w:val="18"/>
          <w:szCs w:val="18"/>
          <w:color w:val="auto"/>
        </w:rPr>
        <w:t>Section 27 of the Exchange Act vests exclusive federal jurisdiction for all claims brought to enforce any duty or liability created under the Exchange Act or the rules and regulations thereunder. Therefore, claims to enforce any duty or liability created under the Exchange Act or the rules and regulations thereunder must be brought in a federal court as required by Section 27 of the Exchange Act and as provided in the exclusive forum selection provision of our Bylaws.</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Section 22 of the Securities Act of 1933, as amended (the “Securities Act”) creates concurrent jurisdiction for federal and state courts over all suits brought to enforce any duty or liability created by the Securities Act or the rules and regulations thereunder. As a result, there is uncertainty as to whether a court would enforce a forum selection clause in connection with claims arising under the Securities Act and the rules and regulations thereunder, and, in any event, shareholders will not be deemed to have waived the Company’s compliance with the federal securities laws and the rules and regulations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49" w:name="page150"/>
    <w:bookmarkEnd w:id="149"/>
    <w:p>
      <w:pPr>
        <w:ind w:left="10260"/>
        <w:spacing w:after="0"/>
        <w:rPr>
          <w:sz w:val="20"/>
          <w:szCs w:val="20"/>
          <w:color w:val="auto"/>
        </w:rPr>
      </w:pPr>
      <w:r>
        <w:rPr>
          <w:rFonts w:ascii="Arial" w:cs="Arial" w:eastAsia="Arial" w:hAnsi="Arial"/>
          <w:sz w:val="17"/>
          <w:szCs w:val="17"/>
          <w:b w:val="1"/>
          <w:bCs w:val="1"/>
          <w:color w:val="auto"/>
        </w:rPr>
        <w:t>Exhibit 10.4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[_______], 2022</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Restricted Stock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between Five Star Bancorp,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individual participant specified in the table below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65" w:lineRule="exact"/>
        <w:rPr>
          <w:sz w:val="20"/>
          <w:szCs w:val="20"/>
          <w:color w:val="auto"/>
        </w:rPr>
      </w:pPr>
    </w:p>
    <w:tbl>
      <w:tblPr>
        <w:tblLayout w:type="fixed"/>
        <w:tblInd w:w="1150" w:type="dxa"/>
        <w:tblCellMar>
          <w:top w:w="0" w:type="dxa"/>
          <w:left w:w="0" w:type="dxa"/>
          <w:bottom w:w="0" w:type="dxa"/>
          <w:right w:w="0" w:type="dxa"/>
        </w:tblCellMar>
      </w:tblPr>
      <w:tr>
        <w:trPr>
          <w:trHeight w:val="257"/>
        </w:trPr>
        <w:tc>
          <w:tcPr>
            <w:tcW w:w="2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Participant</w:t>
            </w:r>
          </w:p>
        </w:tc>
        <w:tc>
          <w:tcPr>
            <w:tcW w:w="628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w:t>
            </w: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Grant Date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Total Number of Restricted Shares</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 Price</w:t>
            </w:r>
          </w:p>
        </w:tc>
        <w:tc>
          <w:tcPr>
            <w:tcW w:w="6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$[___] per share (determined as of [DATE])</w:t>
            </w: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90"/>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Vesting Terms</w:t>
            </w:r>
          </w:p>
        </w:tc>
        <w:tc>
          <w:tcPr>
            <w:tcW w:w="6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i w:val="1"/>
                <w:iCs w:val="1"/>
                <w:color w:val="auto"/>
              </w:rPr>
              <w:t>Check one:</w:t>
            </w:r>
          </w:p>
        </w:tc>
      </w:tr>
      <w:tr>
        <w:trPr>
          <w:trHeight w:val="324"/>
        </w:trPr>
        <w:tc>
          <w:tcPr>
            <w:tcW w:w="270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  Cliff Vesting with a Vesting Date of [DATE] pursuant to Section 3(a)(i).</w:t>
            </w:r>
          </w:p>
        </w:tc>
      </w:tr>
      <w:tr>
        <w:trPr>
          <w:trHeight w:val="310"/>
        </w:trPr>
        <w:tc>
          <w:tcPr>
            <w:tcW w:w="270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o  Incremental Vesting over a Restriction Period pursuant to Section 3(a)(ii), with</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w w:val="99"/>
              </w:rPr>
              <w:t>substantially equal installments Vesting (as defined below) on each of the</w:t>
            </w:r>
          </w:p>
        </w:tc>
      </w:tr>
      <w:tr>
        <w:trPr>
          <w:trHeight w:val="190"/>
        </w:trPr>
        <w:tc>
          <w:tcPr>
            <w:tcW w:w="2700" w:type="dxa"/>
            <w:vAlign w:val="bottom"/>
            <w:tcBorders>
              <w:left w:val="single" w:sz="8" w:color="auto"/>
              <w:right w:val="single" w:sz="8" w:color="auto"/>
            </w:tcBorders>
          </w:tcPr>
          <w:p>
            <w:pPr>
              <w:spacing w:after="0"/>
              <w:rPr>
                <w:sz w:val="16"/>
                <w:szCs w:val="16"/>
                <w:color w:val="auto"/>
              </w:rPr>
            </w:pPr>
          </w:p>
        </w:tc>
        <w:tc>
          <w:tcPr>
            <w:tcW w:w="6280" w:type="dxa"/>
            <w:vAlign w:val="bottom"/>
            <w:tcBorders>
              <w:right w:val="single" w:sz="8" w:color="auto"/>
            </w:tcBorders>
            <w:gridSpan w:val="3"/>
          </w:tcPr>
          <w:p>
            <w:pPr>
              <w:ind w:left="440"/>
              <w:spacing w:after="0" w:line="190" w:lineRule="exact"/>
              <w:rPr>
                <w:sz w:val="20"/>
                <w:szCs w:val="20"/>
                <w:color w:val="auto"/>
              </w:rPr>
            </w:pPr>
            <w:r>
              <w:rPr>
                <w:rFonts w:ascii="Arial" w:cs="Arial" w:eastAsia="Arial" w:hAnsi="Arial"/>
                <w:sz w:val="18"/>
                <w:szCs w:val="18"/>
                <w:color w:val="auto"/>
              </w:rPr>
              <w:t>following dates (each a “Vesting Date”):</w:t>
            </w:r>
          </w:p>
        </w:tc>
      </w:tr>
      <w:tr>
        <w:trPr>
          <w:trHeight w:val="345"/>
        </w:trPr>
        <w:tc>
          <w:tcPr>
            <w:tcW w:w="2700" w:type="dxa"/>
            <w:vAlign w:val="bottom"/>
            <w:tcBorders>
              <w:left w:val="single" w:sz="8" w:color="auto"/>
              <w:right w:val="single" w:sz="8" w:color="auto"/>
            </w:tcBorders>
          </w:tcPr>
          <w:p>
            <w:pPr>
              <w:spacing w:after="0"/>
              <w:rPr>
                <w:sz w:val="24"/>
                <w:szCs w:val="24"/>
                <w:color w:val="auto"/>
              </w:rPr>
            </w:pPr>
          </w:p>
        </w:tc>
        <w:tc>
          <w:tcPr>
            <w:tcW w:w="2240" w:type="dxa"/>
            <w:vAlign w:val="bottom"/>
          </w:tcPr>
          <w:p>
            <w:pPr>
              <w:ind w:left="840"/>
              <w:spacing w:after="0"/>
              <w:rPr>
                <w:sz w:val="20"/>
                <w:szCs w:val="20"/>
                <w:color w:val="auto"/>
              </w:rPr>
            </w:pPr>
            <w:r>
              <w:rPr>
                <w:rFonts w:ascii="Arial" w:cs="Arial" w:eastAsia="Arial" w:hAnsi="Arial"/>
                <w:sz w:val="18"/>
                <w:szCs w:val="18"/>
                <w:color w:val="auto"/>
              </w:rPr>
              <w:t>[DATE(S)]</w:t>
            </w:r>
          </w:p>
        </w:tc>
        <w:tc>
          <w:tcPr>
            <w:tcW w:w="920" w:type="dxa"/>
            <w:vAlign w:val="bottom"/>
            <w:tcBorders>
              <w:top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r>
      <w:tr>
        <w:trPr>
          <w:trHeight w:val="135"/>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12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Participant an incentive to participate in the success and growth of the Company through the opportunity to earn a proprietary interest in the Company;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to give effect to the foregoing intention, the Company desires to grant to the Participant a Restricted Stock Award, pursuant to the Five Star Bancorp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good and valuable consideration, the parties hereto agree as follows:</w:t>
      </w:r>
    </w:p>
    <w:p>
      <w:pPr>
        <w:spacing w:after="0" w:line="170" w:lineRule="exact"/>
        <w:rPr>
          <w:sz w:val="20"/>
          <w:szCs w:val="20"/>
          <w:color w:val="auto"/>
        </w:rPr>
      </w:pPr>
    </w:p>
    <w:p>
      <w:pPr>
        <w:jc w:val="both"/>
        <w:ind w:firstLine="656"/>
        <w:spacing w:after="0" w:line="301" w:lineRule="auto"/>
        <w:tabs>
          <w:tab w:leader="none" w:pos="143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Company hereby awards the Participant a Restricted Stock Award for the number of shares of Common Stock reflected in the table above (each a “</w:t>
      </w:r>
      <w:r>
        <w:rPr>
          <w:rFonts w:ascii="Arial" w:cs="Arial" w:eastAsia="Arial" w:hAnsi="Arial"/>
          <w:sz w:val="16"/>
          <w:szCs w:val="16"/>
          <w:u w:val="single" w:color="auto"/>
          <w:color w:val="auto"/>
        </w:rPr>
        <w:t>Restricted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Restricted Shares</w:t>
      </w:r>
      <w:r>
        <w:rPr>
          <w:rFonts w:ascii="Arial" w:cs="Arial" w:eastAsia="Arial" w:hAnsi="Arial"/>
          <w:sz w:val="16"/>
          <w:szCs w:val="16"/>
          <w:color w:val="auto"/>
        </w:rPr>
        <w:t>”), subject to the terms and conditions set forth herein and the provisions of the Plan, the terms of which are incorporated herein by reference. Capitalized terms used but not otherwise defined in this Agreement shall have the meanings as set forth in the Plan. The Restricted Shares will be issued to the Participant following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left="1380" w:hanging="724"/>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Restrictions on Sale or Other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3" w:lineRule="auto"/>
        <w:tabs>
          <w:tab w:leader="none" w:pos="20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Each Restricted Share awarded to the Participant pursuant to this Agreement shall be subject to forfeiture and may not be sold, transferred, assigned or pledged or otherwise be the subject of any disposition during the Restriction Period (as defined below). Notwithstanding anything to the contrary contained in this Section 2(a), the transfer of any or all of the Restricted Shares to the Participant’s Immediate Family (as defined below) or to a trust for the direct or indirect benefit of the Participant’s Immediate Family shall be exempt from the provisions of this Section 2(a);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transfer shall not involve a disposition for value and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that such transferee or other recipient acknowledges and agrees in writing that such transferee or other recipient will hold the Restricted Shares subject to the provisions of this Agreement, and there shall be no further transfer of such Restricted Shares except in accordance with the terms of this Section 2(a). “</w:t>
      </w:r>
      <w:r>
        <w:rPr>
          <w:rFonts w:ascii="Arial" w:cs="Arial" w:eastAsia="Arial" w:hAnsi="Arial"/>
          <w:sz w:val="18"/>
          <w:szCs w:val="18"/>
          <w:u w:val="single" w:color="auto"/>
          <w:color w:val="auto"/>
        </w:rPr>
        <w:t>Immediate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Family</w:t>
      </w:r>
      <w:r>
        <w:rPr>
          <w:rFonts w:ascii="Arial" w:cs="Arial" w:eastAsia="Arial" w:hAnsi="Arial"/>
          <w:sz w:val="18"/>
          <w:szCs w:val="18"/>
          <w:color w:val="auto"/>
        </w:rPr>
        <w:t>” as used herein shall mean the Participant’s child, stepchild, grandchild, parent, stepparent, grandparent, spouse, or sibling, and shall include adoptive relationships.</w:t>
      </w:r>
    </w:p>
    <w:p>
      <w:pPr>
        <w:spacing w:after="0" w:line="196" w:lineRule="exact"/>
        <w:rPr>
          <w:rFonts w:ascii="Arial" w:cs="Arial" w:eastAsia="Arial" w:hAnsi="Arial"/>
          <w:sz w:val="18"/>
          <w:szCs w:val="18"/>
          <w:color w:val="auto"/>
        </w:rPr>
      </w:pPr>
    </w:p>
    <w:p>
      <w:pPr>
        <w:jc w:val="both"/>
        <w:ind w:left="660" w:firstLine="644"/>
        <w:spacing w:after="0" w:line="291" w:lineRule="auto"/>
        <w:tabs>
          <w:tab w:leader="none" w:pos="20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Restricted Share shall be held physically or in book entry form with the Company’s transfer agent until the restrictions set forth above with respect to such Restricted Share have lapsed in accordance with the provisions of Section 3 or until such Restricted Share is forfeited pursuant to Section 3. Restricted Shares shall be delivered to the Participant only when and to the extent that the restrictions set forth in Section 3 with respect to such Restricted Shares have lapsed. The Company shall not be required (i) to transfer on its books any Restricted Shares that have been purportedly sold or otherwise transferred in violation of any of the provisions of this Agreement (a “</w:t>
      </w:r>
      <w:r>
        <w:rPr>
          <w:rFonts w:ascii="Arial" w:cs="Arial" w:eastAsia="Arial" w:hAnsi="Arial"/>
          <w:sz w:val="16"/>
          <w:szCs w:val="16"/>
          <w:u w:val="single" w:color="auto"/>
          <w:color w:val="auto"/>
        </w:rPr>
        <w:t>Disallowed Transfer</w:t>
      </w:r>
      <w:r>
        <w:rPr>
          <w:rFonts w:ascii="Arial" w:cs="Arial" w:eastAsia="Arial" w:hAnsi="Arial"/>
          <w:sz w:val="16"/>
          <w:szCs w:val="16"/>
          <w:color w:val="auto"/>
        </w:rPr>
        <w:t>”) or (ii) to treat any person to whom Restricted Shares have been purportedly sold or transferred by means of a Disallowed Transfer (a “</w:t>
      </w:r>
      <w:r>
        <w:rPr>
          <w:rFonts w:ascii="Arial" w:cs="Arial" w:eastAsia="Arial" w:hAnsi="Arial"/>
          <w:sz w:val="16"/>
          <w:szCs w:val="16"/>
          <w:u w:val="single" w:color="auto"/>
          <w:color w:val="auto"/>
        </w:rPr>
        <w:t>Disallowed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Transferee</w:t>
      </w:r>
      <w:r>
        <w:rPr>
          <w:rFonts w:ascii="Arial" w:cs="Arial" w:eastAsia="Arial" w:hAnsi="Arial"/>
          <w:sz w:val="16"/>
          <w:szCs w:val="16"/>
          <w:color w:val="auto"/>
        </w:rPr>
        <w:t>”) as owner of such Restricted Shares, accord a Disallowed Transferee the right to vote, or pay dividends to a Disallowed Transferee.</w:t>
      </w:r>
    </w:p>
    <w:p>
      <w:pPr>
        <w:spacing w:after="0" w:line="166" w:lineRule="exact"/>
        <w:rPr>
          <w:rFonts w:ascii="Arial" w:cs="Arial" w:eastAsia="Arial" w:hAnsi="Arial"/>
          <w:sz w:val="16"/>
          <w:szCs w:val="16"/>
          <w:color w:val="auto"/>
        </w:rPr>
      </w:pPr>
    </w:p>
    <w:p>
      <w:pPr>
        <w:ind w:firstLine="656"/>
        <w:spacing w:after="0" w:line="277" w:lineRule="auto"/>
        <w:tabs>
          <w:tab w:leader="none" w:pos="146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Restricted Shares shall become vested, and the restrictions applicable to the Restricted Shares shall lapse (such period,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Restricted Shares shall become nonforfeitable (“</w:t>
      </w:r>
      <w:r>
        <w:rPr>
          <w:rFonts w:ascii="Arial" w:cs="Arial" w:eastAsia="Arial" w:hAnsi="Arial"/>
          <w:sz w:val="18"/>
          <w:szCs w:val="18"/>
          <w:u w:val="single" w:color="auto"/>
          <w:color w:val="auto"/>
        </w:rPr>
        <w:t>Vest</w:t>
      </w:r>
      <w:r>
        <w:rPr>
          <w:rFonts w:ascii="Arial" w:cs="Arial" w:eastAsia="Arial" w:hAnsi="Arial"/>
          <w:sz w:val="18"/>
          <w:szCs w:val="18"/>
          <w:color w:val="auto"/>
        </w:rPr>
        <w:t>”) as follows: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757"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If designated as Cliff Vesting shares on the table appearing on the first page of this Agreement, the Restricted Shares shall Vest on the Vesting Date specified on such table,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remains in Continuous Service through such Vesting Date;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762"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If designated as Incremental Vesting shares on the table appearing on the first page of this Agreement, the Restricted Shares shall Vest in substantially equal installments on each of the Vesting Dates on the table appearing on the first page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remains in Continuous Service through each Vesting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1" w:name="page152"/>
    <w:bookmarkEnd w:id="151"/>
    <w:p>
      <w:pPr>
        <w:jc w:val="both"/>
        <w:spacing w:after="0" w:line="289" w:lineRule="auto"/>
        <w:rPr>
          <w:sz w:val="20"/>
          <w:szCs w:val="20"/>
          <w:color w:val="auto"/>
        </w:rPr>
      </w:pPr>
      <w:r>
        <w:rPr>
          <w:rFonts w:ascii="Arial" w:cs="Arial" w:eastAsia="Arial" w:hAnsi="Arial"/>
          <w:sz w:val="16"/>
          <w:szCs w:val="16"/>
          <w:color w:val="auto"/>
        </w:rPr>
        <w:t>Except as provided in Section 3(b) below, any Restricted Shares that have not Vested pursuant to Section 3(a)(i) or (ii) above, will be forfeited if the Participant ceases to remain in Continuous Service prior to the applicable Vesting Date. For purposes of this Agreement, “</w:t>
      </w:r>
      <w:r>
        <w:rPr>
          <w:rFonts w:ascii="Arial" w:cs="Arial" w:eastAsia="Arial" w:hAnsi="Arial"/>
          <w:sz w:val="16"/>
          <w:szCs w:val="16"/>
          <w:u w:val="single" w:color="auto"/>
          <w:color w:val="auto"/>
        </w:rPr>
        <w:t>Continuous Service</w:t>
      </w:r>
      <w:r>
        <w:rPr>
          <w:rFonts w:ascii="Arial" w:cs="Arial" w:eastAsia="Arial" w:hAnsi="Arial"/>
          <w:sz w:val="16"/>
          <w:szCs w:val="16"/>
          <w:color w:val="auto"/>
        </w:rPr>
        <w:t xml:space="preserve">” means that the Participant’s service with the Company or any Affiliate, whether as an employee, Director or Consultant, is not interrupted or terminated during the relevant period (generally from the Grant Date until the applicable Vesting Date). Whether the Participant’s service with the Company or any Affiliate has been interrupted or terminated shall be determined according to the records of the Company, subject to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Participant’s service shall not be deemed to have been interrupted, and the Participant shall not be deemed to have ceased Continuous Service, solely by reason of (i) the transfer of the Participant’s service among the Company and any of its Affiliates, (ii) an employed Participant’s leave of absence pursuant to the Family and Medical Leave Act or similar law, or (iii) the Participant’s absence or leave, which has been approved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or a duly authorized officer of the Company or any of its Affiliates.</w:t>
      </w:r>
    </w:p>
    <w:p>
      <w:pPr>
        <w:spacing w:after="0" w:line="166" w:lineRule="exact"/>
        <w:rPr>
          <w:sz w:val="20"/>
          <w:szCs w:val="20"/>
          <w:color w:val="auto"/>
        </w:rPr>
      </w:pPr>
    </w:p>
    <w:p>
      <w:pPr>
        <w:ind w:left="1400" w:hanging="756"/>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Section 3(a) above, all of the Restricted Shares shall Vest</w:t>
      </w:r>
    </w:p>
    <w:p>
      <w:pPr>
        <w:spacing w:after="0" w:line="225" w:lineRule="exact"/>
        <w:rPr>
          <w:rFonts w:ascii="Arial" w:cs="Arial" w:eastAsia="Arial" w:hAnsi="Arial"/>
          <w:sz w:val="18"/>
          <w:szCs w:val="18"/>
          <w:color w:val="auto"/>
        </w:rPr>
      </w:pPr>
    </w:p>
    <w:p>
      <w:pPr>
        <w:jc w:val="both"/>
        <w:ind w:left="640" w:firstLine="652"/>
        <w:spacing w:after="0" w:line="263" w:lineRule="auto"/>
        <w:tabs>
          <w:tab w:leader="none" w:pos="217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Participant’s Continuous Service is terminated as a result of the Participant’s death or Disability prior to any Vesting Date, all of the Restricted Shares shall become fully Vested immediately as of the Participant’s last day of employment (or other service relationship); or</w:t>
      </w:r>
    </w:p>
    <w:p>
      <w:pPr>
        <w:spacing w:after="0" w:line="183" w:lineRule="exact"/>
        <w:rPr>
          <w:rFonts w:ascii="Arial" w:cs="Arial" w:eastAsia="Arial" w:hAnsi="Arial"/>
          <w:sz w:val="18"/>
          <w:szCs w:val="18"/>
          <w:color w:val="auto"/>
        </w:rPr>
      </w:pPr>
    </w:p>
    <w:p>
      <w:pPr>
        <w:ind w:left="2200" w:hanging="908"/>
        <w:spacing w:after="0"/>
        <w:tabs>
          <w:tab w:leader="none" w:pos="22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at any time before a Vesting Date, and a Change in Control occurs while the Participant remains in Continuous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Service, then</w:t>
      </w:r>
    </w:p>
    <w:p>
      <w:pPr>
        <w:spacing w:after="0" w:line="210" w:lineRule="exact"/>
        <w:rPr>
          <w:rFonts w:ascii="Arial" w:cs="Arial" w:eastAsia="Arial" w:hAnsi="Arial"/>
          <w:sz w:val="16"/>
          <w:szCs w:val="16"/>
          <w:color w:val="auto"/>
        </w:rPr>
      </w:pPr>
    </w:p>
    <w:p>
      <w:pPr>
        <w:ind w:left="1300" w:right="20" w:firstLine="640"/>
        <w:spacing w:after="0" w:line="277" w:lineRule="auto"/>
        <w:tabs>
          <w:tab w:leader="none" w:pos="2738"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the Restricted Shares are not assumed as set forth in Section 13(b) of the Plan, all of the Restricted Shares shall become fully Vested immediately as of the Change in Control; or</w:t>
      </w:r>
    </w:p>
    <w:p>
      <w:pPr>
        <w:spacing w:after="0" w:line="170" w:lineRule="exact"/>
        <w:rPr>
          <w:rFonts w:ascii="Arial" w:cs="Arial" w:eastAsia="Arial" w:hAnsi="Arial"/>
          <w:sz w:val="18"/>
          <w:szCs w:val="18"/>
          <w:color w:val="auto"/>
        </w:rPr>
      </w:pPr>
    </w:p>
    <w:p>
      <w:pPr>
        <w:jc w:val="both"/>
        <w:ind w:left="1300" w:firstLine="640"/>
        <w:spacing w:after="0" w:line="257" w:lineRule="auto"/>
        <w:tabs>
          <w:tab w:leader="none" w:pos="307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the Restricted Shares are assumed in connection with the Change in Control and the Participant experiences a termination of Continuous Service with the successor of the Company or an Affiliate (the “</w:t>
      </w:r>
      <w:r>
        <w:rPr>
          <w:rFonts w:ascii="Arial" w:cs="Arial" w:eastAsia="Arial" w:hAnsi="Arial"/>
          <w:sz w:val="18"/>
          <w:szCs w:val="18"/>
          <w:u w:val="single" w:color="auto"/>
          <w:color w:val="auto"/>
        </w:rPr>
        <w:t>Successor</w:t>
      </w:r>
      <w:r>
        <w:rPr>
          <w:rFonts w:ascii="Arial" w:cs="Arial" w:eastAsia="Arial" w:hAnsi="Arial"/>
          <w:sz w:val="18"/>
          <w:szCs w:val="18"/>
          <w:color w:val="auto"/>
        </w:rPr>
        <w:t>”) by reason of a termination by the Successor without Cause or by the Participant for Good Reason, in each case within a period of twelve (12) months after the Change in Control, any assumed Restricted Shares that have not fully Vested shall become fully Vested immediately as of the date of termination.</w:t>
      </w:r>
    </w:p>
    <w:p>
      <w:pPr>
        <w:spacing w:after="0" w:line="18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152" w:name="page153"/>
    <w:bookmarkEnd w:id="152"/>
    <w:p>
      <w:pPr>
        <w:ind w:left="920" w:hanging="736"/>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Section 3 the following terms shall have the following meanings:</w:t>
      </w:r>
    </w:p>
    <w:p>
      <w:pPr>
        <w:spacing w:after="0" w:line="225" w:lineRule="exact"/>
        <w:rPr>
          <w:rFonts w:ascii="Arial" w:cs="Arial" w:eastAsia="Arial" w:hAnsi="Arial"/>
          <w:sz w:val="18"/>
          <w:szCs w:val="18"/>
          <w:color w:val="auto"/>
        </w:rPr>
      </w:pPr>
    </w:p>
    <w:p>
      <w:pPr>
        <w:jc w:val="both"/>
        <w:ind w:left="180" w:firstLine="652"/>
        <w:spacing w:after="0" w:line="286" w:lineRule="auto"/>
        <w:tabs>
          <w:tab w:leader="none" w:pos="17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any of the following: (A) the Participant’s willful failure to perform the Participant’s material duties (other than any such failure resulting from incapacity due to physical or mental illness); (B) the Participant’s engagement in dishonesty, illegal conduct or misconduct, which, in each case, is materially injurious to the financial interests or reputation of the Company or its Affiliates or is reasonably determined by the Company or an Affiliate to pose a substantial risk of such material injury;</w:t>
      </w:r>
    </w:p>
    <w:p>
      <w:pPr>
        <w:spacing w:after="0" w:line="1" w:lineRule="exact"/>
        <w:rPr>
          <w:rFonts w:ascii="Arial" w:cs="Arial" w:eastAsia="Arial" w:hAnsi="Arial"/>
          <w:sz w:val="16"/>
          <w:szCs w:val="16"/>
          <w:color w:val="auto"/>
        </w:rPr>
      </w:pPr>
    </w:p>
    <w:p>
      <w:pPr>
        <w:jc w:val="both"/>
        <w:ind w:left="18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(C) the Participant’s embezzlement, misappropriation or fraud, whether or not related to the Participant’s employment (or other service relationship) with the Company or any Affiliate; (D) the Participant’s commission of, plea of guilty, </w:t>
      </w:r>
      <w:r>
        <w:rPr>
          <w:rFonts w:ascii="Arial" w:cs="Arial" w:eastAsia="Arial" w:hAnsi="Arial"/>
          <w:sz w:val="16"/>
          <w:szCs w:val="16"/>
          <w:i w:val="1"/>
          <w:iCs w:val="1"/>
          <w:color w:val="auto"/>
        </w:rPr>
        <w:t>nolo contendere</w:t>
      </w:r>
      <w:r>
        <w:rPr>
          <w:rFonts w:ascii="Arial" w:cs="Arial" w:eastAsia="Arial" w:hAnsi="Arial"/>
          <w:sz w:val="16"/>
          <w:szCs w:val="16"/>
          <w:color w:val="auto"/>
        </w:rPr>
        <w:t>, or plea in abeyance to, or acceptance of a deferred adjudication or probated sentence with respect to, a crime that constitutes a felony (or state law equivalent) or a crime that constitutes a misdemeanor involving moral turpitude; (E) the Participant’s willful violation of a material policy or code of conduct of the Company, including without limitation its Insider Trading Policy or Code of Ethics or any policy with respect to discrimination, sexual harassment, or sexual abuse; or (F) the Participant’s material breach of any material obligation under any written agreement between the Participant and the Company, including, but not limited to any restrictive covenant agreement.</w:t>
      </w:r>
    </w:p>
    <w:p>
      <w:pPr>
        <w:spacing w:after="0" w:line="168" w:lineRule="exact"/>
        <w:rPr>
          <w:rFonts w:ascii="Arial" w:cs="Arial" w:eastAsia="Arial" w:hAnsi="Arial"/>
          <w:sz w:val="16"/>
          <w:szCs w:val="16"/>
          <w:color w:val="auto"/>
        </w:rPr>
      </w:pPr>
    </w:p>
    <w:p>
      <w:pPr>
        <w:jc w:val="both"/>
        <w:ind w:left="180" w:firstLine="652"/>
        <w:spacing w:after="0" w:line="279" w:lineRule="auto"/>
        <w:tabs>
          <w:tab w:leader="none" w:pos="1682"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the Participant’s inability, due to physical or mental incapacity, to substantially perform the Participant’s duties and responsibilities with the Company or any Affiliate for one hundred eighty (180) days out of any three hundred sixty-five (365) day period or one hundred twenty (120) consecutive days; or (B) the Participant’s eligibility to receive long-term disability benefits under a long-term disability plan sponsored by the Company or any of its Affiliates.</w:t>
      </w:r>
    </w:p>
    <w:p>
      <w:pPr>
        <w:spacing w:after="0" w:line="171" w:lineRule="exact"/>
        <w:rPr>
          <w:rFonts w:ascii="Arial" w:cs="Arial" w:eastAsia="Arial" w:hAnsi="Arial"/>
          <w:sz w:val="17"/>
          <w:szCs w:val="17"/>
          <w:color w:val="auto"/>
        </w:rPr>
      </w:pPr>
    </w:p>
    <w:p>
      <w:pPr>
        <w:jc w:val="both"/>
        <w:ind w:left="180" w:firstLine="652"/>
        <w:spacing w:after="0" w:line="286" w:lineRule="auto"/>
        <w:tabs>
          <w:tab w:leader="none" w:pos="1741"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of any of the following without the Participant’s written consent (A) a material reduction in the Participant’s base salary (other than an across-the-board reduction similarly affecting all or substantially all similarly-situated employees, Directors or Consultants (as applicable) of the Company or an Affiliate); (B) with respect to Participants who are employees, a relocation of the Participant’s principal place of employment as of the Grant Date by more than fifty (50) miles; or</w:t>
      </w:r>
    </w:p>
    <w:p>
      <w:pPr>
        <w:spacing w:after="0" w:line="1" w:lineRule="exact"/>
        <w:rPr>
          <w:rFonts w:ascii="Arial" w:cs="Arial" w:eastAsia="Arial" w:hAnsi="Arial"/>
          <w:sz w:val="16"/>
          <w:szCs w:val="16"/>
          <w:color w:val="auto"/>
        </w:rPr>
      </w:pPr>
    </w:p>
    <w:p>
      <w:pPr>
        <w:jc w:val="both"/>
        <w:ind w:left="180"/>
        <w:spacing w:after="0" w:line="269" w:lineRule="auto"/>
        <w:rPr>
          <w:rFonts w:ascii="Arial" w:cs="Arial" w:eastAsia="Arial" w:hAnsi="Arial"/>
          <w:sz w:val="16"/>
          <w:szCs w:val="16"/>
          <w:color w:val="auto"/>
        </w:rPr>
      </w:pPr>
      <w:r>
        <w:rPr>
          <w:rFonts w:ascii="Arial" w:cs="Arial" w:eastAsia="Arial" w:hAnsi="Arial"/>
          <w:sz w:val="17"/>
          <w:szCs w:val="17"/>
          <w:color w:val="auto"/>
        </w:rPr>
        <w:t>(C) a material diminution in the Participant’s title or the nature or scope of the Participant’s duties and responsibilities (other than a temporary diminution by reason of the Participant’s physical or mental incapacity or an administrative leave for the purpose of investigating whether a Cause event has occurred). The Participant cannot terminate the Participant’s employment (or other service relationship) for Good Reason unless the Participant provides written notice to the Company of the event or circumstance constituting Good Reason within sixty (60) days of the initial existence of such event or circumstance, the Company fails to cure such event or circumstance within thirty (30) days after receipt of such written notice, and the Participant terminates the Participant’s employment (or other service relationship) within 120 days after the first occurrence of the applicable event or circumstances.</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53" w:name="page154"/>
    <w:bookmarkEnd w:id="153"/>
    <w:p>
      <w:pPr>
        <w:jc w:val="both"/>
        <w:ind w:firstLine="656"/>
        <w:spacing w:after="0" w:line="259" w:lineRule="auto"/>
        <w:tabs>
          <w:tab w:leader="none" w:pos="155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Except to the extent otherwise provided in Section 3, upon termination of the Participant’s Continuous Service with the Company and its Affiliates, any Restricted Shares as to which the Restriction Period has not then lapsed shall be automatically and irrevocably forfeited by the Participant, and such Restricted Shares shall thereupon be transferred to the Company at no cost to the Company, and the Participant shall then have no rights or entitlement to any payment or consideration thereto.</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4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Except with respect to the restrictions set forth in Section 2 above, following the date of this Agreement and upon the issuance to the Participant of Restricted Shares hereunder, the Participant shall have all the rights of a shareholder of Common Stock with respect to such Restricted Shares, including the right to vote the shares and receive all dividends and other distributions paid or made with respect thereto.</w:t>
      </w:r>
    </w:p>
    <w:p>
      <w:pPr>
        <w:spacing w:after="0" w:line="148" w:lineRule="exact"/>
        <w:rPr>
          <w:rFonts w:ascii="Arial" w:cs="Arial" w:eastAsia="Arial" w:hAnsi="Arial"/>
          <w:sz w:val="16"/>
          <w:szCs w:val="16"/>
          <w:color w:val="auto"/>
        </w:rPr>
      </w:pPr>
    </w:p>
    <w:p>
      <w:pPr>
        <w:jc w:val="both"/>
        <w:ind w:firstLine="656"/>
        <w:spacing w:after="0" w:line="301" w:lineRule="auto"/>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Government Regulations</w:t>
      </w:r>
      <w:r>
        <w:rPr>
          <w:rFonts w:ascii="Arial" w:cs="Arial" w:eastAsia="Arial" w:hAnsi="Arial"/>
          <w:sz w:val="16"/>
          <w:szCs w:val="16"/>
          <w:color w:val="auto"/>
        </w:rPr>
        <w:t>. Notwithstanding anything contained herein to the contrary, the Company’s obligation hereunder to issue or deliver shares of Common Stock shall be subject to the terms of the Plan, all applicable federal, state, and local laws, rules and regulations (including state blue sky laws, rules and regulations) and to such approvals by any governmental agencies or national securities exchanges as may be required. The Company shall have the right to impose restrictions on any Restricted Shares as it deems necessary or advisable under such laws, rules and regulations.</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41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Participant Representations</w:t>
      </w:r>
      <w:r>
        <w:rPr>
          <w:rFonts w:ascii="Arial" w:cs="Arial" w:eastAsia="Arial" w:hAnsi="Arial"/>
          <w:sz w:val="17"/>
          <w:szCs w:val="17"/>
          <w:color w:val="auto"/>
        </w:rPr>
        <w:t>. The Participant has reviewed with the Participant’s own tax advisors the federal, state, local and foreign tax consequences of the transactions contemplated by this Agreement. The Participant is relying solely on such advisors, and not on any statements or representations of the Company or any of its agents, if any, made to the Participant. The Participant understands that the Participant (and not the Company) shall be responsible for the Participant’s own liability arising as a result of the transactions contemplated by this Agreement.</w:t>
      </w:r>
    </w:p>
    <w:p>
      <w:pPr>
        <w:spacing w:after="0" w:line="171" w:lineRule="exact"/>
        <w:rPr>
          <w:rFonts w:ascii="Arial" w:cs="Arial" w:eastAsia="Arial" w:hAnsi="Arial"/>
          <w:sz w:val="17"/>
          <w:szCs w:val="17"/>
          <w:color w:val="auto"/>
        </w:rPr>
      </w:pPr>
    </w:p>
    <w:p>
      <w:pPr>
        <w:ind w:left="1380" w:hanging="724"/>
        <w:spacing w:after="0"/>
        <w:tabs>
          <w:tab w:leader="none" w:pos="13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7" w:lineRule="auto"/>
        <w:tabs>
          <w:tab w:leader="none" w:pos="209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If any withholding is required with respect to the Shares, the Company shall have the right to require the Participant to remit such withholding tax to the Company or an Affiliate, or to withhold from other amounts payable to the Participant (as compensation or otherwise), </w:t>
      </w:r>
      <w:r>
        <w:rPr>
          <w:rFonts w:ascii="Arial" w:cs="Arial" w:eastAsia="Arial" w:hAnsi="Arial"/>
          <w:sz w:val="18"/>
          <w:szCs w:val="18"/>
          <w:b w:val="1"/>
          <w:bCs w:val="1"/>
          <w:color w:val="auto"/>
        </w:rPr>
        <w:t>the maximum statutory amount required</w:t>
      </w:r>
      <w:r>
        <w:rPr>
          <w:rFonts w:ascii="Arial" w:cs="Arial" w:eastAsia="Arial" w:hAnsi="Arial"/>
          <w:sz w:val="18"/>
          <w:szCs w:val="18"/>
          <w:color w:val="auto"/>
        </w:rPr>
        <w:t xml:space="preserve"> to satisfy all federal, state and local income tax withholding requirements and the Participant’s share of applicable employment withholding taxes (including, without limitation, any such income or employment taxes resulting from the issuance or Vesting of the Restricted Shares).</w:t>
      </w:r>
    </w:p>
    <w:p>
      <w:pPr>
        <w:spacing w:after="0" w:line="187" w:lineRule="exact"/>
        <w:rPr>
          <w:rFonts w:ascii="Arial" w:cs="Arial" w:eastAsia="Arial" w:hAnsi="Arial"/>
          <w:sz w:val="18"/>
          <w:szCs w:val="18"/>
          <w:color w:val="auto"/>
        </w:rPr>
      </w:pPr>
    </w:p>
    <w:p>
      <w:pPr>
        <w:jc w:val="both"/>
        <w:ind w:left="660" w:firstLine="644"/>
        <w:spacing w:after="0" w:line="284" w:lineRule="auto"/>
        <w:tabs>
          <w:tab w:leader="none" w:pos="2134"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The Participant hereby acknowledges that the Participant has been informed that, with respect to the Restricted Shares, the Participant may file an election with the Internal Revenue Service, within 30 days of the date on which the Restricted Shares are granted, electing pursuant to Section 83(b) (“</w:t>
      </w:r>
      <w:r>
        <w:rPr>
          <w:rFonts w:ascii="Arial" w:cs="Arial" w:eastAsia="Arial" w:hAnsi="Arial"/>
          <w:sz w:val="16"/>
          <w:szCs w:val="16"/>
          <w:u w:val="single" w:color="auto"/>
          <w:color w:val="auto"/>
        </w:rPr>
        <w:t>Section 83(b)</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to be taxed currently on the Fair Market Value on the date of issuance. Absent such an election, taxable income will be measured and recognized by the Participant at the time or times at which the forfeiture restrictions on the Restricted Shares lapse. The Participant is strongly encouraged to seek the advice of his or her own tax consultant in connection with the issuance of the Restricted Shares and the Participant’s decision whether to file a Section 83(b) election. </w:t>
      </w:r>
      <w:r>
        <w:rPr>
          <w:rFonts w:ascii="Arial" w:cs="Arial" w:eastAsia="Arial" w:hAnsi="Arial"/>
          <w:sz w:val="16"/>
          <w:szCs w:val="16"/>
          <w:b w:val="1"/>
          <w:bCs w:val="1"/>
          <w:color w:val="auto"/>
        </w:rPr>
        <w:t>THE PARTICIPANT ACKNOWLEDGES THAT IT THE PARTICIPANT’S SOLE RESPONSIBILITY TO</w:t>
      </w:r>
    </w:p>
    <w:p>
      <w:pPr>
        <w:spacing w:after="0" w:line="2" w:lineRule="exact"/>
        <w:rPr>
          <w:rFonts w:ascii="Arial" w:cs="Arial" w:eastAsia="Arial" w:hAnsi="Arial"/>
          <w:sz w:val="16"/>
          <w:szCs w:val="16"/>
          <w:color w:val="auto"/>
        </w:rPr>
      </w:pPr>
    </w:p>
    <w:p>
      <w:pPr>
        <w:jc w:val="both"/>
        <w:ind w:left="660" w:right="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 xml:space="preserve">TIMELY FILE ANY SECTION 83(b) ELECTION, AND THE COMPANY WILL NOT MAKE SUCH FILING ON THE PARTICIPANT’S BEHALF. </w:t>
      </w:r>
      <w:r>
        <w:rPr>
          <w:rFonts w:ascii="Arial" w:cs="Arial" w:eastAsia="Arial" w:hAnsi="Arial"/>
          <w:sz w:val="18"/>
          <w:szCs w:val="18"/>
          <w:color w:val="auto"/>
        </w:rPr>
        <w:t>If the Participant files a Section 83(b) election, the Participant shall promptly furnish the Company with a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election. A form of election under Section 83(b)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reference.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4" w:name="page155"/>
    <w:bookmarkEnd w:id="154"/>
    <w:p>
      <w:pPr>
        <w:jc w:val="both"/>
        <w:ind w:left="660" w:firstLine="644"/>
        <w:spacing w:after="0" w:line="268" w:lineRule="auto"/>
        <w:tabs>
          <w:tab w:leader="none" w:pos="2074" w:val="left"/>
        </w:tabs>
        <w:numPr>
          <w:ilvl w:val="2"/>
          <w:numId w:val="5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be exempt from, or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If any provision of the Plan or this Agreement fails to satisfy the requirements for compliance with, or exemption from, Section 409A, the Company may, in its sole discretion and without the Participant’s consent, modify such provision to the extent necessary to so comply. Nothing in this Section 10(c) or elsewhere in this Agreement transfers to the Company the obligation to pay any tax, interest or penalty incurred by the Participant in connection with the Restricted Shares (including any tax or penalty incurred as a result of a violation of Section 409A) or creates any obligation on the part of the Company to modify the Plan or this Agreement. To the extent necessary to avoid any tax or penalty under Section 409A, a termination of employment shall not be deemed to have occurred for purposes of any provision of this Agreement providing for the payment of any amounts or benefits upon or following a termination of employment unless such termination also constitutes a “Separation from Service” within the meaning of Section 409A and, for purposes of any such provision of this Agreement, references to a “termination,” “termination of employment,” “separation from service” or like terms shall mean Separation from Service. Any installment payment required under this Agreement (and any dividend paid with respect to the Restricted Shares) shall be considered a separate payment for purposes of Section 409A. If, upon separation from service, the Participant is a “specified employee” within the meaning of Section 409A, any payment under this Agreement that is subject to Section 409A and would otherwise be paid within six months after the Participant’s separation from service will instead be paid in the seventh month following the Participant’s separation from service (to the extent required by Section 409A(a)(2)(B)(i)). No payment under this Agreement that constitutes deferred compensation subject to Section 409A shall be subject to offset by any other amount unless otherwise permitted by Section 409A.</w:t>
      </w:r>
    </w:p>
    <w:p>
      <w:pPr>
        <w:spacing w:after="0" w:line="179" w:lineRule="exact"/>
        <w:rPr>
          <w:rFonts w:ascii="Arial" w:cs="Arial" w:eastAsia="Arial" w:hAnsi="Arial"/>
          <w:sz w:val="17"/>
          <w:szCs w:val="17"/>
          <w:color w:val="auto"/>
        </w:rPr>
      </w:pPr>
    </w:p>
    <w:p>
      <w:pPr>
        <w:jc w:val="both"/>
        <w:ind w:firstLine="656"/>
        <w:spacing w:after="0" w:line="286" w:lineRule="auto"/>
        <w:tabs>
          <w:tab w:leader="none" w:pos="1439"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The Participant acknowledges and agrees that (i) nothing in this Agreement or the Plan confers on the Participant any right to continue in an employment, consulting, directorship or other service relationship with the Company, nor shall it affect in any way the Participant’s right or the Company’s right to terminate the Participant’s employment, consulting, directorship or other service relationship at any time, with or without cause, subject to any employment or service agreement that may have been entered into by the Commpany and the Participant;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would not have granted this Award to the Participant but for these acknowledgements and agreements.</w:t>
      </w:r>
    </w:p>
    <w:p>
      <w:pPr>
        <w:spacing w:after="0" w:line="210" w:lineRule="exact"/>
        <w:rPr>
          <w:rFonts w:ascii="Arial" w:cs="Arial" w:eastAsia="Arial" w:hAnsi="Arial"/>
          <w:sz w:val="18"/>
          <w:szCs w:val="18"/>
          <w:color w:val="auto"/>
        </w:rPr>
      </w:pPr>
    </w:p>
    <w:p>
      <w:pPr>
        <w:jc w:val="both"/>
        <w:ind w:firstLine="656"/>
        <w:spacing w:after="0" w:line="279" w:lineRule="auto"/>
        <w:tabs>
          <w:tab w:leader="none" w:pos="1507"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Participant agrees upon request to do all such reasonable acts and things and execute any further reasonable documents or instruments reasonably requested by the Company to carry out the purposes or intent of this Agreement and to facilitate the sale or other disposition of the Restricted Shares pursuant to this Agreement and/or to comply with all applicable federal, state, blue sky and local laws, rules and regulations and to obtain any necessary or desirable approvals by any governmental agencies or national securities exchanges.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5" w:name="page156"/>
    <w:bookmarkEnd w:id="155"/>
    <w:p>
      <w:pPr>
        <w:jc w:val="both"/>
        <w:ind w:firstLine="656"/>
        <w:spacing w:after="0" w:line="296" w:lineRule="auto"/>
        <w:tabs>
          <w:tab w:leader="none" w:pos="156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Opportunity for Review</w:t>
      </w:r>
      <w:r>
        <w:rPr>
          <w:rFonts w:ascii="Arial" w:cs="Arial" w:eastAsia="Arial" w:hAnsi="Arial"/>
          <w:sz w:val="16"/>
          <w:szCs w:val="16"/>
          <w:color w:val="auto"/>
        </w:rPr>
        <w:t>. The Participant and the Company agree that this Award is granted under and governed by the terms and conditions of the Plan and this Award Agreement. The Participant has reviewed the Plan and this Award Agreement in their entirety, has had an opportunity to obtain the advice of counsel prior to accepting this Award Agreement and fully understands all provisions of the Plan and this Award Agreement. The Participant hereby agrees to accept as binding, conclusive and final all decisions or interpretations of the Committee upon any questions relating to the Plan and this Award Agreement. The Participant further agrees to notify the Company upon any change in the Participant’s residence address.</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4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or communications to be made hereunder shall be in writing and shall be delivered in person, by registered mail, by confirmed facsimile or by a reputable overnight courier service to the Company at its principal office or to the Participant at his or her address contained in the records of the Company. Alternatively, notices and other communications may be provided in the form and manner of such electronic means as the Company may permit.</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48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any conflict between this Agreement and the Plan, the Plan shall be controlling unless explicitly specified otherwise herein. This Agreement shall be construed under the laws of the State of California, without regard to conflict of laws principles.</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38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Binding Effect; Equitable Relief</w:t>
      </w:r>
      <w:r>
        <w:rPr>
          <w:rFonts w:ascii="Arial" w:cs="Arial" w:eastAsia="Arial" w:hAnsi="Arial"/>
          <w:sz w:val="18"/>
          <w:szCs w:val="18"/>
          <w:color w:val="auto"/>
        </w:rPr>
        <w:t>. This Agreement shall be binding upon and inure to the benefit of the Company and the Participant and their respective permitted successors, assigns, heirs, beneficiaries and representatives. The parties hereto agree and declare that legal remedies are inadequate to enforce the provisions of this Agreement and that equitable relief, including specific performance and injunctive relief, may be used to enforce the provisions of this Agreement.</w:t>
      </w:r>
    </w:p>
    <w:p>
      <w:pPr>
        <w:spacing w:after="0" w:line="186" w:lineRule="exact"/>
        <w:rPr>
          <w:rFonts w:ascii="Arial" w:cs="Arial" w:eastAsia="Arial" w:hAnsi="Arial"/>
          <w:sz w:val="18"/>
          <w:szCs w:val="18"/>
          <w:color w:val="auto"/>
        </w:rPr>
      </w:pPr>
    </w:p>
    <w:p>
      <w:pPr>
        <w:jc w:val="both"/>
        <w:ind w:firstLine="656"/>
        <w:spacing w:after="0" w:line="296" w:lineRule="auto"/>
        <w:tabs>
          <w:tab w:leader="none" w:pos="169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Restricted Shares and the Participant’s participation in the Plan (including any prospectuses, annual reports and other information required to be delivered by applicable securities laws, rules and regulations),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6" w:name="page157"/>
    <w:bookmarkEnd w:id="156"/>
    <w:p>
      <w:pPr>
        <w:jc w:val="both"/>
        <w:ind w:left="-20" w:firstLine="656"/>
        <w:spacing w:after="0" w:line="296" w:lineRule="auto"/>
        <w:tabs>
          <w:tab w:leader="none" w:pos="134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Construction; Waiver; Severability</w:t>
      </w:r>
      <w:r>
        <w:rPr>
          <w:rFonts w:ascii="Arial" w:cs="Arial" w:eastAsia="Arial" w:hAnsi="Arial"/>
          <w:sz w:val="16"/>
          <w:szCs w:val="16"/>
          <w:i w:val="1"/>
          <w:iCs w:val="1"/>
          <w:color w:val="auto"/>
        </w:rPr>
        <w:t>.</w:t>
      </w:r>
      <w:r>
        <w:rPr>
          <w:rFonts w:ascii="Arial" w:cs="Arial" w:eastAsia="Arial" w:hAnsi="Arial"/>
          <w:sz w:val="16"/>
          <w:szCs w:val="16"/>
          <w:color w:val="auto"/>
        </w:rPr>
        <w:t xml:space="preserve"> The headings in this Agreement are provided for convenience only and are not to serve as a basis for interpretation or construction, and shall not constitute a part of this Agreement. Any right of the Company in this Agreement may be waived in writing by the Board or the Compensation Committee of the Board. No waiver or any right hereunder by any party shall operate as a waiver of any other right, or as a waiver of the same right with respect to any subsequent occasion for its exercise, or as a waiver of any right to damages. If any provision of this Agreement is held to be unenforceable or invalid, the remaining provisions shall be severable and enforceable to the extent permitted by law.</w:t>
      </w:r>
    </w:p>
    <w:p>
      <w:pPr>
        <w:spacing w:after="0" w:line="161" w:lineRule="exact"/>
        <w:rPr>
          <w:rFonts w:ascii="Arial" w:cs="Arial" w:eastAsia="Arial" w:hAnsi="Arial"/>
          <w:sz w:val="16"/>
          <w:szCs w:val="16"/>
          <w:color w:val="auto"/>
        </w:rPr>
      </w:pPr>
    </w:p>
    <w:p>
      <w:pPr>
        <w:ind w:left="-20" w:firstLine="656"/>
        <w:spacing w:after="0" w:line="277" w:lineRule="auto"/>
        <w:tabs>
          <w:tab w:leader="none" w:pos="140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first set forth above.</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FIVE STAR BANCORP</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-121920</wp:posOffset>
            </wp:positionV>
            <wp:extent cx="3317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23495</wp:posOffset>
            </wp:positionV>
            <wp:extent cx="33172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331724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511810</wp:posOffset>
            </wp:positionV>
            <wp:extent cx="713232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taxpayer hereby makes an election pursuant to Section 83(b) of the Internal Revenue Code of 1986, as amended, and the Treasury Regulations thereunder (the “</w:t>
      </w:r>
      <w:r>
        <w:rPr>
          <w:rFonts w:ascii="Arial" w:cs="Arial" w:eastAsia="Arial" w:hAnsi="Arial"/>
          <w:sz w:val="18"/>
          <w:szCs w:val="18"/>
          <w:u w:val="single" w:color="auto"/>
          <w:color w:val="auto"/>
        </w:rPr>
        <w:t>Regulations</w:t>
      </w:r>
      <w:r>
        <w:rPr>
          <w:rFonts w:ascii="Arial" w:cs="Arial" w:eastAsia="Arial" w:hAnsi="Arial"/>
          <w:sz w:val="18"/>
          <w:szCs w:val="18"/>
          <w:color w:val="auto"/>
        </w:rPr>
        <w:t>”), to include in gross income for the taxpayer’s current taxable year the fair market value of the property described below (less any consideration paid for such property, if applicable) at the time of the transfer. In connection with this election, the undersigned taxpayer hereby supplies the following information:</w:t>
      </w:r>
    </w:p>
    <w:p>
      <w:pPr>
        <w:spacing w:after="0" w:line="18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undersigned 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168910</wp:posOffset>
            </wp:positionV>
            <wp:extent cx="28117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22860</wp:posOffset>
            </wp:positionV>
            <wp:extent cx="28117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-121920</wp:posOffset>
            </wp:positionV>
            <wp:extent cx="28117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Social Security Number: _______ – _____ – _________</w:t>
      </w:r>
    </w:p>
    <w:p>
      <w:pPr>
        <w:spacing w:after="0" w:line="185" w:lineRule="exact"/>
        <w:rPr>
          <w:sz w:val="20"/>
          <w:szCs w:val="20"/>
          <w:color w:val="auto"/>
        </w:rPr>
      </w:pPr>
    </w:p>
    <w:p>
      <w:pPr>
        <w:ind w:left="660" w:right="26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election is being made with respect to ________ shares of common stock (the “</w:t>
      </w:r>
      <w:r>
        <w:rPr>
          <w:rFonts w:ascii="Arial" w:cs="Arial" w:eastAsia="Arial" w:hAnsi="Arial"/>
          <w:sz w:val="18"/>
          <w:szCs w:val="18"/>
          <w:u w:val="single" w:color="auto"/>
          <w:color w:val="auto"/>
        </w:rPr>
        <w:t>Stock</w:t>
      </w:r>
      <w:r>
        <w:rPr>
          <w:rFonts w:ascii="Arial" w:cs="Arial" w:eastAsia="Arial" w:hAnsi="Arial"/>
          <w:sz w:val="18"/>
          <w:szCs w:val="18"/>
          <w:color w:val="auto"/>
        </w:rPr>
        <w:t>”) of Five Star Bancorp.,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Stock was transferred to the undersigned was ______________, 20____. The taxable year for which this election is being made is calendar year 20____.</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8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above-mentioned shares may not be transferred and are subject to forfeiture under the terms of an agreement between the taxpayer and the Company. These restrictions lapse upon the satisfaction of certain conditions contained in such agreement.</w:t>
      </w:r>
    </w:p>
    <w:p>
      <w:pPr>
        <w:spacing w:after="0" w:line="143"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market value of the Stock at the time of transfer (determined without regard to any lapse restriction, as defined in §1.83-3(i) of the Regulations) was $ [_____].</w:t>
      </w:r>
    </w:p>
    <w:p>
      <w:pPr>
        <w:spacing w:after="0" w:line="12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did not pay any amount for the Stock. Therefore, $ [______] (the full fair market value of the Stock stated above) is includible in the undersigned's gross income as compensation for services.</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copy of this election has been furnished to the Company as required by §1.83-2(d) of the Regulations.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________________________</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-130175</wp:posOffset>
            </wp:positionV>
            <wp:extent cx="34029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340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INSTRUCTIONS FOR FILING SECTION 83(b) ELECTION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Attached is a form of election under Section 83(b) of the Internal Revenue Code. If you wish to make such an election, you should complete, sign and date the election and then proceed as follows:</w:t>
      </w:r>
    </w:p>
    <w:p>
      <w:pPr>
        <w:spacing w:after="0" w:line="17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Execute three counterparts of your completed election, retaining at least one copy for your records.</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Send one counterpart to the Internal Revenue Service Center office where you will file your federal income tax return for the current calendar year, via certified mail with return receipt requested. THE ELECTION SHOULD BE SENT IMMEDIATELY, AS YOU ONLY HAVE 30 DAYS FROM THE DATE ON WHICH THE RESTRICTED SHARES ARE TRANSFERRED WITHIN WHICH TO MAKE THE ELECTION. NO WAIVERS, LATE FILINGS OR EXTENSIONS ARE PERMITTED. THIS ELECTION CANNOT BE REVOKED WITHOUT THE CONSENT OF THE IRS.</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 one counterpart of the completed election to the Company for its 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Retain one copy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[_______], 2022</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Restricted Stock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between Five Star Bancorp,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individual participant specified in the table below (the “</w:t>
      </w:r>
      <w:r>
        <w:rPr>
          <w:rFonts w:ascii="Arial" w:cs="Arial" w:eastAsia="Arial" w:hAnsi="Arial"/>
          <w:sz w:val="18"/>
          <w:szCs w:val="18"/>
          <w:u w:val="single" w:color="auto"/>
          <w:color w:val="auto"/>
        </w:rPr>
        <w:t>Participant</w:t>
      </w:r>
      <w:r>
        <w:rPr>
          <w:rFonts w:ascii="Arial" w:cs="Arial" w:eastAsia="Arial" w:hAnsi="Arial"/>
          <w:sz w:val="18"/>
          <w:szCs w:val="18"/>
          <w:color w:val="auto"/>
        </w:rPr>
        <w:t>”) in connection with service as a member of the Company’s Board of Directors (the “</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w:t>
      </w:r>
    </w:p>
    <w:p>
      <w:pPr>
        <w:spacing w:after="0" w:line="178" w:lineRule="exact"/>
        <w:rPr>
          <w:sz w:val="20"/>
          <w:szCs w:val="20"/>
          <w:color w:val="auto"/>
        </w:rPr>
      </w:pPr>
    </w:p>
    <w:tbl>
      <w:tblPr>
        <w:tblLayout w:type="fixed"/>
        <w:tblInd w:w="1150" w:type="dxa"/>
        <w:tblCellMar>
          <w:top w:w="0" w:type="dxa"/>
          <w:left w:w="0" w:type="dxa"/>
          <w:bottom w:w="0" w:type="dxa"/>
          <w:right w:w="0" w:type="dxa"/>
        </w:tblCellMar>
      </w:tblPr>
      <w:tr>
        <w:trPr>
          <w:trHeight w:val="257"/>
        </w:trPr>
        <w:tc>
          <w:tcPr>
            <w:tcW w:w="27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Participant</w:t>
            </w:r>
          </w:p>
        </w:tc>
        <w:tc>
          <w:tcPr>
            <w:tcW w:w="6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w:t>
            </w: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Grant Date</w:t>
            </w:r>
          </w:p>
        </w:tc>
        <w:tc>
          <w:tcPr>
            <w:tcW w:w="628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Total Number of Restricted Shares</w:t>
            </w:r>
          </w:p>
        </w:tc>
        <w:tc>
          <w:tcPr>
            <w:tcW w:w="628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r>
      <w:tr>
        <w:trPr>
          <w:trHeight w:val="237"/>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 Price</w:t>
            </w:r>
          </w:p>
        </w:tc>
        <w:tc>
          <w:tcPr>
            <w:tcW w:w="6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$[___] per share (determined as of [DATE])</w:t>
            </w: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6280" w:type="dxa"/>
            <w:vAlign w:val="bottom"/>
            <w:tcBorders>
              <w:bottom w:val="single" w:sz="8" w:color="auto"/>
              <w:right w:val="single" w:sz="8" w:color="auto"/>
            </w:tcBorders>
          </w:tcPr>
          <w:p>
            <w:pPr>
              <w:spacing w:after="0"/>
              <w:rPr>
                <w:sz w:val="2"/>
                <w:szCs w:val="2"/>
                <w:color w:val="auto"/>
              </w:rPr>
            </w:pPr>
          </w:p>
        </w:tc>
      </w:tr>
      <w:tr>
        <w:trPr>
          <w:trHeight w:val="291"/>
        </w:trPr>
        <w:tc>
          <w:tcPr>
            <w:tcW w:w="2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Vesting Terms</w:t>
            </w:r>
          </w:p>
        </w:tc>
        <w:tc>
          <w:tcPr>
            <w:tcW w:w="628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Check one:</w:t>
            </w:r>
          </w:p>
        </w:tc>
      </w:tr>
      <w:tr>
        <w:trPr>
          <w:trHeight w:val="324"/>
        </w:trPr>
        <w:tc>
          <w:tcPr>
            <w:tcW w:w="270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  Cliff Vesting with a Vesting Date of [DATE] pursuant to Section 3(a)(i).</w:t>
            </w:r>
          </w:p>
        </w:tc>
      </w:tr>
      <w:tr>
        <w:trPr>
          <w:trHeight w:val="324"/>
        </w:trPr>
        <w:tc>
          <w:tcPr>
            <w:tcW w:w="270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  Incremental Vesting over a Restriction Period pursuant to Section 3(a)(ii).</w:t>
            </w:r>
          </w:p>
        </w:tc>
      </w:tr>
      <w:tr>
        <w:trPr>
          <w:trHeight w:val="135"/>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62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Participant an incentive to participate in the success and growth of the Company through the opportunity to earn a proprietary interest in the Company;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to give effect to the foregoing intention, the Company desires to grant to the Participant a Restricted Stock Award, pursuant to the Five Star Bancorp 2021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good and valuable consideration, the parties hereto agree as follows:</w:t>
      </w:r>
    </w:p>
    <w:p>
      <w:pPr>
        <w:spacing w:after="0" w:line="170" w:lineRule="exact"/>
        <w:rPr>
          <w:sz w:val="20"/>
          <w:szCs w:val="20"/>
          <w:color w:val="auto"/>
        </w:rPr>
      </w:pPr>
    </w:p>
    <w:p>
      <w:pPr>
        <w:jc w:val="both"/>
        <w:ind w:firstLine="656"/>
        <w:spacing w:after="0" w:line="301" w:lineRule="auto"/>
        <w:tabs>
          <w:tab w:leader="none" w:pos="143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Company hereby awards the Participant a Restricted Stock Award for the number of shares of Common Stock reflected in the table above (each a “</w:t>
      </w:r>
      <w:r>
        <w:rPr>
          <w:rFonts w:ascii="Arial" w:cs="Arial" w:eastAsia="Arial" w:hAnsi="Arial"/>
          <w:sz w:val="16"/>
          <w:szCs w:val="16"/>
          <w:u w:val="single" w:color="auto"/>
          <w:color w:val="auto"/>
        </w:rPr>
        <w:t>Restricted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Restricted Shares</w:t>
      </w:r>
      <w:r>
        <w:rPr>
          <w:rFonts w:ascii="Arial" w:cs="Arial" w:eastAsia="Arial" w:hAnsi="Arial"/>
          <w:sz w:val="16"/>
          <w:szCs w:val="16"/>
          <w:color w:val="auto"/>
        </w:rPr>
        <w:t>”), subject to the terms and conditions set forth herein and the provisions of the Plan, the terms of which are incorporated herein by reference. Capitalized terms used but not otherwise defined in this Agreement shall have the meanings as set forth in the Plan. The Restricted Shares will be issued to the Participant following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ind w:left="1380" w:hanging="724"/>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Restrictions on Sale or Other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3" w:lineRule="auto"/>
        <w:tabs>
          <w:tab w:leader="none" w:pos="20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Each Restricted Share awarded to the Participant pursuant to this Agreement shall be subject to forfeiture and may not be sold, transferred, assigned or pledged or otherwise be the subject of any disposition during the Restriction Period (as defined below). Notwithstanding anything to the contrary contained in this Section 2(a), the transfer of any or all of the Restricted Shares to the Participant’s Immediate Family (as defined below) or to a trust for the direct or indirect benefit of the Participant’s Immediate Family shall be exempt from the provisions of this Section 2(a);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transfer shall not involve a disposition for value and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that such transferee or other recipient acknowledges and agrees in writing that such transferee or other recipient will hold the Restricted Shares subject to the provisions of this Agreement, and there shall be no further transfer of such Restricted Shares except in accordance with the terms of this Section 2(a). “</w:t>
      </w:r>
      <w:r>
        <w:rPr>
          <w:rFonts w:ascii="Arial" w:cs="Arial" w:eastAsia="Arial" w:hAnsi="Arial"/>
          <w:sz w:val="18"/>
          <w:szCs w:val="18"/>
          <w:u w:val="single" w:color="auto"/>
          <w:color w:val="auto"/>
        </w:rPr>
        <w:t>Immediate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Family</w:t>
      </w:r>
      <w:r>
        <w:rPr>
          <w:rFonts w:ascii="Arial" w:cs="Arial" w:eastAsia="Arial" w:hAnsi="Arial"/>
          <w:sz w:val="18"/>
          <w:szCs w:val="18"/>
          <w:color w:val="auto"/>
        </w:rPr>
        <w:t>” as used herein shall mean the Participant’s child, stepchild, grandchild, parent, stepparent, grandparent, spouse, or sibling, and shall include adoptive relationships.</w:t>
      </w:r>
    </w:p>
    <w:p>
      <w:pPr>
        <w:spacing w:after="0" w:line="196" w:lineRule="exact"/>
        <w:rPr>
          <w:rFonts w:ascii="Arial" w:cs="Arial" w:eastAsia="Arial" w:hAnsi="Arial"/>
          <w:sz w:val="18"/>
          <w:szCs w:val="18"/>
          <w:color w:val="auto"/>
        </w:rPr>
      </w:pPr>
    </w:p>
    <w:p>
      <w:pPr>
        <w:jc w:val="both"/>
        <w:ind w:left="660" w:firstLine="644"/>
        <w:spacing w:after="0" w:line="291" w:lineRule="auto"/>
        <w:tabs>
          <w:tab w:leader="none" w:pos="20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Restricted Share shall be held physically or in book entry form with the Company’s transfer agent until the restrictions set forth above with respect to such Restricted Share have lapsed in accordance with the provisions of Section 3 or until such Restricted Share is forfeited pursuant to Section 3. Restricted Shares shall be delivered to the Participant only when and to the extent that the restrictions set forth in Section 3 with respect to such Restricted Shares have lapsed. The Company shall not be required (i) to transfer on its books any Restricted Shares that have been purportedly sold or otherwise transferred in violation of any of the provisions of this Agreement (a “</w:t>
      </w:r>
      <w:r>
        <w:rPr>
          <w:rFonts w:ascii="Arial" w:cs="Arial" w:eastAsia="Arial" w:hAnsi="Arial"/>
          <w:sz w:val="16"/>
          <w:szCs w:val="16"/>
          <w:u w:val="single" w:color="auto"/>
          <w:color w:val="auto"/>
        </w:rPr>
        <w:t>Disallowed Transfer</w:t>
      </w:r>
      <w:r>
        <w:rPr>
          <w:rFonts w:ascii="Arial" w:cs="Arial" w:eastAsia="Arial" w:hAnsi="Arial"/>
          <w:sz w:val="16"/>
          <w:szCs w:val="16"/>
          <w:color w:val="auto"/>
        </w:rPr>
        <w:t>”) or (ii) to treat any person to whom Restricted Shares have been purportedly sold or transferred by means of a Disallowed Transfer (a “</w:t>
      </w:r>
      <w:r>
        <w:rPr>
          <w:rFonts w:ascii="Arial" w:cs="Arial" w:eastAsia="Arial" w:hAnsi="Arial"/>
          <w:sz w:val="16"/>
          <w:szCs w:val="16"/>
          <w:u w:val="single" w:color="auto"/>
          <w:color w:val="auto"/>
        </w:rPr>
        <w:t>Disallowed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Transferee</w:t>
      </w:r>
      <w:r>
        <w:rPr>
          <w:rFonts w:ascii="Arial" w:cs="Arial" w:eastAsia="Arial" w:hAnsi="Arial"/>
          <w:sz w:val="16"/>
          <w:szCs w:val="16"/>
          <w:color w:val="auto"/>
        </w:rPr>
        <w:t>”) as owner of such Restricted Shares, accord a Disallowed Transferee the right to vote, or pay dividends to a Disallowed Transferee.</w:t>
      </w:r>
    </w:p>
    <w:p>
      <w:pPr>
        <w:spacing w:after="0" w:line="166" w:lineRule="exact"/>
        <w:rPr>
          <w:rFonts w:ascii="Arial" w:cs="Arial" w:eastAsia="Arial" w:hAnsi="Arial"/>
          <w:sz w:val="16"/>
          <w:szCs w:val="16"/>
          <w:color w:val="auto"/>
        </w:rPr>
      </w:pPr>
    </w:p>
    <w:p>
      <w:pPr>
        <w:ind w:firstLine="656"/>
        <w:spacing w:after="0" w:line="277" w:lineRule="auto"/>
        <w:tabs>
          <w:tab w:leader="none" w:pos="146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Restricted Shares shall become vested, and the restrictions applicable to the Restricted Shares shall lapse (such period,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Restricted Shares shall become nonforfeitable (“</w:t>
      </w:r>
      <w:r>
        <w:rPr>
          <w:rFonts w:ascii="Arial" w:cs="Arial" w:eastAsia="Arial" w:hAnsi="Arial"/>
          <w:sz w:val="18"/>
          <w:szCs w:val="18"/>
          <w:u w:val="single" w:color="auto"/>
          <w:color w:val="auto"/>
        </w:rPr>
        <w:t>Vest</w:t>
      </w:r>
      <w:r>
        <w:rPr>
          <w:rFonts w:ascii="Arial" w:cs="Arial" w:eastAsia="Arial" w:hAnsi="Arial"/>
          <w:sz w:val="18"/>
          <w:szCs w:val="18"/>
          <w:color w:val="auto"/>
        </w:rPr>
        <w:t>”) as follows:</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725"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If designated as Cliff Vesting shares on the table appearing on the first page of this Agreement, the Restricted Shares shall Vest on the Vesting Date specified on such table,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remains in Continuous Service through such Vesting Date; or</w:t>
      </w:r>
    </w:p>
    <w:p>
      <w:pPr>
        <w:spacing w:after="0" w:line="183" w:lineRule="exact"/>
        <w:rPr>
          <w:rFonts w:ascii="Arial" w:cs="Arial" w:eastAsia="Arial" w:hAnsi="Arial"/>
          <w:sz w:val="18"/>
          <w:szCs w:val="18"/>
          <w:color w:val="auto"/>
        </w:rPr>
      </w:pPr>
    </w:p>
    <w:p>
      <w:pPr>
        <w:jc w:val="both"/>
        <w:ind w:left="1300" w:firstLine="652"/>
        <w:spacing w:after="0" w:line="279" w:lineRule="auto"/>
        <w:tabs>
          <w:tab w:leader="none" w:pos="2730" w:val="left"/>
        </w:tabs>
        <w:numPr>
          <w:ilvl w:val="2"/>
          <w:numId w:val="62"/>
        </w:numPr>
        <w:rPr>
          <w:rFonts w:ascii="Arial" w:cs="Arial" w:eastAsia="Arial" w:hAnsi="Arial"/>
          <w:sz w:val="17"/>
          <w:szCs w:val="17"/>
          <w:color w:val="auto"/>
        </w:rPr>
      </w:pPr>
      <w:r>
        <w:rPr>
          <w:rFonts w:ascii="Arial" w:cs="Arial" w:eastAsia="Arial" w:hAnsi="Arial"/>
          <w:sz w:val="17"/>
          <w:szCs w:val="17"/>
          <w:color w:val="auto"/>
        </w:rPr>
        <w:t>If designated as Incremental Vesting shares on the table appearing on the first page of this Agreement, the Restricted Shares shall Vest in twelve (12) substantially equal installments, with the first installment Vesting on the Grant Date and the remaining installments vesting monthly on the first day of the month beginning with the month immediately following the Grant Date (each such date, a “</w:t>
      </w:r>
      <w:r>
        <w:rPr>
          <w:rFonts w:ascii="Arial" w:cs="Arial" w:eastAsia="Arial" w:hAnsi="Arial"/>
          <w:sz w:val="17"/>
          <w:szCs w:val="17"/>
          <w:u w:val="single" w:color="auto"/>
          <w:color w:val="auto"/>
        </w:rPr>
        <w:t>Vesting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Participant remains in Continuous Service through each Vesting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2" w:name="page163"/>
    <w:bookmarkEnd w:id="162"/>
    <w:p>
      <w:pPr>
        <w:jc w:val="both"/>
        <w:ind w:left="660"/>
        <w:spacing w:after="0" w:line="279" w:lineRule="auto"/>
        <w:rPr>
          <w:sz w:val="20"/>
          <w:szCs w:val="20"/>
          <w:color w:val="auto"/>
        </w:rPr>
      </w:pPr>
      <w:r>
        <w:rPr>
          <w:rFonts w:ascii="Arial" w:cs="Arial" w:eastAsia="Arial" w:hAnsi="Arial"/>
          <w:sz w:val="17"/>
          <w:szCs w:val="17"/>
          <w:color w:val="auto"/>
        </w:rPr>
        <w:t>Except as provided in Section 3(b) below, any Restricted Shares that have not Vested pursuant to Section 3(a)(i) or (ii) above, will be forfeited if the Participant ceases to remain in Continuous Service prior to the applicable Vesting Date. For purposes of this Agreement, “</w:t>
      </w:r>
      <w:r>
        <w:rPr>
          <w:rFonts w:ascii="Arial" w:cs="Arial" w:eastAsia="Arial" w:hAnsi="Arial"/>
          <w:sz w:val="17"/>
          <w:szCs w:val="17"/>
          <w:u w:val="single" w:color="auto"/>
          <w:color w:val="auto"/>
        </w:rPr>
        <w:t>Continuous Service</w:t>
      </w:r>
      <w:r>
        <w:rPr>
          <w:rFonts w:ascii="Arial" w:cs="Arial" w:eastAsia="Arial" w:hAnsi="Arial"/>
          <w:sz w:val="17"/>
          <w:szCs w:val="17"/>
          <w:color w:val="auto"/>
        </w:rPr>
        <w:t>” means that the Participant’s service with the Company or any Affiliate, whether as an employee, Director or Consultant, is not interrupted or terminated during the relevant period (generally from the Grant Date until the applicable Vesting Date).</w:t>
      </w:r>
    </w:p>
    <w:p>
      <w:pPr>
        <w:spacing w:after="0" w:line="171" w:lineRule="exact"/>
        <w:rPr>
          <w:sz w:val="20"/>
          <w:szCs w:val="20"/>
          <w:color w:val="auto"/>
        </w:rPr>
      </w:pPr>
    </w:p>
    <w:p>
      <w:pPr>
        <w:ind w:left="2000" w:hanging="696"/>
        <w:spacing w:after="0"/>
        <w:tabs>
          <w:tab w:leader="none" w:pos="20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Notwithstanding Section 3(a) above, all of the Restricted Shares shall Vest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806"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Participant’s Continuous Service is terminated as a result of the Participant’s death or Disability prior to any Vesting Date, all of the Restricted Shares shall become fully Vested immediately as of the Participant’s last day of employment (or other service relationship); or</w:t>
      </w:r>
    </w:p>
    <w:p>
      <w:pPr>
        <w:spacing w:after="0" w:line="183" w:lineRule="exact"/>
        <w:rPr>
          <w:rFonts w:ascii="Arial" w:cs="Arial" w:eastAsia="Arial" w:hAnsi="Arial"/>
          <w:sz w:val="18"/>
          <w:szCs w:val="18"/>
          <w:color w:val="auto"/>
        </w:rPr>
      </w:pPr>
    </w:p>
    <w:p>
      <w:pPr>
        <w:ind w:left="1300" w:firstLine="652"/>
        <w:spacing w:after="0" w:line="277" w:lineRule="auto"/>
        <w:tabs>
          <w:tab w:leader="none" w:pos="2824"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at any time before a Vesting Date, and a Change in Control occurs while the Participant remains in Continuous Service, then the Restricted Shares shall become fully Vested immediately as of the Change in Control.</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776" w:val="left"/>
        </w:tabs>
        <w:numPr>
          <w:ilvl w:val="2"/>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Participant’s inability, due to physical or mental incapacity, to substantially perform the Participant’s duties and responsibilities with the Company or any Affiliate for one hundred eighty (180) days out of any three hundred sixty-five (365) day period or one hundred twenty (120) consecutive days.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55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Except to the extent otherwise provided in Section 3, upon termination of the Participant’s Continuous Service with the Company and its Affiliates, any Restricted Shares as to which the Restriction Period has not then lapsed shall be automatically and irrevocably forfeited by the Participant, and such Restricted Shares shall thereupon be transferred to the Company at no cost to the Company, and the Participant shall then have no rights or entitlement to any payment or consideration thereto.</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4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Except with respect to the restrictions set forth in Section 2 above, following the date of this Agreement and upon the issuance to the Participant of Restricted Shares hereunder, the Participant shall have all the rights of a shareholder of Common Stock with respect to such Restricted Shares, including the right to vote the shares and receive all dividends and other distributions paid or made with respect thereto.</w:t>
      </w:r>
    </w:p>
    <w:p>
      <w:pPr>
        <w:spacing w:after="0" w:line="148" w:lineRule="exact"/>
        <w:rPr>
          <w:rFonts w:ascii="Arial" w:cs="Arial" w:eastAsia="Arial" w:hAnsi="Arial"/>
          <w:sz w:val="16"/>
          <w:szCs w:val="16"/>
          <w:color w:val="auto"/>
        </w:rPr>
      </w:pPr>
    </w:p>
    <w:p>
      <w:pPr>
        <w:jc w:val="both"/>
        <w:ind w:firstLine="656"/>
        <w:spacing w:after="0" w:line="301" w:lineRule="auto"/>
        <w:tabs>
          <w:tab w:leader="none" w:pos="15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Government Regulations</w:t>
      </w:r>
      <w:r>
        <w:rPr>
          <w:rFonts w:ascii="Arial" w:cs="Arial" w:eastAsia="Arial" w:hAnsi="Arial"/>
          <w:sz w:val="16"/>
          <w:szCs w:val="16"/>
          <w:color w:val="auto"/>
        </w:rPr>
        <w:t>. Notwithstanding anything contained herein to the contrary, the Company’s obligation hereunder to issue or deliver shares of Common Stock shall be subject to the terms of the Plan, all applicable federal, state, and local laws, rules and regulations (including state blue sky laws, rules and regulations) and to such approvals by any governmental agencies or national securities exchanges as may be required. The Company shall have the right to impose restrictions on any Restricted Shares as it deems necessary or advisable under such laws, rules and regulations.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3" w:name="page164"/>
    <w:bookmarkEnd w:id="163"/>
    <w:p>
      <w:pPr>
        <w:jc w:val="both"/>
        <w:ind w:firstLine="656"/>
        <w:spacing w:after="0" w:line="279" w:lineRule="auto"/>
        <w:tabs>
          <w:tab w:leader="none" w:pos="139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Participant Representations</w:t>
      </w:r>
      <w:r>
        <w:rPr>
          <w:rFonts w:ascii="Arial" w:cs="Arial" w:eastAsia="Arial" w:hAnsi="Arial"/>
          <w:sz w:val="17"/>
          <w:szCs w:val="17"/>
          <w:color w:val="auto"/>
        </w:rPr>
        <w:t>. The Participant has reviewed with the Participant’s own tax advisors the federal, state, local and foreign tax consequences of the transactions contemplated by this Agreement. The Participant is relying solely on such advisors, and not on any statements or representations of the Company or any of its agents, if any, made to the Participant. The Participant understands that the Participant (and not the Company) shall be responsible for the Participant’s own liability arising as a result of the transactions contemplated by this Agreement.</w:t>
      </w:r>
    </w:p>
    <w:p>
      <w:pPr>
        <w:spacing w:after="0" w:line="171" w:lineRule="exact"/>
        <w:rPr>
          <w:rFonts w:ascii="Arial" w:cs="Arial" w:eastAsia="Arial" w:hAnsi="Arial"/>
          <w:sz w:val="17"/>
          <w:szCs w:val="17"/>
          <w:color w:val="auto"/>
        </w:rPr>
      </w:pPr>
    </w:p>
    <w:p>
      <w:pPr>
        <w:ind w:left="1380" w:hanging="724"/>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7" w:lineRule="auto"/>
        <w:tabs>
          <w:tab w:leader="none" w:pos="209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If any withholding is required with respect to the Shares, the Company shall have the right to require the Participant to remit such withholding tax to the Company or an Affiliate, or to withhold from other amounts payable to the Participant (as compensation or otherwise), </w:t>
      </w:r>
      <w:r>
        <w:rPr>
          <w:rFonts w:ascii="Arial" w:cs="Arial" w:eastAsia="Arial" w:hAnsi="Arial"/>
          <w:sz w:val="18"/>
          <w:szCs w:val="18"/>
          <w:b w:val="1"/>
          <w:bCs w:val="1"/>
          <w:color w:val="auto"/>
        </w:rPr>
        <w:t>the maximum statutory amount required</w:t>
      </w:r>
      <w:r>
        <w:rPr>
          <w:rFonts w:ascii="Arial" w:cs="Arial" w:eastAsia="Arial" w:hAnsi="Arial"/>
          <w:sz w:val="18"/>
          <w:szCs w:val="18"/>
          <w:color w:val="auto"/>
        </w:rPr>
        <w:t xml:space="preserve"> to satisfy all federal, state and local income tax withholding requirements and the Participant’s share of applicable employment withholding taxes (including, without limitation, any such income or employment taxes resulting from the issuance or Vesting of the Restricted Shares).</w:t>
      </w:r>
    </w:p>
    <w:p>
      <w:pPr>
        <w:spacing w:after="0" w:line="187" w:lineRule="exact"/>
        <w:rPr>
          <w:rFonts w:ascii="Arial" w:cs="Arial" w:eastAsia="Arial" w:hAnsi="Arial"/>
          <w:sz w:val="18"/>
          <w:szCs w:val="18"/>
          <w:color w:val="auto"/>
        </w:rPr>
      </w:pPr>
    </w:p>
    <w:p>
      <w:pPr>
        <w:jc w:val="both"/>
        <w:ind w:left="660" w:firstLine="644"/>
        <w:spacing w:after="0" w:line="284" w:lineRule="auto"/>
        <w:tabs>
          <w:tab w:leader="none" w:pos="213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The Participant hereby acknowledges that the Participant has been informed that, with respect to the Restricted Shares, the Participant may file an election with the Internal Revenue Service, within 30 days of the date on which the Restricted Shares are granted, electing pursuant to Section 83(b) (“</w:t>
      </w:r>
      <w:r>
        <w:rPr>
          <w:rFonts w:ascii="Arial" w:cs="Arial" w:eastAsia="Arial" w:hAnsi="Arial"/>
          <w:sz w:val="16"/>
          <w:szCs w:val="16"/>
          <w:u w:val="single" w:color="auto"/>
          <w:color w:val="auto"/>
        </w:rPr>
        <w:t>Section 83(b)</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to be taxed currently on the Fair Market Value on the date of issuance. Absent such an election, taxable income will be measured and recognized by the Participant at the time or times at which the forfeiture restrictions on the Restricted Shares lapse. The Participant is strongly encouraged to seek the advice of his or her own tax consultant in connection with the issuance of the Restricted Shares and the Participant’s decision whether to file a Section 83(b) election. </w:t>
      </w:r>
      <w:r>
        <w:rPr>
          <w:rFonts w:ascii="Arial" w:cs="Arial" w:eastAsia="Arial" w:hAnsi="Arial"/>
          <w:sz w:val="16"/>
          <w:szCs w:val="16"/>
          <w:b w:val="1"/>
          <w:bCs w:val="1"/>
          <w:color w:val="auto"/>
        </w:rPr>
        <w:t>THE PARTICIPANT ACKNOWLEDGES THAT IT THE PARTICIPANT’S SOLE RESPONSIBILITY TO</w:t>
      </w:r>
    </w:p>
    <w:p>
      <w:pPr>
        <w:spacing w:after="0" w:line="2" w:lineRule="exact"/>
        <w:rPr>
          <w:rFonts w:ascii="Arial" w:cs="Arial" w:eastAsia="Arial" w:hAnsi="Arial"/>
          <w:sz w:val="16"/>
          <w:szCs w:val="16"/>
          <w:color w:val="auto"/>
        </w:rPr>
      </w:pPr>
    </w:p>
    <w:p>
      <w:pPr>
        <w:jc w:val="both"/>
        <w:ind w:left="660" w:right="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 xml:space="preserve">TIMELY FILE ANY SECTION 83(b) ELECTION, AND THE COMPANY WILL NOT MAKE SUCH FILING ON THE PARTICIPANT’S BEHALF. </w:t>
      </w:r>
      <w:r>
        <w:rPr>
          <w:rFonts w:ascii="Arial" w:cs="Arial" w:eastAsia="Arial" w:hAnsi="Arial"/>
          <w:sz w:val="18"/>
          <w:szCs w:val="18"/>
          <w:color w:val="auto"/>
        </w:rPr>
        <w:t>If the Participant files a Section 83(b) election, the Participant shall promptly furnish the Company with a copy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election. A form of election under Section 83(b)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reference.</w:t>
      </w:r>
    </w:p>
    <w:p>
      <w:pPr>
        <w:spacing w:after="0" w:line="189" w:lineRule="exact"/>
        <w:rPr>
          <w:rFonts w:ascii="Arial" w:cs="Arial" w:eastAsia="Arial" w:hAnsi="Arial"/>
          <w:sz w:val="16"/>
          <w:szCs w:val="16"/>
          <w:color w:val="auto"/>
        </w:rPr>
      </w:pPr>
    </w:p>
    <w:p>
      <w:pPr>
        <w:jc w:val="both"/>
        <w:ind w:left="660" w:firstLine="644"/>
        <w:spacing w:after="0" w:line="268" w:lineRule="auto"/>
        <w:tabs>
          <w:tab w:leader="none" w:pos="2043"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be exempt from, or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If any provision of the Plan or this Agreement fails to satisfy the requirements for compliance with, or exemption from, Section 409A, the Company may, in its sole discretion and without the Participant’s consent, modify such provision to the extent necessary to so comply. Nothing in this Section 10(c) or elsewhere in this Agreement transfers to the Company the obligation to pay any tax, interest or penalty incurred by the Participant in connection with the Restricted Shares (including any tax or penalty incurred as a result of a violation of Section 409A) or creates any obligation on the part of the Company to modify the Plan or this Agreement. To the extent necessary to avoid any tax or penalty under Section 409A, a termination of employment shall not be deemed to have occurred for purposes of any provision of this Agreement providing for the payment of any amounts or benefits upon or following a termination of employment unless such termination also constitutes a “Separation from Service” within the meaning of Section 409A and, for purposes of any such provision of this Agreement, references to a “termination,” “termination of employment,” “separation from service” or like terms shall mean Separation from Service. Any installment payment required under this Agreement (and any dividend paid with respect to the Restricted Shares) shall be considered a separate payment for purposes of Section 409A. If, upon separation from service, the Participant is a “specified employee” within the meaning of Section 409A, any payment under this Agreement that is subject to Section 409A and would otherwise be paid within six months after the Participant’s separation from service will instead be paid in the seventh month following the Participant’s separation from service (to the extent required by Section 409A(a)(2)(B)(i)). No payment under this Agreement that constitutes deferred compensation subject to Section 409A shall be subject to offset by any other amount unless otherwise permitted by Section 409A.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4" w:name="page165"/>
    <w:bookmarkEnd w:id="164"/>
    <w:p>
      <w:pPr>
        <w:jc w:val="both"/>
        <w:ind w:firstLine="656"/>
        <w:spacing w:after="0" w:line="286" w:lineRule="auto"/>
        <w:tabs>
          <w:tab w:leader="none" w:pos="1408"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The Participant acknowledges and agrees that (i) nothing in this Agreement or the Plan confers on the Participant any right to continue in an employment, consulting, directorship or other service relationship with the Company, nor shall it affect in any way the Participant’s right or the Company’s right to terminate the Participant’s employment, consulting, directorship or other service relationship at any time, with or without cause, subject to any employment or service agreement that may have been entered into by the Commpany and the Participant;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would not have granted this Award to the Participant but for these acknowledgements and agreements.</w:t>
      </w:r>
    </w:p>
    <w:p>
      <w:pPr>
        <w:spacing w:after="0" w:line="210" w:lineRule="exact"/>
        <w:rPr>
          <w:rFonts w:ascii="Arial" w:cs="Arial" w:eastAsia="Arial" w:hAnsi="Arial"/>
          <w:sz w:val="18"/>
          <w:szCs w:val="18"/>
          <w:color w:val="auto"/>
        </w:rPr>
      </w:pPr>
    </w:p>
    <w:p>
      <w:pPr>
        <w:jc w:val="both"/>
        <w:ind w:firstLine="656"/>
        <w:spacing w:after="0" w:line="279" w:lineRule="auto"/>
        <w:tabs>
          <w:tab w:leader="none" w:pos="1476"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Participant agrees upon request to do all such reasonable acts and things and execute any further reasonable documents or instruments reasonably requested by the Company to carry out the purposes or intent of this Agreement and to facilitate the sale or other disposition of the Restricted Shares pursuant to this Agreement and/or to comply with all applicable federal, state, blue sky and local laws, rules and regulations and to obtain any necessary or desirable approvals by any governmental agencies or national securities exchanges.</w:t>
      </w:r>
    </w:p>
    <w:p>
      <w:pPr>
        <w:spacing w:after="0" w:line="171" w:lineRule="exact"/>
        <w:rPr>
          <w:rFonts w:ascii="Arial" w:cs="Arial" w:eastAsia="Arial" w:hAnsi="Arial"/>
          <w:sz w:val="17"/>
          <w:szCs w:val="17"/>
          <w:color w:val="auto"/>
        </w:rPr>
      </w:pPr>
    </w:p>
    <w:p>
      <w:pPr>
        <w:jc w:val="both"/>
        <w:ind w:firstLine="656"/>
        <w:spacing w:after="0" w:line="296" w:lineRule="auto"/>
        <w:tabs>
          <w:tab w:leader="none" w:pos="156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Opportunity for Review</w:t>
      </w:r>
      <w:r>
        <w:rPr>
          <w:rFonts w:ascii="Arial" w:cs="Arial" w:eastAsia="Arial" w:hAnsi="Arial"/>
          <w:sz w:val="16"/>
          <w:szCs w:val="16"/>
          <w:color w:val="auto"/>
        </w:rPr>
        <w:t>. The Participant and the Company agree that this Award is granted under and governed by the terms and conditions of the Plan and this Award Agreement. The Participant has reviewed the Plan and this Award Agreement in their entirety, has had an opportunity to obtain the advice of counsel prior to accepting this Award Agreement and fully understands all provisions of the Plan and this Award Agreement. The Participant hereby agrees to accept as binding, conclusive and final all decisions or interpretations of the Committee upon any questions relating to the Plan and this Award Agreement. The Participant further agrees to notify the Company upon any change in the Participant’s residence address.</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46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or communications to be made hereunder shall be in writing and shall be delivered in person, by registered mail, by confirmed facsimile or by a reputable overnight courier service to the Company at its principal office or to the Participant at his or her address contained in the records of the Company. Alternatively, notices and other communications may be provided in the form and manner of such electronic means as the Company may permit.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5" w:name="page166"/>
    <w:bookmarkEnd w:id="165"/>
    <w:p>
      <w:pPr>
        <w:jc w:val="both"/>
        <w:ind w:firstLine="656"/>
        <w:spacing w:after="0" w:line="255" w:lineRule="auto"/>
        <w:tabs>
          <w:tab w:leader="none" w:pos="148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any conflict between this Agreement and the Plan, the Plan shall be controlling unless explicitly specified otherwise herein. This Agreement shall be construed under the laws of the State of California, without regard to conflict of laws principles.</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38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Binding Effect; Equitable Relief</w:t>
      </w:r>
      <w:r>
        <w:rPr>
          <w:rFonts w:ascii="Arial" w:cs="Arial" w:eastAsia="Arial" w:hAnsi="Arial"/>
          <w:sz w:val="18"/>
          <w:szCs w:val="18"/>
          <w:color w:val="auto"/>
        </w:rPr>
        <w:t>. This Agreement shall be binding upon and inure to the benefit of the Company and the Participant and their respective permitted successors, assigns, heirs, beneficiaries and representatives. The parties hereto agree and declare that legal remedies are inadequate to enforce the provisions of this Agreement and that equitable relief, including specific performance and injunctive relief, may be used to enforce the provisions of this Agreement.</w:t>
      </w:r>
    </w:p>
    <w:p>
      <w:pPr>
        <w:spacing w:after="0" w:line="186" w:lineRule="exact"/>
        <w:rPr>
          <w:rFonts w:ascii="Arial" w:cs="Arial" w:eastAsia="Arial" w:hAnsi="Arial"/>
          <w:sz w:val="18"/>
          <w:szCs w:val="18"/>
          <w:color w:val="auto"/>
        </w:rPr>
      </w:pPr>
    </w:p>
    <w:p>
      <w:pPr>
        <w:jc w:val="both"/>
        <w:ind w:firstLine="656"/>
        <w:spacing w:after="0" w:line="296" w:lineRule="auto"/>
        <w:tabs>
          <w:tab w:leader="none" w:pos="169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Restricted Shares and the Participant’s participation in the Plan (including any prospectuses, annual reports and other information required to be delivered by applicable securities laws, rules and regulations),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1" w:lineRule="exact"/>
        <w:rPr>
          <w:rFonts w:ascii="Arial" w:cs="Arial" w:eastAsia="Arial" w:hAnsi="Arial"/>
          <w:sz w:val="16"/>
          <w:szCs w:val="16"/>
          <w:color w:val="auto"/>
        </w:rPr>
      </w:pPr>
    </w:p>
    <w:p>
      <w:pPr>
        <w:jc w:val="both"/>
        <w:ind w:firstLine="656"/>
        <w:spacing w:after="0" w:line="296" w:lineRule="auto"/>
        <w:tabs>
          <w:tab w:leader="none" w:pos="136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Construction; Waiver; Severability</w:t>
      </w:r>
      <w:r>
        <w:rPr>
          <w:rFonts w:ascii="Arial" w:cs="Arial" w:eastAsia="Arial" w:hAnsi="Arial"/>
          <w:sz w:val="16"/>
          <w:szCs w:val="16"/>
          <w:i w:val="1"/>
          <w:iCs w:val="1"/>
          <w:color w:val="auto"/>
        </w:rPr>
        <w:t>.</w:t>
      </w:r>
      <w:r>
        <w:rPr>
          <w:rFonts w:ascii="Arial" w:cs="Arial" w:eastAsia="Arial" w:hAnsi="Arial"/>
          <w:sz w:val="16"/>
          <w:szCs w:val="16"/>
          <w:color w:val="auto"/>
        </w:rPr>
        <w:t xml:space="preserve"> The headings in this Agreement are provided for convenience only and are not to serve as a basis for interpretation or construction, and shall not constitute a part of this Agreement. Any right of the Company in this Agreement may be waived in writing by the Board or the Compensation Committee of the Board. No waiver or any right hereunder by any party shall operate as a waiver of any other right, or as a waiver of the same right with respect to any subsequent occasion for its exercise, or as a waiver of any right to damages. If any provision of this Agreement is held to be unenforceable or invalid, the remaining provisions shall be severable and enforceable to the extent permitted by law.</w:t>
      </w:r>
    </w:p>
    <w:p>
      <w:pPr>
        <w:spacing w:after="0" w:line="161" w:lineRule="exact"/>
        <w:rPr>
          <w:rFonts w:ascii="Arial" w:cs="Arial" w:eastAsia="Arial" w:hAnsi="Arial"/>
          <w:sz w:val="16"/>
          <w:szCs w:val="16"/>
          <w:color w:val="auto"/>
        </w:rPr>
      </w:pPr>
    </w:p>
    <w:p>
      <w:pPr>
        <w:ind w:firstLine="656"/>
        <w:spacing w:after="0" w:line="277" w:lineRule="auto"/>
        <w:tabs>
          <w:tab w:leader="none" w:pos="142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as of the date first set forth above.</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FIVE STAR BANCORP</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-121920</wp:posOffset>
            </wp:positionV>
            <wp:extent cx="33172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23495</wp:posOffset>
            </wp:positionV>
            <wp:extent cx="3317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511810</wp:posOffset>
            </wp:positionV>
            <wp:extent cx="713232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taxpayer hereby makes an election pursuant to Section 83(b) of the Internal Revenue Code of 1986, as amended, and the Treasury Regulations thereunder (the “</w:t>
      </w:r>
      <w:r>
        <w:rPr>
          <w:rFonts w:ascii="Arial" w:cs="Arial" w:eastAsia="Arial" w:hAnsi="Arial"/>
          <w:sz w:val="18"/>
          <w:szCs w:val="18"/>
          <w:u w:val="single" w:color="auto"/>
          <w:color w:val="auto"/>
        </w:rPr>
        <w:t>Regulations</w:t>
      </w:r>
      <w:r>
        <w:rPr>
          <w:rFonts w:ascii="Arial" w:cs="Arial" w:eastAsia="Arial" w:hAnsi="Arial"/>
          <w:sz w:val="18"/>
          <w:szCs w:val="18"/>
          <w:color w:val="auto"/>
        </w:rPr>
        <w:t>”), to include in gross income for the taxpayer’s current taxable year the fair market value of the property described below (less any consideration paid for such property, if applicable) at the time of the transfer. In connection with this election, the undersigned taxpayer hereby supplies the following information:</w:t>
      </w:r>
    </w:p>
    <w:p>
      <w:pPr>
        <w:spacing w:after="0" w:line="18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undersigned are: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168910</wp:posOffset>
            </wp:positionV>
            <wp:extent cx="28117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22860</wp:posOffset>
            </wp:positionV>
            <wp:extent cx="28117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-121920</wp:posOffset>
            </wp:positionV>
            <wp:extent cx="28117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Social Security Number: _______ – _____ – _________</w:t>
      </w:r>
    </w:p>
    <w:p>
      <w:pPr>
        <w:spacing w:after="0" w:line="198" w:lineRule="exact"/>
        <w:rPr>
          <w:sz w:val="20"/>
          <w:szCs w:val="20"/>
          <w:color w:val="auto"/>
        </w:rPr>
      </w:pPr>
    </w:p>
    <w:p>
      <w:pPr>
        <w:ind w:left="660" w:right="26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election is being made with respect to ________ shares of common stock (the “</w:t>
      </w:r>
      <w:r>
        <w:rPr>
          <w:rFonts w:ascii="Arial" w:cs="Arial" w:eastAsia="Arial" w:hAnsi="Arial"/>
          <w:sz w:val="18"/>
          <w:szCs w:val="18"/>
          <w:u w:val="single" w:color="auto"/>
          <w:color w:val="auto"/>
        </w:rPr>
        <w:t>Stock</w:t>
      </w:r>
      <w:r>
        <w:rPr>
          <w:rFonts w:ascii="Arial" w:cs="Arial" w:eastAsia="Arial" w:hAnsi="Arial"/>
          <w:sz w:val="18"/>
          <w:szCs w:val="18"/>
          <w:color w:val="auto"/>
        </w:rPr>
        <w:t>”) of Five Star Bancorp.,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the Stock was transferred to the undersigned was ______________, 20____. The taxable year for which this election is being made is calendar year 20____.</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98"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above-mentioned shares may not be transferred and are subject to forfeiture under the terms of an agreement between the taxpayer and the Company. These restrictions lapse upon the satisfaction of certain conditions contained in such agreement.</w:t>
      </w:r>
    </w:p>
    <w:p>
      <w:pPr>
        <w:spacing w:after="0" w:line="129"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fair market value of the Stock at the time of transfer (determined without regard to any lapse restriction, as defined in §1.83-3(i) of the Regulations) was $ [_____].</w:t>
      </w:r>
    </w:p>
    <w:p>
      <w:pPr>
        <w:spacing w:after="0" w:line="12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did not pay any amount for the Stock. Therefore, $ [______] (the full fair market value of the Stock stated above) is includible in the undersigned's gross income as compensation for services.</w:t>
      </w:r>
    </w:p>
    <w:p>
      <w:pPr>
        <w:spacing w:after="0" w:line="143"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copy of this election has been furnished to the Company as required by §1.83-2(d) of the Regulations.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________________________</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[taxpayer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-130175</wp:posOffset>
            </wp:positionV>
            <wp:extent cx="3402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INSTRUCTIONS FOR FILING SECTION 83(b) ELECTION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Attached is a form of election under Section 83(b) of the Internal Revenue Code. If you wish to make such an election, you should complete, sign and date the election and then proceed as follows:</w:t>
      </w:r>
    </w:p>
    <w:p>
      <w:pPr>
        <w:spacing w:after="0" w:line="17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Execute three counterparts of your completed election, retaining at least one copy for your records.</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Send one counterpart to the Internal Revenue Service Center office where you will file your federal income tax return for the current calendar year, via certified mail with return receipt requested. THE ELECTION SHOULD BE SENT IMMEDIATELY, AS YOU ONLY HAVE 30 DAYS FROM THE DATE ON WHICH THE RESTRICTED SHARES ARE TRANSFERRED WITHIN WHICH TO MAKE THE ELECTION. NO WAIVERS, LATE FILINGS OR EXTENSIONS ARE PERMITTED. THIS ELECTION CANNOT BE REVOKED WITHOUT THE CONSENT OF THE IRS.</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 one counterpart of the completed election to the Company for its 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Retain one copy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is a list of subsidiaries of Five Star Bancorp, the names under which subsidiaries do business, and the jurisdiction in which each was organized, as of the date of this prospectus. All subsidiaries are wholly-owned unless otherwise noted.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Subsidiaries of Five Star Bancorp</w:t>
            </w:r>
          </w:p>
        </w:tc>
        <w:tc>
          <w:tcPr>
            <w:tcW w:w="1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398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6920" w:type="dxa"/>
            <w:vAlign w:val="bottom"/>
            <w:gridSpan w:val="3"/>
          </w:tcPr>
          <w:p>
            <w:pPr>
              <w:ind w:left="1400"/>
              <w:spacing w:after="0" w:line="190" w:lineRule="exact"/>
              <w:rPr>
                <w:sz w:val="20"/>
                <w:szCs w:val="20"/>
                <w:color w:val="auto"/>
              </w:rPr>
            </w:pPr>
            <w:r>
              <w:rPr>
                <w:rFonts w:ascii="Arial" w:cs="Arial" w:eastAsia="Arial" w:hAnsi="Arial"/>
                <w:sz w:val="18"/>
                <w:szCs w:val="18"/>
                <w:color w:val="auto"/>
              </w:rPr>
              <w:t>Jurisdiction of Organization</w:t>
            </w:r>
          </w:p>
        </w:tc>
      </w:tr>
      <w:tr>
        <w:trPr>
          <w:trHeight w:val="20"/>
        </w:trPr>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Five Star Bank</w:t>
            </w:r>
          </w:p>
        </w:tc>
        <w:tc>
          <w:tcPr>
            <w:tcW w:w="6920" w:type="dxa"/>
            <w:vAlign w:val="bottom"/>
            <w:gridSpan w:val="3"/>
          </w:tcPr>
          <w:p>
            <w:pPr>
              <w:ind w:left="1400"/>
              <w:spacing w:after="0"/>
              <w:rPr>
                <w:sz w:val="20"/>
                <w:szCs w:val="20"/>
                <w:color w:val="auto"/>
              </w:rPr>
            </w:pPr>
            <w:r>
              <w:rPr>
                <w:rFonts w:ascii="Arial" w:cs="Arial" w:eastAsia="Arial" w:hAnsi="Arial"/>
                <w:sz w:val="18"/>
                <w:szCs w:val="18"/>
                <w:color w:val="auto"/>
              </w:rPr>
              <w:t>California</w:t>
            </w:r>
          </w:p>
        </w:tc>
      </w:tr>
      <w:tr>
        <w:trPr>
          <w:trHeight w:val="344"/>
        </w:trPr>
        <w:tc>
          <w:tcPr>
            <w:tcW w:w="34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3560" w:type="dxa"/>
            <w:vAlign w:val="bottom"/>
            <w:tcBorders>
              <w:bottom w:val="single" w:sz="8" w:color="DCDCDC"/>
            </w:tcBorders>
          </w:tcPr>
          <w:p>
            <w:pPr>
              <w:spacing w:after="0"/>
              <w:rPr>
                <w:sz w:val="24"/>
                <w:szCs w:val="24"/>
                <w:color w:val="auto"/>
              </w:rPr>
            </w:pPr>
          </w:p>
        </w:tc>
        <w:tc>
          <w:tcPr>
            <w:tcW w:w="1400" w:type="dxa"/>
            <w:vAlign w:val="bottom"/>
            <w:tcBorders>
              <w:bottom w:val="single" w:sz="8" w:color="DCDCDC"/>
            </w:tcBorders>
          </w:tcPr>
          <w:p>
            <w:pPr>
              <w:spacing w:after="0"/>
              <w:rPr>
                <w:sz w:val="24"/>
                <w:szCs w:val="24"/>
                <w:color w:val="auto"/>
              </w:rPr>
            </w:pPr>
          </w:p>
        </w:tc>
        <w:tc>
          <w:tcPr>
            <w:tcW w:w="2020" w:type="dxa"/>
            <w:vAlign w:val="bottom"/>
            <w:tcBorders>
              <w:bottom w:val="single" w:sz="8" w:color="DCDCDC"/>
            </w:tcBorders>
          </w:tcPr>
          <w:p>
            <w:pPr>
              <w:spacing w:after="0"/>
              <w:rPr>
                <w:sz w:val="24"/>
                <w:szCs w:val="24"/>
                <w:color w:val="auto"/>
              </w:rPr>
            </w:pPr>
          </w:p>
        </w:tc>
        <w:tc>
          <w:tcPr>
            <w:tcW w:w="35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consent to the incorporation by reference in the Registration Statement (Form S-8, No. 333-256345) of Five Star Bancorp of our report dated February 25, 2022, relating to the consolidated financial statements of Five Star Bancorp which report appears in the Form 10-K of Five Star Bancorp for the year ended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Beckwith, certify that:</w:t>
      </w:r>
    </w:p>
    <w:p>
      <w:pPr>
        <w:spacing w:after="0" w:line="22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38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February 25, 2022</w:t>
            </w:r>
          </w:p>
        </w:tc>
        <w:tc>
          <w:tcPr>
            <w:tcW w:w="3360" w:type="dxa"/>
            <w:vAlign w:val="bottom"/>
          </w:tcPr>
          <w:p>
            <w:pPr>
              <w:spacing w:after="0"/>
              <w:rPr>
                <w:sz w:val="20"/>
                <w:szCs w:val="20"/>
                <w:color w:val="auto"/>
              </w:rPr>
            </w:pPr>
            <w:r>
              <w:rPr>
                <w:rFonts w:ascii="Arial" w:cs="Arial" w:eastAsia="Arial" w:hAnsi="Arial"/>
                <w:sz w:val="18"/>
                <w:szCs w:val="18"/>
                <w:i w:val="1"/>
                <w:iCs w:val="1"/>
                <w:color w:val="auto"/>
              </w:rPr>
              <w:t>/s/ James E. Beckwith</w:t>
            </w:r>
          </w:p>
        </w:tc>
        <w:tc>
          <w:tcPr>
            <w:tcW w:w="2240" w:type="dxa"/>
            <w:vAlign w:val="bottom"/>
          </w:tcPr>
          <w:p>
            <w:pPr>
              <w:spacing w:after="0"/>
              <w:rPr>
                <w:sz w:val="20"/>
                <w:szCs w:val="20"/>
                <w:color w:val="auto"/>
              </w:rPr>
            </w:pPr>
          </w:p>
        </w:tc>
      </w:tr>
      <w:tr>
        <w:trPr>
          <w:trHeight w:val="195"/>
        </w:trPr>
        <w:tc>
          <w:tcPr>
            <w:tcW w:w="226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11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Beckwith</w:t>
            </w:r>
          </w:p>
        </w:tc>
        <w:tc>
          <w:tcPr>
            <w:tcW w:w="224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tcPr>
          <w:p>
            <w:pPr>
              <w:spacing w:after="0"/>
              <w:rPr>
                <w:sz w:val="20"/>
                <w:szCs w:val="20"/>
                <w:color w:val="auto"/>
              </w:rPr>
            </w:pPr>
          </w:p>
        </w:tc>
      </w:tr>
      <w:tr>
        <w:trPr>
          <w:trHeight w:val="331"/>
        </w:trPr>
        <w:tc>
          <w:tcPr>
            <w:tcW w:w="2260" w:type="dxa"/>
            <w:vAlign w:val="bottom"/>
            <w:tcBorders>
              <w:bottom w:val="single" w:sz="8" w:color="DCDCDC"/>
            </w:tcBorders>
          </w:tcPr>
          <w:p>
            <w:pPr>
              <w:spacing w:after="0"/>
              <w:rPr>
                <w:sz w:val="24"/>
                <w:szCs w:val="24"/>
                <w:color w:val="auto"/>
              </w:rPr>
            </w:pPr>
          </w:p>
        </w:tc>
        <w:tc>
          <w:tcPr>
            <w:tcW w:w="2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Luck, certify that:</w:t>
      </w:r>
    </w:p>
    <w:p>
      <w:pPr>
        <w:spacing w:after="0" w:line="22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20" w:right="20" w:hanging="312"/>
        <w:spacing w:after="0" w:line="308"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38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February 25, 2022</w:t>
            </w:r>
          </w:p>
        </w:tc>
        <w:tc>
          <w:tcPr>
            <w:tcW w:w="3920" w:type="dxa"/>
            <w:vAlign w:val="bottom"/>
          </w:tcPr>
          <w:p>
            <w:pPr>
              <w:spacing w:after="0"/>
              <w:rPr>
                <w:sz w:val="20"/>
                <w:szCs w:val="20"/>
                <w:color w:val="auto"/>
              </w:rPr>
            </w:pPr>
            <w:r>
              <w:rPr>
                <w:rFonts w:ascii="Arial" w:cs="Arial" w:eastAsia="Arial" w:hAnsi="Arial"/>
                <w:sz w:val="18"/>
                <w:szCs w:val="18"/>
                <w:i w:val="1"/>
                <w:iCs w:val="1"/>
                <w:color w:val="auto"/>
              </w:rPr>
              <w:t>/s/ Heather C. Luck</w:t>
            </w:r>
          </w:p>
        </w:tc>
        <w:tc>
          <w:tcPr>
            <w:tcW w:w="1680" w:type="dxa"/>
            <w:vAlign w:val="bottom"/>
          </w:tcPr>
          <w:p>
            <w:pPr>
              <w:spacing w:after="0"/>
              <w:rPr>
                <w:sz w:val="20"/>
                <w:szCs w:val="20"/>
                <w:color w:val="auto"/>
              </w:rPr>
            </w:pPr>
          </w:p>
        </w:tc>
      </w:tr>
      <w:tr>
        <w:trPr>
          <w:trHeight w:val="195"/>
        </w:trPr>
        <w:tc>
          <w:tcPr>
            <w:tcW w:w="226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11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Heather C. Luck</w:t>
            </w:r>
          </w:p>
        </w:tc>
        <w:tc>
          <w:tcPr>
            <w:tcW w:w="168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Senior Vice President and Chief Financial Officer</w:t>
            </w:r>
          </w:p>
        </w:tc>
        <w:tc>
          <w:tcPr>
            <w:tcW w:w="1680" w:type="dxa"/>
            <w:vAlign w:val="bottom"/>
          </w:tcPr>
          <w:p>
            <w:pPr>
              <w:spacing w:after="0"/>
              <w:rPr>
                <w:sz w:val="20"/>
                <w:szCs w:val="20"/>
                <w:color w:val="auto"/>
              </w:rPr>
            </w:pPr>
          </w:p>
        </w:tc>
      </w:tr>
      <w:tr>
        <w:trPr>
          <w:trHeight w:val="344"/>
        </w:trPr>
        <w:tc>
          <w:tcPr>
            <w:tcW w:w="2260" w:type="dxa"/>
            <w:vAlign w:val="bottom"/>
            <w:tcBorders>
              <w:bottom w:val="single" w:sz="8" w:color="DCDCDC"/>
            </w:tcBorders>
          </w:tcPr>
          <w:p>
            <w:pPr>
              <w:spacing w:after="0"/>
              <w:rPr>
                <w:sz w:val="24"/>
                <w:szCs w:val="24"/>
                <w:color w:val="auto"/>
              </w:rPr>
            </w:pPr>
          </w:p>
        </w:tc>
        <w:tc>
          <w:tcPr>
            <w:tcW w:w="2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3920" w:type="dxa"/>
            <w:vAlign w:val="bottom"/>
            <w:tcBorders>
              <w:bottom w:val="single" w:sz="8" w:color="DCDCDC"/>
            </w:tcBorders>
          </w:tcPr>
          <w:p>
            <w:pPr>
              <w:spacing w:after="0"/>
              <w:rPr>
                <w:sz w:val="24"/>
                <w:szCs w:val="24"/>
                <w:color w:val="auto"/>
              </w:rPr>
            </w:pPr>
          </w:p>
        </w:tc>
        <w:tc>
          <w:tcPr>
            <w:tcW w:w="1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Five Star Bancorp (the “Registrant”) for the year ended December 31, 2021,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38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February 25, 2022</w:t>
            </w:r>
          </w:p>
        </w:tc>
        <w:tc>
          <w:tcPr>
            <w:tcW w:w="3920" w:type="dxa"/>
            <w:vAlign w:val="bottom"/>
          </w:tcPr>
          <w:p>
            <w:pPr>
              <w:spacing w:after="0"/>
              <w:rPr>
                <w:sz w:val="20"/>
                <w:szCs w:val="20"/>
                <w:color w:val="auto"/>
              </w:rPr>
            </w:pPr>
            <w:r>
              <w:rPr>
                <w:rFonts w:ascii="Arial" w:cs="Arial" w:eastAsia="Arial" w:hAnsi="Arial"/>
                <w:sz w:val="18"/>
                <w:szCs w:val="18"/>
                <w:i w:val="1"/>
                <w:iCs w:val="1"/>
                <w:color w:val="auto"/>
              </w:rPr>
              <w:t>/s/ James E. Beckwith</w:t>
            </w:r>
          </w:p>
        </w:tc>
        <w:tc>
          <w:tcPr>
            <w:tcW w:w="1680" w:type="dxa"/>
            <w:vAlign w:val="bottom"/>
          </w:tcPr>
          <w:p>
            <w:pPr>
              <w:spacing w:after="0"/>
              <w:rPr>
                <w:sz w:val="20"/>
                <w:szCs w:val="20"/>
                <w:color w:val="auto"/>
              </w:rPr>
            </w:pPr>
          </w:p>
        </w:tc>
      </w:tr>
      <w:tr>
        <w:trPr>
          <w:trHeight w:val="195"/>
        </w:trPr>
        <w:tc>
          <w:tcPr>
            <w:tcW w:w="226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11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E. Beckwith</w:t>
            </w:r>
          </w:p>
        </w:tc>
        <w:tc>
          <w:tcPr>
            <w:tcW w:w="168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80" w:type="dxa"/>
            <w:vAlign w:val="bottom"/>
          </w:tcPr>
          <w:p>
            <w:pPr>
              <w:spacing w:after="0"/>
              <w:rPr>
                <w:sz w:val="20"/>
                <w:szCs w:val="20"/>
                <w:color w:val="auto"/>
              </w:rPr>
            </w:pPr>
          </w:p>
        </w:tc>
      </w:tr>
      <w:tr>
        <w:trPr>
          <w:trHeight w:val="560"/>
        </w:trPr>
        <w:tc>
          <w:tcPr>
            <w:tcW w:w="2260" w:type="dxa"/>
            <w:vAlign w:val="bottom"/>
            <w:tcBorders>
              <w:bottom w:val="single" w:sz="8" w:color="DCDCDC"/>
            </w:tcBorders>
          </w:tcPr>
          <w:p>
            <w:pPr>
              <w:spacing w:after="0"/>
              <w:rPr>
                <w:sz w:val="24"/>
                <w:szCs w:val="24"/>
                <w:color w:val="auto"/>
              </w:rPr>
            </w:pPr>
          </w:p>
        </w:tc>
        <w:tc>
          <w:tcPr>
            <w:tcW w:w="2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3920" w:type="dxa"/>
            <w:vAlign w:val="bottom"/>
            <w:tcBorders>
              <w:bottom w:val="single" w:sz="8" w:color="DCDCDC"/>
            </w:tcBorders>
          </w:tcPr>
          <w:p>
            <w:pPr>
              <w:spacing w:after="0"/>
              <w:rPr>
                <w:sz w:val="24"/>
                <w:szCs w:val="24"/>
                <w:color w:val="auto"/>
              </w:rPr>
            </w:pPr>
          </w:p>
        </w:tc>
        <w:tc>
          <w:tcPr>
            <w:tcW w:w="1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4" w:name="page175"/>
    <w:bookmarkEnd w:id="174"/>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Five Star Bancorp (the “Registrant”) for the year ended December 31, 2021,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380" w:type="dxa"/>
            <w:vAlign w:val="bottom"/>
            <w:gridSpan w:val="2"/>
          </w:tcPr>
          <w:p>
            <w:pPr>
              <w:ind w:left="440"/>
              <w:spacing w:after="0"/>
              <w:rPr>
                <w:sz w:val="20"/>
                <w:szCs w:val="20"/>
                <w:color w:val="auto"/>
              </w:rPr>
            </w:pPr>
            <w:r>
              <w:rPr>
                <w:rFonts w:ascii="Arial" w:cs="Arial" w:eastAsia="Arial" w:hAnsi="Arial"/>
                <w:sz w:val="18"/>
                <w:szCs w:val="18"/>
                <w:color w:val="auto"/>
              </w:rPr>
              <w:t>February 25, 2022</w:t>
            </w:r>
          </w:p>
        </w:tc>
        <w:tc>
          <w:tcPr>
            <w:tcW w:w="3920" w:type="dxa"/>
            <w:vAlign w:val="bottom"/>
          </w:tcPr>
          <w:p>
            <w:pPr>
              <w:spacing w:after="0"/>
              <w:rPr>
                <w:sz w:val="20"/>
                <w:szCs w:val="20"/>
                <w:color w:val="auto"/>
              </w:rPr>
            </w:pPr>
            <w:r>
              <w:rPr>
                <w:rFonts w:ascii="Arial" w:cs="Arial" w:eastAsia="Arial" w:hAnsi="Arial"/>
                <w:sz w:val="18"/>
                <w:szCs w:val="18"/>
                <w:i w:val="1"/>
                <w:iCs w:val="1"/>
                <w:color w:val="auto"/>
              </w:rPr>
              <w:t>/s/ Heather C. Luck</w:t>
            </w:r>
          </w:p>
        </w:tc>
        <w:tc>
          <w:tcPr>
            <w:tcW w:w="1680" w:type="dxa"/>
            <w:vAlign w:val="bottom"/>
          </w:tcPr>
          <w:p>
            <w:pPr>
              <w:spacing w:after="0"/>
              <w:rPr>
                <w:sz w:val="20"/>
                <w:szCs w:val="20"/>
                <w:color w:val="auto"/>
              </w:rPr>
            </w:pPr>
          </w:p>
        </w:tc>
      </w:tr>
      <w:tr>
        <w:trPr>
          <w:trHeight w:val="195"/>
        </w:trPr>
        <w:tc>
          <w:tcPr>
            <w:tcW w:w="2260" w:type="dxa"/>
            <w:vAlign w:val="bottom"/>
          </w:tcPr>
          <w:p>
            <w:pPr>
              <w:spacing w:after="0"/>
              <w:rPr>
                <w:sz w:val="16"/>
                <w:szCs w:val="16"/>
                <w:color w:val="auto"/>
              </w:rPr>
            </w:pPr>
          </w:p>
        </w:tc>
        <w:tc>
          <w:tcPr>
            <w:tcW w:w="226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Date</w:t>
            </w:r>
          </w:p>
        </w:tc>
        <w:tc>
          <w:tcPr>
            <w:tcW w:w="11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Heather C. Luck</w:t>
            </w:r>
          </w:p>
        </w:tc>
        <w:tc>
          <w:tcPr>
            <w:tcW w:w="1680" w:type="dxa"/>
            <w:vAlign w:val="bottom"/>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Senior Vice President and Chief Financial Officer</w:t>
            </w:r>
          </w:p>
        </w:tc>
        <w:tc>
          <w:tcPr>
            <w:tcW w:w="1680" w:type="dxa"/>
            <w:vAlign w:val="bottom"/>
          </w:tcPr>
          <w:p>
            <w:pPr>
              <w:spacing w:after="0"/>
              <w:rPr>
                <w:sz w:val="20"/>
                <w:szCs w:val="20"/>
                <w:color w:val="auto"/>
              </w:rPr>
            </w:pPr>
          </w:p>
        </w:tc>
      </w:tr>
      <w:tr>
        <w:trPr>
          <w:trHeight w:val="560"/>
        </w:trPr>
        <w:tc>
          <w:tcPr>
            <w:tcW w:w="2260" w:type="dxa"/>
            <w:vAlign w:val="bottom"/>
            <w:tcBorders>
              <w:bottom w:val="single" w:sz="8" w:color="DCDCDC"/>
            </w:tcBorders>
          </w:tcPr>
          <w:p>
            <w:pPr>
              <w:spacing w:after="0"/>
              <w:rPr>
                <w:sz w:val="24"/>
                <w:szCs w:val="24"/>
                <w:color w:val="auto"/>
              </w:rPr>
            </w:pPr>
          </w:p>
        </w:tc>
        <w:tc>
          <w:tcPr>
            <w:tcW w:w="2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3920" w:type="dxa"/>
            <w:vAlign w:val="bottom"/>
            <w:tcBorders>
              <w:bottom w:val="single" w:sz="8" w:color="DCDCDC"/>
            </w:tcBorders>
          </w:tcPr>
          <w:p>
            <w:pPr>
              <w:spacing w:after="0"/>
              <w:rPr>
                <w:sz w:val="24"/>
                <w:szCs w:val="24"/>
                <w:color w:val="auto"/>
              </w:rPr>
            </w:pPr>
          </w:p>
        </w:tc>
        <w:tc>
          <w:tcPr>
            <w:tcW w:w="168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upperLetter"/>
      <w:start w:val="68"/>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upperLetter"/>
      <w:start w:val="68"/>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lowerRoman"/>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bullet"/>
      <w:start w:val="1"/>
    </w:lvl>
  </w:abstractNum>
  <w:abstractNum w:abstractNumId="15">
    <w:nsid w:val="7A6D8D3C"/>
    <w:multiLevelType w:val="hybridMultilevel"/>
    <w:lvl w:ilvl="0">
      <w:lvlJc w:val="left"/>
      <w:lvlText w:val="2"/>
      <w:numFmt w:val="bullet"/>
      <w:start w:val="1"/>
    </w:lvl>
  </w:abstractNum>
  <w:abstractNum w:abstractNumId="16">
    <w:nsid w:val="4B588F54"/>
    <w:multiLevelType w:val="hybridMultilevel"/>
    <w:lvl w:ilvl="0">
      <w:lvlJc w:val="left"/>
      <w:lvlText w:val="3"/>
      <w:numFmt w:val="bullet"/>
      <w:start w:val="1"/>
    </w:lvl>
  </w:abstractNum>
  <w:abstractNum w:abstractNumId="17">
    <w:nsid w:val="542289EC"/>
    <w:multiLevelType w:val="hybridMultilevel"/>
    <w:lvl w:ilvl="0">
      <w:lvlJc w:val="left"/>
      <w:lvlText w:val="4"/>
      <w:numFmt w:val="bullet"/>
      <w:start w:val="1"/>
    </w:lvl>
  </w:abstractNum>
  <w:abstractNum w:abstractNumId="18">
    <w:nsid w:val="6DE91B18"/>
    <w:multiLevelType w:val="hybridMultilevel"/>
    <w:lvl w:ilvl="0">
      <w:lvlJc w:val="left"/>
      <w:lvlText w:val="5"/>
      <w:numFmt w:val="bullet"/>
      <w:start w:val="1"/>
    </w:lvl>
  </w:abstractNum>
  <w:abstractNum w:abstractNumId="19">
    <w:nsid w:val="38437FDB"/>
    <w:multiLevelType w:val="hybridMultilevel"/>
    <w:lvl w:ilvl="0">
      <w:lvlJc w:val="left"/>
      <w:lvlText w:val="6"/>
      <w:numFmt w:val="bullet"/>
      <w:start w:val="1"/>
    </w:lvl>
  </w:abstractNum>
  <w:abstractNum w:abstractNumId="20">
    <w:nsid w:val="7644A45C"/>
    <w:multiLevelType w:val="hybridMultilevel"/>
    <w:lvl w:ilvl="0">
      <w:lvlJc w:val="left"/>
      <w:lvlText w:val="1"/>
      <w:numFmt w:val="bullet"/>
      <w:start w:val="1"/>
    </w:lvl>
  </w:abstractNum>
  <w:abstractNum w:abstractNumId="21">
    <w:nsid w:val="32FFF902"/>
    <w:multiLevelType w:val="hybridMultilevel"/>
    <w:lvl w:ilvl="0">
      <w:lvlJc w:val="left"/>
      <w:lvlText w:val="2"/>
      <w:numFmt w:val="bullet"/>
      <w:start w:val="1"/>
    </w:lvl>
  </w:abstractNum>
  <w:abstractNum w:abstractNumId="22">
    <w:nsid w:val="684A481A"/>
    <w:multiLevelType w:val="hybridMultilevel"/>
    <w:lvl w:ilvl="0">
      <w:lvlJc w:val="left"/>
      <w:lvlText w:val="3"/>
      <w:numFmt w:val="bullet"/>
      <w:start w:val="1"/>
    </w:lvl>
  </w:abstractNum>
  <w:abstractNum w:abstractNumId="23">
    <w:nsid w:val="579478FE"/>
    <w:multiLevelType w:val="hybridMultilevel"/>
    <w:lvl w:ilvl="0">
      <w:lvlJc w:val="left"/>
      <w:lvlText w:val="4"/>
      <w:numFmt w:val="bullet"/>
      <w:start w:val="1"/>
    </w:lvl>
  </w:abstractNum>
  <w:abstractNum w:abstractNumId="24">
    <w:nsid w:val="749ABB43"/>
    <w:multiLevelType w:val="hybridMultilevel"/>
    <w:lvl w:ilvl="0">
      <w:lvlJc w:val="left"/>
      <w:lvlText w:val="5"/>
      <w:numFmt w:val="bullet"/>
      <w:start w:val="1"/>
    </w:lvl>
  </w:abstractNum>
  <w:abstractNum w:abstractNumId="25">
    <w:nsid w:val="3DC240FB"/>
    <w:multiLevelType w:val="hybridMultilevel"/>
    <w:lvl w:ilvl="0">
      <w:lvlJc w:val="left"/>
      <w:lvlText w:val="1"/>
      <w:numFmt w:val="bullet"/>
      <w:start w:val="1"/>
    </w:lvl>
  </w:abstractNum>
  <w:abstractNum w:abstractNumId="26">
    <w:nsid w:val="1BA026FA"/>
    <w:multiLevelType w:val="hybridMultilevel"/>
    <w:lvl w:ilvl="0">
      <w:lvlJc w:val="left"/>
      <w:lvlText w:val="1"/>
      <w:numFmt w:val="bullet"/>
      <w:start w:val="1"/>
    </w:lvl>
  </w:abstractNum>
  <w:abstractNum w:abstractNumId="27">
    <w:nsid w:val="79A1DEAA"/>
    <w:multiLevelType w:val="hybridMultilevel"/>
    <w:lvl w:ilvl="0">
      <w:lvlJc w:val="left"/>
      <w:lvlText w:val="(%1)"/>
      <w:numFmt w:val="lowerRoman"/>
      <w:start w:val="2"/>
    </w:lvl>
  </w:abstractNum>
  <w:abstractNum w:abstractNumId="28">
    <w:nsid w:val="75C6C33A"/>
    <w:multiLevelType w:val="hybridMultilevel"/>
    <w:lvl w:ilvl="0">
      <w:lvlJc w:val="left"/>
      <w:lvlText w:val="1"/>
      <w:numFmt w:val="bullet"/>
      <w:start w:val="1"/>
    </w:lvl>
  </w:abstractNum>
  <w:abstractNum w:abstractNumId="29">
    <w:nsid w:val="12E685FB"/>
    <w:multiLevelType w:val="hybridMultilevel"/>
    <w:lvl w:ilvl="0">
      <w:lvlJc w:val="left"/>
      <w:lvlText w:val="1"/>
      <w:numFmt w:val="bullet"/>
      <w:start w:val="1"/>
    </w:lvl>
  </w:abstractNum>
  <w:abstractNum w:abstractNumId="30">
    <w:nsid w:val="70C6A529"/>
    <w:multiLevelType w:val="hybridMultilevel"/>
    <w:lvl w:ilvl="0">
      <w:lvlJc w:val="left"/>
      <w:lvlText w:val="1"/>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lowerLetter"/>
      <w:start w:val="2"/>
    </w:lvl>
    <w:lvl w:ilvl="1">
      <w:lvlJc w:val="left"/>
      <w:lvlText w:val="(%2)"/>
      <w:numFmt w:val="lowerRoman"/>
      <w:start w:val="1"/>
    </w:lvl>
  </w:abstractNum>
  <w:abstractNum w:abstractNumId="35">
    <w:nsid w:val="649BB77C"/>
    <w:multiLevelType w:val="hybridMultilevel"/>
    <w:lvl w:ilvl="0">
      <w:lvlJc w:val="left"/>
      <w:lvlText w:val="%1"/>
      <w:numFmt w:val="lowerLetter"/>
      <w:start w:val="1"/>
    </w:lvl>
    <w:lvl w:ilvl="1">
      <w:lvlJc w:val="left"/>
      <w:lvlText w:val="(%2)"/>
      <w:numFmt w:val="lowerRoman"/>
      <w:start w:val="3"/>
    </w:lvl>
  </w:abstractNum>
  <w:abstractNum w:abstractNumId="36">
    <w:nsid w:val="275AC794"/>
    <w:multiLevelType w:val="hybridMultilevel"/>
    <w:lvl w:ilvl="0">
      <w:lvlJc w:val="left"/>
      <w:lvlText w:val="(%1)"/>
      <w:numFmt w:val="lowerLetter"/>
      <w:start w:val="3"/>
    </w:lvl>
    <w:lvl w:ilvl="1">
      <w:lvlJc w:val="left"/>
      <w:lvlText w:val="%2"/>
      <w:numFmt w:val="lowerRoman"/>
      <w:start w:val="1"/>
    </w:lvl>
  </w:abstractNum>
  <w:abstractNum w:abstractNumId="37">
    <w:nsid w:val="3938657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8">
    <w:nsid w:val="1CF10FD8"/>
    <w:multiLevelType w:val="hybridMultilevel"/>
    <w:lvl w:ilvl="0">
      <w:lvlJc w:val="left"/>
      <w:lvlText w:val="%1"/>
      <w:numFmt w:val="lowerRoman"/>
      <w:start w:val="1"/>
    </w:lvl>
    <w:lvl w:ilvl="1">
      <w:lvlJc w:val="left"/>
      <w:lvlText w:val="(%2)"/>
      <w:numFmt w:val="upperLetter"/>
      <w:start w:val="2"/>
    </w:lvl>
  </w:abstractNum>
  <w:abstractNum w:abstractNumId="39">
    <w:nsid w:val="180115BE"/>
    <w:multiLevelType w:val="hybridMultilevel"/>
    <w:lvl w:ilvl="0">
      <w:lvlJc w:val="left"/>
      <w:lvlText w:val="(%1)"/>
      <w:numFmt w:val="lowerRoman"/>
      <w:start w:val="3"/>
    </w:lvl>
    <w:lvl w:ilvl="1">
      <w:lvlJc w:val="left"/>
      <w:lvlText w:val="%2"/>
      <w:numFmt w:val="upperLetter"/>
      <w:start w:val="1"/>
    </w:lvl>
  </w:abstractNum>
  <w:abstractNum w:abstractNumId="40">
    <w:nsid w:val="235BA861"/>
    <w:multiLevelType w:val="hybridMultilevel"/>
    <w:lvl w:ilvl="0">
      <w:lvlJc w:val="left"/>
      <w:lvlText w:val="(%1)"/>
      <w:numFmt w:val="lowerLetter"/>
      <w:start w:val="2"/>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9"/>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1"/>
    </w:lvl>
    <w:lvl w:ilvl="1">
      <w:lvlJc w:val="left"/>
      <w:lvlText w:val="(%2)"/>
      <w:numFmt w:val="lowerRoman"/>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9">
    <w:nsid w:val="7E0C57B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0">
    <w:nsid w:val="77AE35EB"/>
    <w:multiLevelType w:val="hybridMultilevel"/>
    <w:lvl w:ilvl="0">
      <w:lvlJc w:val="left"/>
      <w:lvlText w:val="(%1)"/>
      <w:numFmt w:val="lowerLetter"/>
      <w:start w:val="3"/>
    </w:lvl>
    <w:lvl w:ilvl="1">
      <w:lvlJc w:val="left"/>
      <w:lvlText w:val="(%2)"/>
      <w:numFmt w:val="lowerRoman"/>
      <w:start w:val="1"/>
    </w:lvl>
  </w:abstractNum>
  <w:abstractNum w:abstractNumId="51">
    <w:nsid w:val="579BE4F1"/>
    <w:multiLevelType w:val="hybridMultilevel"/>
    <w:lvl w:ilvl="0">
      <w:lvlJc w:val="left"/>
      <w:lvlText w:val="%1."/>
      <w:numFmt w:val="decimal"/>
      <w:start w:val="4"/>
    </w:lvl>
    <w:lvl w:ilvl="1">
      <w:lvlJc w:val="left"/>
      <w:lvlText w:val="(%2)"/>
      <w:numFmt w:val="lowerLetter"/>
      <w:start w:val="1"/>
    </w:lvl>
  </w:abstractNum>
  <w:abstractNum w:abstractNumId="52">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3">
    <w:nsid w:val="5FF87E0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54">
    <w:nsid w:val="2F305DEF"/>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55">
    <w:nsid w:val="25A70BF7"/>
    <w:multiLevelType w:val="hybridMultilevel"/>
    <w:lvl w:ilvl="0">
      <w:lvlJc w:val="left"/>
      <w:lvlText w:val="%1."/>
      <w:numFmt w:val="decimal"/>
      <w:start w:val="11"/>
    </w:lvl>
  </w:abstractNum>
  <w:abstractNum w:abstractNumId="56">
    <w:nsid w:val="1DBABF00"/>
    <w:multiLevelType w:val="hybridMultilevel"/>
    <w:lvl w:ilvl="0">
      <w:lvlJc w:val="left"/>
      <w:lvlText w:val="%1."/>
      <w:numFmt w:val="decimal"/>
      <w:start w:val="16"/>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2"/>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2">
    <w:nsid w:val="659070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
    <w:nsid w:val="15014A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5F5E7FD0"/>
    <w:multiLevelType w:val="hybridMultilevel"/>
    <w:lvl w:ilvl="0">
      <w:lvlJc w:val="left"/>
      <w:lvlText w:val="%1."/>
      <w:numFmt w:val="decimal"/>
      <w:start w:val="7"/>
    </w:lvl>
    <w:lvl w:ilvl="1">
      <w:lvlJc w:val="left"/>
      <w:lvlText w:val="(%2)"/>
      <w:numFmt w:val="lowerLetter"/>
      <w:start w:val="1"/>
    </w:lvl>
  </w:abstractNum>
  <w:abstractNum w:abstractNumId="65">
    <w:nsid w:val="98A3148"/>
    <w:multiLevelType w:val="hybridMultilevel"/>
    <w:lvl w:ilvl="0">
      <w:lvlJc w:val="left"/>
      <w:lvlText w:val="%1"/>
      <w:numFmt w:val="lowerRoman"/>
      <w:start w:val="1"/>
    </w:lvl>
    <w:lvl w:ilvl="1">
      <w:lvlJc w:val="left"/>
      <w:lvlText w:val="%2."/>
      <w:numFmt w:val="decimal"/>
      <w:start w:val="9"/>
    </w:lvl>
  </w:abstractNum>
  <w:abstractNum w:abstractNumId="66">
    <w:nsid w:val="799D0247"/>
    <w:multiLevelType w:val="hybridMultilevel"/>
    <w:lvl w:ilvl="0">
      <w:lvlJc w:val="left"/>
      <w:lvlText w:val="(%1)"/>
      <w:numFmt w:val="lowerRoman"/>
      <w:start w:val="2"/>
    </w:lvl>
    <w:lvl w:ilvl="1">
      <w:lvlJc w:val="left"/>
      <w:lvlText w:val="%2."/>
      <w:numFmt w:val="decimal"/>
      <w:start w:val="10"/>
    </w:lvl>
  </w:abstractNum>
  <w:abstractNum w:abstractNumId="67">
    <w:nsid w:val="6B94764"/>
    <w:multiLevelType w:val="hybridMultilevel"/>
    <w:lvl w:ilvl="0">
      <w:lvlJc w:val="left"/>
      <w:lvlText w:val="%1."/>
      <w:numFmt w:val="decimal"/>
      <w:start w:val="13"/>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2"/>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18" Type="http://schemas.openxmlformats.org/officeDocument/2006/relationships/hyperlink" Target="https://www.sec.gov/Archives/edgar/data/1275168/000155278121000525/e21434_ex3-1.htm" TargetMode="External"/><Relationship Id="rId119" Type="http://schemas.openxmlformats.org/officeDocument/2006/relationships/hyperlink" Target="http://www.sec.gov/Archives/edgar/data/1275168/000155278121000243/e21250_ex4-1.htm" TargetMode="External"/><Relationship Id="rId120" Type="http://schemas.openxmlformats.org/officeDocument/2006/relationships/hyperlink" Target="https://www.sec.gov/Archives/edgar/data/1275168/000155278121000190/e21201_ex10-9.htm" TargetMode="External"/><Relationship Id="rId121" Type="http://schemas.openxmlformats.org/officeDocument/2006/relationships/hyperlink" Target="https://www.sec.gov/Archives/edgar/data/1275168/000155278121000190/e21201_ex10-10.htm" TargetMode="External"/><Relationship Id="rId122" Type="http://schemas.openxmlformats.org/officeDocument/2006/relationships/hyperlink" Target="https://www.sec.gov/Archives/edgar/data/1275168/000155278121000190/e21201_ex10-1.htm" TargetMode="External"/><Relationship Id="rId123" Type="http://schemas.openxmlformats.org/officeDocument/2006/relationships/hyperlink" Target="https://www.sec.gov/Archives/edgar/data/1275168/000155278121000243/e21250_ex10-4.htm" TargetMode="External"/><Relationship Id="rId124" Type="http://schemas.openxmlformats.org/officeDocument/2006/relationships/hyperlink" Target="http://www.sec.gov/Archives/edgar/data/1275168/000155278121000190/e21201_ex10-5.htm" TargetMode="External"/><Relationship Id="rId125" Type="http://schemas.openxmlformats.org/officeDocument/2006/relationships/hyperlink" Target="https://www.sec.gov/Archives/edgar/data/1275168/000155278121000190/e21201_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2022-02-25T18:23:23Z</dcterms:created>
  <dcterms:modified xsi:type="dcterms:W3CDTF">2022-02-25T18:23:23Z</dcterms:modified>
</cp:coreProperties>
</file>