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391795</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June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3"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For the transition period from ________ to ________</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001-40379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FIVE STAR BANCORP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3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California</w:t>
            </w:r>
          </w:p>
        </w:tc>
        <w:tc>
          <w:tcPr>
            <w:tcW w:w="3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40" w:type="dxa"/>
            <w:vAlign w:val="bottom"/>
            <w:gridSpan w:val="3"/>
          </w:tcPr>
          <w:p>
            <w:pPr>
              <w:jc w:val="right"/>
              <w:ind w:right="1320"/>
              <w:spacing w:after="0"/>
              <w:rPr>
                <w:sz w:val="20"/>
                <w:szCs w:val="20"/>
                <w:color w:val="auto"/>
              </w:rPr>
            </w:pPr>
            <w:r>
              <w:rPr>
                <w:rFonts w:ascii="Arial" w:cs="Arial" w:eastAsia="Arial" w:hAnsi="Arial"/>
                <w:sz w:val="18"/>
                <w:szCs w:val="18"/>
                <w:b w:val="1"/>
                <w:bCs w:val="1"/>
                <w:color w:val="auto"/>
              </w:rPr>
              <w:t>75-3100966</w:t>
            </w:r>
          </w:p>
        </w:tc>
      </w:tr>
      <w:tr>
        <w:trPr>
          <w:trHeight w:val="270"/>
        </w:trPr>
        <w:tc>
          <w:tcPr>
            <w:tcW w:w="6980" w:type="dxa"/>
            <w:vAlign w:val="bottom"/>
            <w:gridSpan w:val="4"/>
          </w:tcPr>
          <w:p>
            <w:pPr>
              <w:ind w:left="640"/>
              <w:spacing w:after="0"/>
              <w:rPr>
                <w:sz w:val="20"/>
                <w:szCs w:val="20"/>
                <w:color w:val="auto"/>
              </w:rPr>
            </w:pPr>
            <w:r>
              <w:rPr>
                <w:rFonts w:ascii="Arial" w:cs="Arial" w:eastAsia="Arial" w:hAnsi="Arial"/>
                <w:sz w:val="18"/>
                <w:szCs w:val="18"/>
                <w:color w:val="auto"/>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(IRS Employer Identification No.)</w:t>
            </w:r>
          </w:p>
        </w:tc>
      </w:tr>
      <w:tr>
        <w:trPr>
          <w:trHeight w:val="324"/>
        </w:trPr>
        <w:tc>
          <w:tcPr>
            <w:tcW w:w="3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3100</w:t>
            </w:r>
          </w:p>
        </w:tc>
        <w:tc>
          <w:tcPr>
            <w:tcW w:w="7020" w:type="dxa"/>
            <w:vAlign w:val="bottom"/>
            <w:gridSpan w:val="5"/>
          </w:tcPr>
          <w:p>
            <w:pPr>
              <w:ind w:left="20"/>
              <w:spacing w:after="0"/>
              <w:rPr>
                <w:sz w:val="20"/>
                <w:szCs w:val="20"/>
                <w:color w:val="auto"/>
              </w:rPr>
            </w:pPr>
            <w:r>
              <w:rPr>
                <w:rFonts w:ascii="Arial" w:cs="Arial" w:eastAsia="Arial" w:hAnsi="Arial"/>
                <w:sz w:val="18"/>
                <w:szCs w:val="18"/>
                <w:b w:val="1"/>
                <w:bCs w:val="1"/>
                <w:color w:val="auto"/>
              </w:rPr>
              <w:t>Zinfandel Drive, Suite 100 Rancho Cordova, CA 95670</w:t>
            </w:r>
          </w:p>
        </w:tc>
      </w:tr>
      <w:tr>
        <w:trPr>
          <w:trHeight w:val="290"/>
        </w:trPr>
        <w:tc>
          <w:tcPr>
            <w:tcW w:w="28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3"/>
              </w:rPr>
              <w:t>(Address of principal executive office) (Zip Code)</w:t>
            </w:r>
          </w:p>
        </w:tc>
        <w:tc>
          <w:tcPr>
            <w:tcW w:w="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0"/>
        </w:trPr>
        <w:tc>
          <w:tcPr>
            <w:tcW w:w="10220" w:type="dxa"/>
            <w:vAlign w:val="bottom"/>
            <w:gridSpan w:val="7"/>
          </w:tcPr>
          <w:p>
            <w:pPr>
              <w:jc w:val="center"/>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(916) 626-5000</w:t>
            </w:r>
          </w:p>
        </w:tc>
      </w:tr>
      <w:tr>
        <w:trPr>
          <w:trHeight w:val="20"/>
        </w:trPr>
        <w:tc>
          <w:tcPr>
            <w:tcW w:w="2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0"/>
        </w:trPr>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20" w:type="dxa"/>
            <w:vAlign w:val="bottom"/>
            <w:gridSpan w:val="5"/>
          </w:tcPr>
          <w:p>
            <w:pPr>
              <w:ind w:left="480"/>
              <w:spacing w:after="0"/>
              <w:rPr>
                <w:sz w:val="20"/>
                <w:szCs w:val="20"/>
                <w:color w:val="auto"/>
              </w:rPr>
            </w:pPr>
            <w:r>
              <w:rPr>
                <w:rFonts w:ascii="Arial" w:cs="Arial" w:eastAsia="Arial" w:hAnsi="Arial"/>
                <w:sz w:val="18"/>
                <w:szCs w:val="18"/>
                <w:color w:val="auto"/>
              </w:rPr>
              <w:t>Securities registered pursuant to 12(b) of the Act:</w:t>
            </w:r>
          </w:p>
        </w:tc>
      </w:tr>
      <w:tr>
        <w:trPr>
          <w:trHeight w:val="270"/>
        </w:trPr>
        <w:tc>
          <w:tcPr>
            <w:tcW w:w="3200" w:type="dxa"/>
            <w:vAlign w:val="bottom"/>
            <w:gridSpan w:val="2"/>
          </w:tcPr>
          <w:p>
            <w:pPr>
              <w:jc w:val="right"/>
              <w:ind w:right="1180"/>
              <w:spacing w:after="0"/>
              <w:rPr>
                <w:sz w:val="20"/>
                <w:szCs w:val="20"/>
                <w:color w:val="auto"/>
              </w:rPr>
            </w:pPr>
            <w:r>
              <w:rPr>
                <w:rFonts w:ascii="Arial" w:cs="Arial" w:eastAsia="Arial" w:hAnsi="Arial"/>
                <w:sz w:val="18"/>
                <w:szCs w:val="18"/>
                <w:color w:val="auto"/>
              </w:rPr>
              <w:t>Title of each class</w:t>
            </w:r>
          </w:p>
        </w:tc>
        <w:tc>
          <w:tcPr>
            <w:tcW w:w="378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Trading symbol</w:t>
            </w:r>
          </w:p>
        </w:tc>
        <w:tc>
          <w:tcPr>
            <w:tcW w:w="324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0"/>
        </w:trPr>
        <w:tc>
          <w:tcPr>
            <w:tcW w:w="320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Common stock, no par value per share</w:t>
            </w:r>
          </w:p>
        </w:tc>
        <w:tc>
          <w:tcPr>
            <w:tcW w:w="37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FSBC</w:t>
            </w:r>
          </w:p>
        </w:tc>
        <w:tc>
          <w:tcPr>
            <w:tcW w:w="440" w:type="dxa"/>
            <w:vAlign w:val="bottom"/>
          </w:tcPr>
          <w:p>
            <w:pPr>
              <w:spacing w:after="0"/>
              <w:rPr>
                <w:sz w:val="23"/>
                <w:szCs w:val="23"/>
                <w:color w:val="auto"/>
              </w:rPr>
            </w:pPr>
          </w:p>
        </w:tc>
        <w:tc>
          <w:tcPr>
            <w:tcW w:w="28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The Nasdaq Stock Market LLC</w:t>
            </w:r>
          </w:p>
        </w:tc>
      </w:tr>
    </w:tbl>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10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6"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company”</w:t>
            </w:r>
          </w:p>
        </w:tc>
        <w:tc>
          <w:tcPr>
            <w:tcW w:w="860" w:type="dxa"/>
            <w:vAlign w:val="bottom"/>
          </w:tcPr>
          <w:p>
            <w:pPr>
              <w:ind w:left="140"/>
              <w:spacing w:after="0"/>
              <w:rPr>
                <w:sz w:val="20"/>
                <w:szCs w:val="20"/>
                <w:color w:val="auto"/>
              </w:rPr>
            </w:pPr>
            <w:r>
              <w:rPr>
                <w:rFonts w:ascii="Arial" w:cs="Arial" w:eastAsia="Arial" w:hAnsi="Arial"/>
                <w:sz w:val="18"/>
                <w:szCs w:val="18"/>
                <w:color w:val="auto"/>
              </w:rPr>
              <w:t>in</w:t>
            </w:r>
          </w:p>
        </w:tc>
        <w:tc>
          <w:tcPr>
            <w:tcW w:w="1820" w:type="dxa"/>
            <w:vAlign w:val="bottom"/>
          </w:tcPr>
          <w:p>
            <w:pPr>
              <w:ind w:left="600"/>
              <w:spacing w:after="0"/>
              <w:rPr>
                <w:sz w:val="20"/>
                <w:szCs w:val="20"/>
                <w:color w:val="auto"/>
              </w:rPr>
            </w:pPr>
            <w:r>
              <w:rPr>
                <w:rFonts w:ascii="Arial" w:cs="Arial" w:eastAsia="Arial" w:hAnsi="Arial"/>
                <w:sz w:val="18"/>
                <w:szCs w:val="18"/>
                <w:color w:val="auto"/>
              </w:rPr>
              <w:t>Rule</w:t>
            </w:r>
          </w:p>
        </w:tc>
        <w:tc>
          <w:tcPr>
            <w:tcW w:w="920" w:type="dxa"/>
            <w:vAlign w:val="bottom"/>
          </w:tcPr>
          <w:p>
            <w:pPr>
              <w:ind w:left="280"/>
              <w:spacing w:after="0"/>
              <w:rPr>
                <w:sz w:val="20"/>
                <w:szCs w:val="20"/>
                <w:color w:val="auto"/>
              </w:rPr>
            </w:pPr>
            <w:r>
              <w:rPr>
                <w:rFonts w:ascii="Arial" w:cs="Arial" w:eastAsia="Arial" w:hAnsi="Arial"/>
                <w:sz w:val="18"/>
                <w:szCs w:val="18"/>
                <w:color w:val="auto"/>
              </w:rPr>
              <w:t>12b-2</w:t>
            </w:r>
          </w:p>
        </w:tc>
        <w:tc>
          <w:tcPr>
            <w:tcW w:w="2240" w:type="dxa"/>
            <w:vAlign w:val="bottom"/>
          </w:tcPr>
          <w:p>
            <w:pPr>
              <w:ind w:left="960"/>
              <w:spacing w:after="0"/>
              <w:rPr>
                <w:sz w:val="20"/>
                <w:szCs w:val="20"/>
                <w:color w:val="auto"/>
              </w:rPr>
            </w:pPr>
            <w:r>
              <w:rPr>
                <w:rFonts w:ascii="Arial" w:cs="Arial" w:eastAsia="Arial" w:hAnsi="Arial"/>
                <w:sz w:val="18"/>
                <w:szCs w:val="18"/>
                <w:color w:val="auto"/>
              </w:rPr>
              <w:t>of</w:t>
            </w:r>
          </w:p>
        </w:tc>
        <w:tc>
          <w:tcPr>
            <w:tcW w:w="860" w:type="dxa"/>
            <w:vAlign w:val="bottom"/>
          </w:tcPr>
          <w:p>
            <w:pPr>
              <w:ind w:left="40"/>
              <w:spacing w:after="0"/>
              <w:rPr>
                <w:sz w:val="20"/>
                <w:szCs w:val="20"/>
                <w:color w:val="auto"/>
              </w:rPr>
            </w:pPr>
            <w:r>
              <w:rPr>
                <w:rFonts w:ascii="Arial" w:cs="Arial" w:eastAsia="Arial" w:hAnsi="Arial"/>
                <w:sz w:val="18"/>
                <w:szCs w:val="18"/>
                <w:color w:val="auto"/>
              </w:rPr>
              <w:t>the</w:t>
            </w: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Exchange</w:t>
            </w:r>
          </w:p>
        </w:tc>
        <w:tc>
          <w:tcPr>
            <w:tcW w:w="880" w:type="dxa"/>
            <w:vAlign w:val="bottom"/>
          </w:tcPr>
          <w:p>
            <w:pPr>
              <w:ind w:left="580"/>
              <w:spacing w:after="0"/>
              <w:rPr>
                <w:sz w:val="20"/>
                <w:szCs w:val="20"/>
                <w:color w:val="auto"/>
              </w:rPr>
            </w:pPr>
            <w:r>
              <w:rPr>
                <w:rFonts w:ascii="Arial" w:cs="Arial" w:eastAsia="Arial" w:hAnsi="Arial"/>
                <w:sz w:val="18"/>
                <w:szCs w:val="18"/>
                <w:color w:val="auto"/>
                <w:w w:val="90"/>
              </w:rPr>
              <w:t>Act.</w:t>
            </w:r>
          </w:p>
        </w:tc>
      </w:tr>
      <w:tr>
        <w:trPr>
          <w:trHeight w:val="256"/>
        </w:trPr>
        <w:tc>
          <w:tcPr>
            <w:tcW w:w="1780" w:type="dxa"/>
            <w:vAlign w:val="bottom"/>
          </w:tcPr>
          <w:p>
            <w:pPr>
              <w:ind w:left="20"/>
              <w:spacing w:after="0"/>
              <w:rPr>
                <w:sz w:val="20"/>
                <w:szCs w:val="20"/>
                <w:color w:val="auto"/>
              </w:rPr>
            </w:pPr>
            <w:r>
              <w:rPr>
                <w:rFonts w:ascii="Arial" w:cs="Arial" w:eastAsia="Arial" w:hAnsi="Arial"/>
                <w:sz w:val="18"/>
                <w:szCs w:val="18"/>
                <w:color w:val="auto"/>
                <w:w w:val="97"/>
              </w:rPr>
              <w:t>Large accelerated filer</w:t>
            </w:r>
          </w:p>
        </w:tc>
        <w:tc>
          <w:tcPr>
            <w:tcW w:w="860" w:type="dxa"/>
            <w:vAlign w:val="bottom"/>
          </w:tcPr>
          <w:p>
            <w:pPr>
              <w:spacing w:after="0"/>
              <w:rPr>
                <w:sz w:val="22"/>
                <w:szCs w:val="22"/>
                <w:color w:val="auto"/>
              </w:rPr>
            </w:pPr>
          </w:p>
        </w:tc>
        <w:tc>
          <w:tcPr>
            <w:tcW w:w="1820" w:type="dxa"/>
            <w:vAlign w:val="bottom"/>
          </w:tcPr>
          <w:p>
            <w:pPr>
              <w:ind w:left="1440"/>
              <w:spacing w:after="0"/>
              <w:rPr>
                <w:sz w:val="20"/>
                <w:szCs w:val="20"/>
                <w:color w:val="auto"/>
              </w:rPr>
            </w:pPr>
            <w:r>
              <w:rPr>
                <w:rFonts w:ascii="Arial" w:cs="Arial" w:eastAsia="Arial" w:hAnsi="Arial"/>
                <w:sz w:val="18"/>
                <w:szCs w:val="18"/>
                <w:color w:val="auto"/>
              </w:rPr>
              <w:t>o</w:t>
            </w:r>
          </w:p>
        </w:tc>
        <w:tc>
          <w:tcPr>
            <w:tcW w:w="92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spacing w:after="0"/>
              <w:rPr>
                <w:sz w:val="22"/>
                <w:szCs w:val="22"/>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o</w:t>
            </w:r>
          </w:p>
        </w:tc>
        <w:tc>
          <w:tcPr>
            <w:tcW w:w="880" w:type="dxa"/>
            <w:vAlign w:val="bottom"/>
          </w:tcPr>
          <w:p>
            <w:pPr>
              <w:spacing w:after="0"/>
              <w:rPr>
                <w:sz w:val="22"/>
                <w:szCs w:val="22"/>
                <w:color w:val="auto"/>
              </w:rPr>
            </w:pPr>
          </w:p>
        </w:tc>
      </w:tr>
      <w:tr>
        <w:trPr>
          <w:trHeight w:val="257"/>
        </w:trPr>
        <w:tc>
          <w:tcPr>
            <w:tcW w:w="178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860" w:type="dxa"/>
            <w:vAlign w:val="bottom"/>
          </w:tcPr>
          <w:p>
            <w:pPr>
              <w:spacing w:after="0"/>
              <w:rPr>
                <w:sz w:val="22"/>
                <w:szCs w:val="22"/>
                <w:color w:val="auto"/>
              </w:rPr>
            </w:pPr>
          </w:p>
        </w:tc>
        <w:tc>
          <w:tcPr>
            <w:tcW w:w="1820" w:type="dxa"/>
            <w:vAlign w:val="bottom"/>
          </w:tcPr>
          <w:p>
            <w:pPr>
              <w:ind w:left="14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Arial" w:cs="Arial" w:eastAsia="Arial" w:hAnsi="Arial"/>
                <w:sz w:val="18"/>
                <w:szCs w:val="18"/>
                <w:color w:val="auto"/>
                <w:w w:val="92"/>
              </w:rPr>
              <w:t>Smaller reporting company</w:t>
            </w:r>
          </w:p>
        </w:tc>
        <w:tc>
          <w:tcPr>
            <w:tcW w:w="860" w:type="dxa"/>
            <w:vAlign w:val="bottom"/>
          </w:tcPr>
          <w:p>
            <w:pPr>
              <w:spacing w:after="0"/>
              <w:rPr>
                <w:sz w:val="22"/>
                <w:szCs w:val="22"/>
                <w:color w:val="auto"/>
              </w:rPr>
            </w:pPr>
          </w:p>
        </w:tc>
        <w:tc>
          <w:tcPr>
            <w:tcW w:w="1880" w:type="dxa"/>
            <w:vAlign w:val="bottom"/>
          </w:tcPr>
          <w:p>
            <w:pPr>
              <w:jc w:val="right"/>
              <w:ind w:right="49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22"/>
                <w:szCs w:val="22"/>
                <w:color w:val="auto"/>
              </w:rPr>
            </w:pPr>
          </w:p>
        </w:tc>
      </w:tr>
      <w:tr>
        <w:trPr>
          <w:trHeight w:val="257"/>
        </w:trPr>
        <w:tc>
          <w:tcPr>
            <w:tcW w:w="264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4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As of August 4, 2023, there were 17,257,357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8"/>
              </w:rPr>
              <w:t>TABLE OF CONTENTS</w:t>
            </w:r>
          </w:p>
        </w:tc>
        <w:tc>
          <w:tcPr>
            <w:tcW w:w="3620" w:type="dxa"/>
            <w:vAlign w:val="bottom"/>
          </w:tcPr>
          <w:p>
            <w:pPr>
              <w:spacing w:after="0"/>
              <w:rPr>
                <w:sz w:val="20"/>
                <w:szCs w:val="20"/>
                <w:color w:val="auto"/>
              </w:rPr>
            </w:pPr>
          </w:p>
        </w:tc>
      </w:tr>
      <w:tr>
        <w:trPr>
          <w:trHeight w:val="58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8"/>
              </w:rPr>
              <w:t>FIVE STAR BANCORP AND SUBSIDIARY</w:t>
            </w:r>
          </w:p>
        </w:tc>
        <w:tc>
          <w:tcPr>
            <w:tcW w:w="36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00" w:type="dxa"/>
            <w:vAlign w:val="bottom"/>
            <w:gridSpan w:val="6"/>
          </w:tcPr>
          <w:p>
            <w:pPr>
              <w:jc w:val="center"/>
              <w:ind w:right="680"/>
              <w:spacing w:after="0"/>
              <w:rPr>
                <w:sz w:val="20"/>
                <w:szCs w:val="20"/>
                <w:color w:val="auto"/>
              </w:rPr>
            </w:pPr>
            <w:r>
              <w:rPr>
                <w:rFonts w:ascii="Arial" w:cs="Arial" w:eastAsia="Arial" w:hAnsi="Arial"/>
                <w:sz w:val="18"/>
                <w:szCs w:val="18"/>
                <w:color w:val="auto"/>
                <w:w w:val="91"/>
              </w:rPr>
              <w:t>Quarterly Report on Form 10-Q</w:t>
            </w:r>
          </w:p>
        </w:tc>
        <w:tc>
          <w:tcPr>
            <w:tcW w:w="36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gridSpan w:val="5"/>
          </w:tcPr>
          <w:p>
            <w:pPr>
              <w:jc w:val="center"/>
              <w:ind w:right="1360"/>
              <w:spacing w:after="0"/>
              <w:rPr>
                <w:sz w:val="20"/>
                <w:szCs w:val="20"/>
                <w:color w:val="auto"/>
              </w:rPr>
            </w:pPr>
            <w:r>
              <w:rPr>
                <w:rFonts w:ascii="Arial" w:cs="Arial" w:eastAsia="Arial" w:hAnsi="Arial"/>
                <w:sz w:val="18"/>
                <w:szCs w:val="18"/>
                <w:color w:val="auto"/>
                <w:w w:val="87"/>
              </w:rPr>
              <w:t>June 30, 2023</w:t>
            </w:r>
          </w:p>
        </w:tc>
        <w:tc>
          <w:tcPr>
            <w:tcW w:w="36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4040" w:type="dxa"/>
            <w:vAlign w:val="bottom"/>
            <w:gridSpan w:val="8"/>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4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3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8"/>
              </w:rPr>
              <w:t>Consolidated Balance Sheets</w:t>
            </w:r>
          </w:p>
        </w:tc>
        <w:tc>
          <w:tcPr>
            <w:tcW w:w="20" w:type="dxa"/>
            <w:vAlign w:val="bottom"/>
            <w:tcBorders>
              <w:top w:val="single" w:sz="8" w:color="0000FF"/>
            </w:tcBorders>
          </w:tcPr>
          <w:p>
            <w:pPr>
              <w:spacing w:after="0"/>
              <w:rPr>
                <w:sz w:val="20"/>
                <w:szCs w:val="20"/>
                <w:color w:val="auto"/>
              </w:rPr>
            </w:pPr>
          </w:p>
        </w:tc>
        <w:tc>
          <w:tcPr>
            <w:tcW w:w="4060" w:type="dxa"/>
            <w:vAlign w:val="bottom"/>
            <w:gridSpan w:val="9"/>
          </w:tcPr>
          <w:p>
            <w:pPr>
              <w:spacing w:after="0"/>
              <w:rPr>
                <w:sz w:val="20"/>
                <w:szCs w:val="20"/>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180" w:type="dxa"/>
            <w:vAlign w:val="bottom"/>
            <w:gridSpan w:val="18"/>
          </w:tcPr>
          <w:p>
            <w:pPr>
              <w:spacing w:after="0"/>
              <w:rPr>
                <w:sz w:val="20"/>
                <w:szCs w:val="20"/>
                <w:color w:val="auto"/>
              </w:rPr>
            </w:pPr>
            <w:r>
              <w:rPr>
                <w:rFonts w:ascii="Arial" w:cs="Arial" w:eastAsia="Arial" w:hAnsi="Arial"/>
                <w:sz w:val="18"/>
                <w:szCs w:val="18"/>
                <w:color w:val="0000FF"/>
              </w:rPr>
              <w:t>Consolidated Statements of Income</w:t>
            </w:r>
          </w:p>
        </w:tc>
        <w:tc>
          <w:tcPr>
            <w:tcW w:w="3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80" w:type="dxa"/>
            <w:vAlign w:val="bottom"/>
            <w:gridSpan w:val="18"/>
          </w:tcPr>
          <w:p>
            <w:pPr>
              <w:spacing w:after="0"/>
              <w:rPr>
                <w:sz w:val="20"/>
                <w:szCs w:val="20"/>
                <w:color w:val="auto"/>
              </w:rPr>
            </w:pPr>
            <w:r>
              <w:rPr>
                <w:rFonts w:ascii="Arial" w:cs="Arial" w:eastAsia="Arial" w:hAnsi="Arial"/>
                <w:sz w:val="18"/>
                <w:szCs w:val="18"/>
                <w:color w:val="0000FF"/>
              </w:rPr>
              <w:t>Consolidated Statements of Comprehensive Income</w:t>
            </w:r>
          </w:p>
        </w:tc>
        <w:tc>
          <w:tcPr>
            <w:tcW w:w="3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89"/>
              </w:rPr>
              <w:t>Consolidated Statements of Shareholders’ Equity</w:t>
            </w:r>
          </w:p>
        </w:tc>
        <w:tc>
          <w:tcPr>
            <w:tcW w:w="200" w:type="dxa"/>
            <w:vAlign w:val="bottom"/>
            <w:tcBorders>
              <w:top w:val="single" w:sz="8" w:color="0000FF"/>
            </w:tcBorders>
          </w:tcPr>
          <w:p>
            <w:pPr>
              <w:spacing w:after="0"/>
              <w:rPr>
                <w:sz w:val="20"/>
                <w:szCs w:val="20"/>
                <w:color w:val="auto"/>
              </w:rPr>
            </w:pPr>
          </w:p>
        </w:tc>
        <w:tc>
          <w:tcPr>
            <w:tcW w:w="2440" w:type="dxa"/>
            <w:vAlign w:val="bottom"/>
            <w:gridSpan w:val="4"/>
          </w:tcPr>
          <w:p>
            <w:pPr>
              <w:spacing w:after="0"/>
              <w:rPr>
                <w:sz w:val="20"/>
                <w:szCs w:val="20"/>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Statements of Cash Flows</w:t>
            </w:r>
          </w:p>
        </w:tc>
        <w:tc>
          <w:tcPr>
            <w:tcW w:w="3300" w:type="dxa"/>
            <w:vAlign w:val="bottom"/>
            <w:gridSpan w:val="6"/>
          </w:tcPr>
          <w:p>
            <w:pPr>
              <w:spacing w:after="0"/>
              <w:rPr>
                <w:sz w:val="20"/>
                <w:szCs w:val="20"/>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Notes to Consolidated Financial Statements (unaudited)</w:t>
            </w:r>
          </w:p>
        </w:tc>
        <w:tc>
          <w:tcPr>
            <w:tcW w:w="2140" w:type="dxa"/>
            <w:vAlign w:val="bottom"/>
            <w:gridSpan w:val="2"/>
          </w:tcPr>
          <w:p>
            <w:pPr>
              <w:spacing w:after="0"/>
              <w:rPr>
                <w:sz w:val="20"/>
                <w:szCs w:val="20"/>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6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98"/>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2"/>
              </w:rPr>
              <w:t>Quantitative and Qualitative Disclosure About Market Risk</w:t>
            </w:r>
          </w:p>
        </w:tc>
        <w:tc>
          <w:tcPr>
            <w:tcW w:w="2160" w:type="dxa"/>
            <w:vAlign w:val="bottom"/>
            <w:gridSpan w:val="3"/>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99"/>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4660" w:type="dxa"/>
            <w:vAlign w:val="bottom"/>
            <w:gridSpan w:val="13"/>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98"/>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40" w:type="dxa"/>
            <w:vAlign w:val="bottom"/>
            <w:gridSpan w:val="19"/>
          </w:tcPr>
          <w:p>
            <w:pPr>
              <w:spacing w:after="0"/>
              <w:rPr>
                <w:sz w:val="20"/>
                <w:szCs w:val="20"/>
                <w:color w:val="auto"/>
              </w:rPr>
            </w:pPr>
            <w:r>
              <w:rPr>
                <w:rFonts w:ascii="Arial" w:cs="Arial" w:eastAsia="Arial" w:hAnsi="Arial"/>
                <w:sz w:val="18"/>
                <w:szCs w:val="18"/>
                <w:b w:val="1"/>
                <w:bCs w:val="1"/>
                <w:color w:val="0000FF"/>
              </w:rPr>
              <w:t>OTHER INFORMATION</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398"/>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680" w:type="dxa"/>
            <w:vAlign w:val="bottom"/>
            <w:tcBorders>
              <w:top w:val="single" w:sz="8" w:color="0000FF"/>
            </w:tcBorders>
            <w:gridSpan w:val="2"/>
          </w:tcPr>
          <w:p>
            <w:pPr>
              <w:spacing w:after="0"/>
              <w:rPr>
                <w:sz w:val="24"/>
                <w:szCs w:val="24"/>
                <w:color w:val="auto"/>
              </w:rPr>
            </w:pPr>
          </w:p>
        </w:tc>
        <w:tc>
          <w:tcPr>
            <w:tcW w:w="4420" w:type="dxa"/>
            <w:vAlign w:val="bottom"/>
            <w:gridSpan w:val="12"/>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9"/>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644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3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9"/>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Defaults Upon Senior Securities</w:t>
            </w:r>
          </w:p>
        </w:tc>
        <w:tc>
          <w:tcPr>
            <w:tcW w:w="210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8"/>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24"/>
                <w:szCs w:val="24"/>
                <w:color w:val="auto"/>
              </w:rPr>
            </w:pPr>
          </w:p>
        </w:tc>
        <w:tc>
          <w:tcPr>
            <w:tcW w:w="4120" w:type="dxa"/>
            <w:vAlign w:val="bottom"/>
            <w:gridSpan w:val="11"/>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9"/>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5120" w:type="dxa"/>
            <w:vAlign w:val="bottom"/>
            <w:gridSpan w:val="15"/>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8"/>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44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3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12"/>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0000FF"/>
                <w:w w:val="97"/>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1040"/>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5"/>
                <w:szCs w:val="15"/>
                <w:i w:val="1"/>
                <w:iCs w:val="1"/>
                <w:color w:val="auto"/>
              </w:rPr>
              <w:t>(in thousands, except share amounts)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Cash and due from financial institutions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28,568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32,561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deposits in banks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227,430</w:t>
            </w:r>
          </w:p>
        </w:tc>
        <w:tc>
          <w:tcPr>
            <w:tcW w:w="0" w:type="dxa"/>
            <w:vAlign w:val="bottom"/>
          </w:tcPr>
          <w:p>
            <w:pPr>
              <w:spacing w:after="0"/>
              <w:rPr>
                <w:sz w:val="1"/>
                <w:szCs w:val="1"/>
                <w:color w:val="auto"/>
              </w:rPr>
            </w:pPr>
          </w:p>
        </w:tc>
      </w:tr>
      <w:tr>
        <w:trPr>
          <w:trHeight w:val="207"/>
        </w:trPr>
        <w:tc>
          <w:tcPr>
            <w:tcW w:w="81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300,123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259,991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 in banks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Securities available-for-sale, at fair value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110,794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115,988</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Securities held-to-maturity, at amortized cost (fair value of $3,208 and $3,432 at June 30, 2023 and December 31, 2022,</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Loans held for sale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9,416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held for investment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2,791,326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 - loans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(28,389)</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Loans held for investment, net of allowance for credit losses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2,893,427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2,762,937</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10,890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right-of-use asset,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Bank-owned life insurance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receivable and other assets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40,441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34,077</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3,402,701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3,227,159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Deposits: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Non-interest-bearing</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833,707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971,246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Interest-bearing</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2,096,032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1,810,758</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deposits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2,929,739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2,782,004</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Borrowings: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FHLB advances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Arial" w:cs="Arial" w:eastAsia="Arial" w:hAnsi="Arial"/>
                <w:sz w:val="16"/>
                <w:szCs w:val="16"/>
                <w:color w:val="auto"/>
              </w:rPr>
              <w:t>Subordinated debt,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73,677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73,606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payable and other liabilities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14,481</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3,133,561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2,974,334</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80" w:type="dxa"/>
            <w:vAlign w:val="bottom"/>
          </w:tcPr>
          <w:p>
            <w:pPr>
              <w:ind w:left="180"/>
              <w:spacing w:after="0" w:line="166" w:lineRule="exact"/>
              <w:rPr>
                <w:sz w:val="20"/>
                <w:szCs w:val="20"/>
                <w:color w:val="auto"/>
              </w:rPr>
            </w:pPr>
            <w:r>
              <w:rPr>
                <w:rFonts w:ascii="Arial" w:cs="Arial" w:eastAsia="Arial" w:hAnsi="Arial"/>
                <w:sz w:val="16"/>
                <w:szCs w:val="16"/>
                <w:color w:val="auto"/>
              </w:rPr>
              <w:t>Preferred stock, no par value; 10,000,000 shares authorized; zero issued and outstanding at June 30, 2023 and</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180" w:type="dxa"/>
            <w:vAlign w:val="bottom"/>
          </w:tcPr>
          <w:p>
            <w:pPr>
              <w:ind w:left="360"/>
              <w:spacing w:after="0"/>
              <w:rPr>
                <w:sz w:val="20"/>
                <w:szCs w:val="20"/>
                <w:color w:val="auto"/>
              </w:rPr>
            </w:pPr>
            <w:r>
              <w:rPr>
                <w:rFonts w:ascii="Arial" w:cs="Arial" w:eastAsia="Arial" w:hAnsi="Arial"/>
                <w:sz w:val="16"/>
                <w:szCs w:val="16"/>
                <w:color w:val="auto"/>
              </w:rPr>
              <w:t>December 31, 2022</w:t>
            </w: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1"/>
              </w:rPr>
              <w:t>Common stock, no par value; 100,000,000 shares authorized; 17,257,357 shares issued and outstanding at June 30, 2023;</w:t>
            </w:r>
          </w:p>
        </w:tc>
        <w:tc>
          <w:tcPr>
            <w:tcW w:w="2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220,021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219,543</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17,241,926 shares issued and outstanding at December 31, 2022</w:t>
            </w:r>
          </w:p>
        </w:tc>
        <w:tc>
          <w:tcPr>
            <w:tcW w:w="2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62,095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46,736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 net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(13,454)</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252,825</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shareholders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3,402,701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3,227,159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2420" w:type="dxa"/>
            <w:vAlign w:val="bottom"/>
            <w:gridSpan w:val="4"/>
          </w:tcPr>
          <w:p>
            <w:pPr>
              <w:jc w:val="right"/>
              <w:ind w:right="75"/>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35"/>
              <w:spacing w:after="0"/>
              <w:rPr>
                <w:sz w:val="20"/>
                <w:szCs w:val="20"/>
                <w:color w:val="auto"/>
              </w:rPr>
            </w:pPr>
            <w:r>
              <w:rPr>
                <w:rFonts w:ascii="Arial" w:cs="Arial" w:eastAsia="Arial" w:hAnsi="Arial"/>
                <w:sz w:val="17"/>
                <w:szCs w:val="17"/>
                <w:b w:val="1"/>
                <w:bCs w:val="1"/>
                <w:color w:val="auto"/>
              </w:rPr>
              <w:t>Six Months Ended</w:t>
            </w:r>
          </w:p>
        </w:tc>
      </w:tr>
      <w:tr>
        <w:trPr>
          <w:trHeight w:val="222"/>
        </w:trPr>
        <w:tc>
          <w:tcPr>
            <w:tcW w:w="5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3"/>
          </w:tcPr>
          <w:p>
            <w:pPr>
              <w:jc w:val="right"/>
              <w:ind w:right="555"/>
              <w:spacing w:after="0"/>
              <w:rPr>
                <w:sz w:val="20"/>
                <w:szCs w:val="20"/>
                <w:color w:val="auto"/>
              </w:rPr>
            </w:pPr>
            <w:r>
              <w:rPr>
                <w:rFonts w:ascii="Arial" w:cs="Arial" w:eastAsia="Arial" w:hAnsi="Arial"/>
                <w:sz w:val="17"/>
                <w:szCs w:val="17"/>
                <w:b w:val="1"/>
                <w:bCs w:val="1"/>
                <w:color w:val="auto"/>
              </w:rPr>
              <w:t>June 30,</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3"/>
          </w:tcPr>
          <w:p>
            <w:pPr>
              <w:jc w:val="right"/>
              <w:ind w:right="35"/>
              <w:spacing w:after="0"/>
              <w:rPr>
                <w:sz w:val="20"/>
                <w:szCs w:val="20"/>
                <w:color w:val="auto"/>
              </w:rPr>
            </w:pPr>
            <w:r>
              <w:rPr>
                <w:rFonts w:ascii="Arial" w:cs="Arial" w:eastAsia="Arial" w:hAnsi="Arial"/>
                <w:sz w:val="17"/>
                <w:szCs w:val="17"/>
                <w:b w:val="1"/>
                <w:bCs w:val="1"/>
                <w:color w:val="auto"/>
              </w:rPr>
              <w:t>June 30,</w:t>
            </w:r>
          </w:p>
        </w:tc>
        <w:tc>
          <w:tcPr>
            <w:tcW w:w="980" w:type="dxa"/>
            <w:vAlign w:val="bottom"/>
          </w:tcPr>
          <w:p>
            <w:pPr>
              <w:spacing w:after="0"/>
              <w:rPr>
                <w:sz w:val="19"/>
                <w:szCs w:val="19"/>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2022</w:t>
            </w: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 and fee income: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5080" w:type="dxa"/>
            <w:vAlign w:val="bottom"/>
          </w:tcPr>
          <w:p>
            <w:pPr>
              <w:ind w:left="180"/>
              <w:spacing w:after="0"/>
              <w:rPr>
                <w:sz w:val="20"/>
                <w:szCs w:val="20"/>
                <w:color w:val="auto"/>
              </w:rPr>
            </w:pPr>
            <w:r>
              <w:rPr>
                <w:rFonts w:ascii="Arial" w:cs="Arial" w:eastAsia="Arial" w:hAnsi="Arial"/>
                <w:sz w:val="17"/>
                <w:szCs w:val="17"/>
                <w:color w:val="auto"/>
              </w:rPr>
              <w:t>Loans, including fees</w:t>
            </w:r>
          </w:p>
        </w:tc>
        <w:tc>
          <w:tcPr>
            <w:tcW w:w="900" w:type="dxa"/>
            <w:vAlign w:val="bottom"/>
          </w:tcPr>
          <w:p>
            <w:pPr>
              <w:jc w:val="right"/>
              <w:ind w:right="715"/>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39,929</w:t>
            </w:r>
          </w:p>
        </w:tc>
        <w:tc>
          <w:tcPr>
            <w:tcW w:w="980" w:type="dxa"/>
            <w:vAlign w:val="bottom"/>
            <w:gridSpan w:val="2"/>
          </w:tcPr>
          <w:p>
            <w:pPr>
              <w:jc w:val="right"/>
              <w:ind w:right="695"/>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24,879</w:t>
            </w:r>
          </w:p>
        </w:tc>
        <w:tc>
          <w:tcPr>
            <w:tcW w:w="42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77,423</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46,991</w:t>
            </w:r>
          </w:p>
        </w:tc>
      </w:tr>
      <w:tr>
        <w:trPr>
          <w:trHeight w:val="223"/>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Taxable securities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r>
      <w:tr>
        <w:trPr>
          <w:trHeight w:val="223"/>
        </w:trPr>
        <w:tc>
          <w:tcPr>
            <w:tcW w:w="5080" w:type="dxa"/>
            <w:vAlign w:val="bottom"/>
          </w:tcPr>
          <w:p>
            <w:pPr>
              <w:ind w:left="180"/>
              <w:spacing w:after="0"/>
              <w:rPr>
                <w:sz w:val="20"/>
                <w:szCs w:val="20"/>
                <w:color w:val="auto"/>
              </w:rPr>
            </w:pPr>
            <w:r>
              <w:rPr>
                <w:rFonts w:ascii="Arial" w:cs="Arial" w:eastAsia="Arial" w:hAnsi="Arial"/>
                <w:sz w:val="17"/>
                <w:szCs w:val="17"/>
                <w:color w:val="auto"/>
              </w:rPr>
              <w:t>Nontaxable securities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36"/>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Interest-bearing deposits in other banks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w:t>
            </w:r>
          </w:p>
        </w:tc>
      </w:tr>
      <w:tr>
        <w:trPr>
          <w:trHeight w:val="209"/>
        </w:trPr>
        <w:tc>
          <w:tcPr>
            <w:tcW w:w="5080" w:type="dxa"/>
            <w:vAlign w:val="bottom"/>
          </w:tcPr>
          <w:p>
            <w:pPr>
              <w:ind w:left="340"/>
              <w:spacing w:after="0"/>
              <w:rPr>
                <w:sz w:val="20"/>
                <w:szCs w:val="20"/>
                <w:color w:val="auto"/>
              </w:rPr>
            </w:pPr>
            <w:r>
              <w:rPr>
                <w:rFonts w:ascii="Arial" w:cs="Arial" w:eastAsia="Arial" w:hAnsi="Arial"/>
                <w:sz w:val="17"/>
                <w:szCs w:val="17"/>
                <w:color w:val="auto"/>
              </w:rPr>
              <w:t>Total interest and fee income</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42,793</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25,999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83,104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48,870</w:t>
            </w:r>
          </w:p>
        </w:tc>
      </w:tr>
      <w:tr>
        <w:trPr>
          <w:trHeight w:val="209"/>
        </w:trPr>
        <w:tc>
          <w:tcPr>
            <w:tcW w:w="5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5"/>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Interest expense: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Deposits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13,969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w:t>
            </w:r>
          </w:p>
        </w:tc>
      </w:tr>
      <w:tr>
        <w:trPr>
          <w:trHeight w:val="223"/>
        </w:trPr>
        <w:tc>
          <w:tcPr>
            <w:tcW w:w="5080" w:type="dxa"/>
            <w:vAlign w:val="bottom"/>
          </w:tcPr>
          <w:p>
            <w:pPr>
              <w:ind w:left="180"/>
              <w:spacing w:after="0"/>
              <w:rPr>
                <w:sz w:val="20"/>
                <w:szCs w:val="20"/>
                <w:color w:val="auto"/>
              </w:rPr>
            </w:pPr>
            <w:r>
              <w:rPr>
                <w:rFonts w:ascii="Arial" w:cs="Arial" w:eastAsia="Arial" w:hAnsi="Arial"/>
                <w:sz w:val="17"/>
                <w:szCs w:val="17"/>
                <w:color w:val="auto"/>
              </w:rPr>
              <w:t>FHLB advances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Subordinated debt</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887</w:t>
            </w:r>
          </w:p>
        </w:tc>
      </w:tr>
      <w:tr>
        <w:trPr>
          <w:trHeight w:val="209"/>
        </w:trPr>
        <w:tc>
          <w:tcPr>
            <w:tcW w:w="5080" w:type="dxa"/>
            <w:vAlign w:val="bottom"/>
          </w:tcPr>
          <w:p>
            <w:pPr>
              <w:ind w:left="340"/>
              <w:spacing w:after="0"/>
              <w:rPr>
                <w:sz w:val="20"/>
                <w:szCs w:val="20"/>
                <w:color w:val="auto"/>
              </w:rPr>
            </w:pPr>
            <w:r>
              <w:rPr>
                <w:rFonts w:ascii="Arial" w:cs="Arial" w:eastAsia="Arial" w:hAnsi="Arial"/>
                <w:sz w:val="17"/>
                <w:szCs w:val="17"/>
                <w:color w:val="auto"/>
              </w:rPr>
              <w:t>Total interest expense</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15,215</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26,378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2,458</w:t>
            </w:r>
          </w:p>
        </w:tc>
      </w:tr>
      <w:tr>
        <w:trPr>
          <w:trHeight w:val="210"/>
        </w:trPr>
        <w:tc>
          <w:tcPr>
            <w:tcW w:w="5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color w:val="auto"/>
              </w:rPr>
              <w:t>Net interest income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27,578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24,529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56,726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46,412</w:t>
            </w: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credit losses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3,200</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interest income after provision for credit losses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26,328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22,279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43,212</w:t>
            </w:r>
          </w:p>
        </w:tc>
      </w:tr>
      <w:tr>
        <w:trPr>
          <w:trHeight w:val="198"/>
        </w:trPr>
        <w:tc>
          <w:tcPr>
            <w:tcW w:w="5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Non-interest income: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Service charges on deposit accounts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r>
      <w:tr>
        <w:trPr>
          <w:trHeight w:val="223"/>
        </w:trPr>
        <w:tc>
          <w:tcPr>
            <w:tcW w:w="5080" w:type="dxa"/>
            <w:vAlign w:val="bottom"/>
          </w:tcPr>
          <w:p>
            <w:pPr>
              <w:ind w:left="180"/>
              <w:spacing w:after="0"/>
              <w:rPr>
                <w:sz w:val="20"/>
                <w:szCs w:val="20"/>
                <w:color w:val="auto"/>
              </w:rPr>
            </w:pPr>
            <w:r>
              <w:rPr>
                <w:rFonts w:ascii="Arial" w:cs="Arial" w:eastAsia="Arial" w:hAnsi="Arial"/>
                <w:sz w:val="17"/>
                <w:szCs w:val="17"/>
                <w:color w:val="auto"/>
              </w:rPr>
              <w:t>Net gain on sale of securities available-for-sale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 on sale of loans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r>
      <w:tr>
        <w:trPr>
          <w:trHeight w:val="216"/>
        </w:trPr>
        <w:tc>
          <w:tcPr>
            <w:tcW w:w="5080" w:type="dxa"/>
            <w:vAlign w:val="bottom"/>
          </w:tcPr>
          <w:p>
            <w:pPr>
              <w:ind w:left="180"/>
              <w:spacing w:after="0"/>
              <w:rPr>
                <w:sz w:val="20"/>
                <w:szCs w:val="20"/>
                <w:color w:val="auto"/>
              </w:rPr>
            </w:pPr>
            <w:r>
              <w:rPr>
                <w:rFonts w:ascii="Arial" w:cs="Arial" w:eastAsia="Arial" w:hAnsi="Arial"/>
                <w:sz w:val="17"/>
                <w:szCs w:val="17"/>
                <w:color w:val="auto"/>
              </w:rPr>
              <w:t>Loan-related fees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1,353</w:t>
            </w: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FHLB stock dividends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23"/>
        </w:trPr>
        <w:tc>
          <w:tcPr>
            <w:tcW w:w="5080" w:type="dxa"/>
            <w:vAlign w:val="bottom"/>
          </w:tcPr>
          <w:p>
            <w:pPr>
              <w:ind w:left="180"/>
              <w:spacing w:after="0"/>
              <w:rPr>
                <w:sz w:val="20"/>
                <w:szCs w:val="20"/>
                <w:color w:val="auto"/>
              </w:rPr>
            </w:pPr>
            <w:r>
              <w:rPr>
                <w:rFonts w:ascii="Arial" w:cs="Arial" w:eastAsia="Arial" w:hAnsi="Arial"/>
                <w:sz w:val="17"/>
                <w:szCs w:val="17"/>
                <w:color w:val="auto"/>
              </w:rPr>
              <w:t>Earnings on BOLI</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23"/>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21"/>
        </w:trPr>
        <w:tc>
          <w:tcPr>
            <w:tcW w:w="5080" w:type="dxa"/>
            <w:vAlign w:val="bottom"/>
          </w:tcPr>
          <w:p>
            <w:pPr>
              <w:ind w:left="340"/>
              <w:spacing w:after="0"/>
              <w:rPr>
                <w:sz w:val="20"/>
                <w:szCs w:val="20"/>
                <w:color w:val="auto"/>
              </w:rPr>
            </w:pPr>
            <w:r>
              <w:rPr>
                <w:rFonts w:ascii="Arial" w:cs="Arial" w:eastAsia="Arial" w:hAnsi="Arial"/>
                <w:sz w:val="17"/>
                <w:szCs w:val="17"/>
                <w:color w:val="auto"/>
              </w:rPr>
              <w:t>Total non-interest income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2,820</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4,123</w:t>
            </w:r>
          </w:p>
        </w:tc>
      </w:tr>
      <w:tr>
        <w:trPr>
          <w:trHeight w:val="211"/>
        </w:trPr>
        <w:tc>
          <w:tcPr>
            <w:tcW w:w="5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7"/>
                <w:szCs w:val="17"/>
                <w:b w:val="1"/>
                <w:bCs w:val="1"/>
                <w:color w:val="auto"/>
              </w:rPr>
              <w:t>Non-interest expense:</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Salaries and employee benefits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11,228</w:t>
            </w:r>
          </w:p>
        </w:tc>
      </w:tr>
      <w:tr>
        <w:trPr>
          <w:trHeight w:val="223"/>
        </w:trPr>
        <w:tc>
          <w:tcPr>
            <w:tcW w:w="5080" w:type="dxa"/>
            <w:vAlign w:val="bottom"/>
          </w:tcPr>
          <w:p>
            <w:pPr>
              <w:ind w:left="180"/>
              <w:spacing w:after="0"/>
              <w:rPr>
                <w:sz w:val="20"/>
                <w:szCs w:val="20"/>
                <w:color w:val="auto"/>
              </w:rPr>
            </w:pPr>
            <w:r>
              <w:rPr>
                <w:rFonts w:ascii="Arial" w:cs="Arial" w:eastAsia="Arial" w:hAnsi="Arial"/>
                <w:sz w:val="17"/>
                <w:szCs w:val="17"/>
                <w:color w:val="auto"/>
              </w:rPr>
              <w:t>Occupancy and equipment</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551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1,033</w:t>
            </w:r>
          </w:p>
        </w:tc>
      </w:tr>
      <w:tr>
        <w:trPr>
          <w:trHeight w:val="223"/>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Data processing and software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w:t>
            </w:r>
          </w:p>
        </w:tc>
      </w:tr>
      <w:tr>
        <w:trPr>
          <w:trHeight w:val="223"/>
        </w:trPr>
        <w:tc>
          <w:tcPr>
            <w:tcW w:w="5080" w:type="dxa"/>
            <w:vAlign w:val="bottom"/>
          </w:tcPr>
          <w:p>
            <w:pPr>
              <w:ind w:left="180"/>
              <w:spacing w:after="0"/>
              <w:rPr>
                <w:sz w:val="20"/>
                <w:szCs w:val="20"/>
                <w:color w:val="auto"/>
              </w:rPr>
            </w:pPr>
            <w:r>
              <w:rPr>
                <w:rFonts w:ascii="Arial" w:cs="Arial" w:eastAsia="Arial" w:hAnsi="Arial"/>
                <w:sz w:val="17"/>
                <w:szCs w:val="17"/>
                <w:color w:val="auto"/>
              </w:rPr>
              <w:t>FDIC insurance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410</w:t>
            </w:r>
          </w:p>
        </w:tc>
      </w:tr>
      <w:tr>
        <w:trPr>
          <w:trHeight w:val="236"/>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Professional services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w:t>
            </w:r>
          </w:p>
        </w:tc>
      </w:tr>
      <w:tr>
        <w:trPr>
          <w:trHeight w:val="216"/>
        </w:trPr>
        <w:tc>
          <w:tcPr>
            <w:tcW w:w="5080" w:type="dxa"/>
            <w:vAlign w:val="bottom"/>
          </w:tcPr>
          <w:p>
            <w:pPr>
              <w:ind w:left="180"/>
              <w:spacing w:after="0"/>
              <w:rPr>
                <w:sz w:val="20"/>
                <w:szCs w:val="20"/>
                <w:color w:val="auto"/>
              </w:rPr>
            </w:pPr>
            <w:r>
              <w:rPr>
                <w:rFonts w:ascii="Arial" w:cs="Arial" w:eastAsia="Arial" w:hAnsi="Arial"/>
                <w:sz w:val="17"/>
                <w:szCs w:val="17"/>
                <w:color w:val="auto"/>
              </w:rPr>
              <w:t>Advertising and promotional</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733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828</w:t>
            </w: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Loan-related expenses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w:t>
            </w:r>
          </w:p>
        </w:tc>
      </w:tr>
      <w:tr>
        <w:trPr>
          <w:trHeight w:val="216"/>
        </w:trPr>
        <w:tc>
          <w:tcPr>
            <w:tcW w:w="5080" w:type="dxa"/>
            <w:vAlign w:val="bottom"/>
          </w:tcPr>
          <w:p>
            <w:pPr>
              <w:ind w:left="180"/>
              <w:spacing w:after="0"/>
              <w:rPr>
                <w:sz w:val="20"/>
                <w:szCs w:val="20"/>
                <w:color w:val="auto"/>
              </w:rPr>
            </w:pPr>
            <w:r>
              <w:rPr>
                <w:rFonts w:ascii="Arial" w:cs="Arial" w:eastAsia="Arial" w:hAnsi="Arial"/>
                <w:sz w:val="17"/>
                <w:szCs w:val="17"/>
                <w:color w:val="auto"/>
              </w:rPr>
              <w:t>Other operating expenses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3,037</w:t>
            </w:r>
          </w:p>
        </w:tc>
      </w:tr>
      <w:tr>
        <w:trPr>
          <w:trHeight w:val="221"/>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non-interest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11,979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10,205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23,097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19,780</w:t>
            </w:r>
          </w:p>
        </w:tc>
      </w:tr>
      <w:tr>
        <w:trPr>
          <w:trHeight w:val="211"/>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provision for income taxes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17,169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14,033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27,555</w:t>
            </w:r>
          </w:p>
        </w:tc>
      </w:tr>
      <w:tr>
        <w:trPr>
          <w:trHeight w:val="216"/>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7,740</w:t>
            </w:r>
          </w:p>
        </w:tc>
      </w:tr>
      <w:tr>
        <w:trPr>
          <w:trHeight w:val="203"/>
        </w:trPr>
        <w:tc>
          <w:tcPr>
            <w:tcW w:w="50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7"/>
                <w:szCs w:val="17"/>
                <w:b w:val="1"/>
                <w:bCs w:val="1"/>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12,729</w:t>
            </w:r>
          </w:p>
        </w:tc>
        <w:tc>
          <w:tcPr>
            <w:tcW w:w="980" w:type="dxa"/>
            <w:vAlign w:val="bottom"/>
            <w:gridSpan w:val="2"/>
            <w:shd w:val="clear" w:color="auto" w:fill="CCEEFF"/>
          </w:tcPr>
          <w:p>
            <w:pPr>
              <w:jc w:val="right"/>
              <w:ind w:right="69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9,953</w:t>
            </w:r>
          </w:p>
        </w:tc>
        <w:tc>
          <w:tcPr>
            <w:tcW w:w="42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25,890</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19,815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0"/>
        </w:trPr>
        <w:tc>
          <w:tcPr>
            <w:tcW w:w="5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0"/>
        </w:trPr>
        <w:tc>
          <w:tcPr>
            <w:tcW w:w="5080" w:type="dxa"/>
            <w:vAlign w:val="bottom"/>
          </w:tcPr>
          <w:p>
            <w:pPr>
              <w:ind w:left="20"/>
              <w:spacing w:after="0" w:line="190" w:lineRule="exact"/>
              <w:rPr>
                <w:sz w:val="20"/>
                <w:szCs w:val="20"/>
                <w:color w:val="auto"/>
              </w:rPr>
            </w:pPr>
            <w:r>
              <w:rPr>
                <w:rFonts w:ascii="Arial" w:cs="Arial" w:eastAsia="Arial" w:hAnsi="Arial"/>
                <w:sz w:val="17"/>
                <w:szCs w:val="17"/>
                <w:color w:val="auto"/>
              </w:rPr>
              <w:t>Diluted earnings per common share</w:t>
            </w:r>
          </w:p>
        </w:tc>
        <w:tc>
          <w:tcPr>
            <w:tcW w:w="900" w:type="dxa"/>
            <w:vAlign w:val="bottom"/>
            <w:tcBorders>
              <w:top w:val="single" w:sz="8" w:color="auto"/>
              <w:bottom w:val="single" w:sz="8" w:color="auto"/>
            </w:tcBorders>
          </w:tcPr>
          <w:p>
            <w:pPr>
              <w:jc w:val="right"/>
              <w:ind w:right="715"/>
              <w:spacing w:after="0" w:line="190"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0.74</w:t>
            </w:r>
          </w:p>
        </w:tc>
        <w:tc>
          <w:tcPr>
            <w:tcW w:w="10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695"/>
              <w:spacing w:after="0" w:line="190" w:lineRule="exact"/>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0.58</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5"/>
              <w:spacing w:after="0" w:line="190" w:lineRule="exact"/>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1.51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75"/>
              <w:spacing w:after="0" w:line="190"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1.15</w:t>
            </w: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0960"/>
          </w:cols>
          <w:pgMar w:left="460" w:top="1147" w:right="47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88265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147" w:right="47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securities: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60" w:type="dxa"/>
            <w:vAlign w:val="bottom"/>
          </w:tcPr>
          <w:p>
            <w:pPr>
              <w:ind w:left="360"/>
              <w:spacing w:after="0" w:line="176" w:lineRule="exact"/>
              <w:rPr>
                <w:sz w:val="20"/>
                <w:szCs w:val="20"/>
                <w:color w:val="auto"/>
              </w:rPr>
            </w:pPr>
            <w:r>
              <w:rPr>
                <w:rFonts w:ascii="Arial" w:cs="Arial" w:eastAsia="Arial" w:hAnsi="Arial"/>
                <w:sz w:val="18"/>
                <w:szCs w:val="18"/>
                <w:color w:val="auto"/>
                <w:w w:val="94"/>
              </w:rPr>
              <w:t>Net unrealized holding (loss) gain on securities available-for-sale</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(7,849)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(17,287)</w:t>
            </w:r>
          </w:p>
        </w:tc>
        <w:tc>
          <w:tcPr>
            <w:tcW w:w="0" w:type="dxa"/>
            <w:vAlign w:val="bottom"/>
          </w:tcPr>
          <w:p>
            <w:pPr>
              <w:spacing w:after="0"/>
              <w:rPr>
                <w:sz w:val="1"/>
                <w:szCs w:val="1"/>
                <w:color w:val="auto"/>
              </w:rPr>
            </w:pPr>
          </w:p>
        </w:tc>
      </w:tr>
      <w:tr>
        <w:trPr>
          <w:trHeight w:val="230"/>
        </w:trPr>
        <w:tc>
          <w:tcPr>
            <w:tcW w:w="5260" w:type="dxa"/>
            <w:vAlign w:val="bottom"/>
          </w:tcPr>
          <w:p>
            <w:pPr>
              <w:ind w:left="520"/>
              <w:spacing w:after="0"/>
              <w:rPr>
                <w:sz w:val="20"/>
                <w:szCs w:val="20"/>
                <w:color w:val="auto"/>
              </w:rPr>
            </w:pPr>
            <w:r>
              <w:rPr>
                <w:rFonts w:ascii="Arial" w:cs="Arial" w:eastAsia="Arial" w:hAnsi="Arial"/>
                <w:sz w:val="18"/>
                <w:szCs w:val="18"/>
                <w:color w:val="auto"/>
              </w:rPr>
              <w:t>during the period</w:t>
            </w: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2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95"/>
              </w:rPr>
              <w:t>Reclassification adjustment for net realized gains included in net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5"/>
        </w:trPr>
        <w:tc>
          <w:tcPr>
            <w:tcW w:w="5260" w:type="dxa"/>
            <w:vAlign w:val="bottom"/>
          </w:tcPr>
          <w:p>
            <w:pPr>
              <w:ind w:left="140"/>
              <w:spacing w:after="0" w:line="176" w:lineRule="exact"/>
              <w:rPr>
                <w:sz w:val="20"/>
                <w:szCs w:val="20"/>
                <w:color w:val="auto"/>
              </w:rPr>
            </w:pPr>
            <w:r>
              <w:rPr>
                <w:rFonts w:ascii="Arial" w:cs="Arial" w:eastAsia="Arial" w:hAnsi="Arial"/>
                <w:sz w:val="18"/>
                <w:szCs w:val="18"/>
                <w:color w:val="auto"/>
                <w:w w:val="92"/>
              </w:rPr>
              <w:t>Income tax (benefit) expense related to items of other comprehensive</w:t>
            </w: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30"/>
        </w:trPr>
        <w:tc>
          <w:tcPr>
            <w:tcW w:w="5260" w:type="dxa"/>
            <w:vAlign w:val="bottom"/>
          </w:tcPr>
          <w:p>
            <w:pPr>
              <w:ind w:left="300"/>
              <w:spacing w:after="0"/>
              <w:rPr>
                <w:sz w:val="20"/>
                <w:szCs w:val="20"/>
                <w:color w:val="auto"/>
              </w:rPr>
            </w:pPr>
            <w:r>
              <w:rPr>
                <w:rFonts w:ascii="Arial" w:cs="Arial" w:eastAsia="Arial" w:hAnsi="Arial"/>
                <w:sz w:val="18"/>
                <w:szCs w:val="18"/>
                <w:color w:val="auto"/>
              </w:rPr>
              <w:t>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540" w:type="dxa"/>
            <w:vAlign w:val="bottom"/>
            <w:gridSpan w:val="4"/>
            <w:vMerge w:val="restart"/>
          </w:tcPr>
          <w:p>
            <w:pPr>
              <w:jc w:val="right"/>
              <w:ind w:right="5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Accumulated 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3"/>
                <w:szCs w:val="13"/>
                <w:color w:val="auto"/>
              </w:rPr>
            </w:pPr>
          </w:p>
        </w:tc>
        <w:tc>
          <w:tcPr>
            <w:tcW w:w="254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90"/>
              <w:spacing w:after="0" w:line="160" w:lineRule="exact"/>
              <w:rPr>
                <w:sz w:val="20"/>
                <w:szCs w:val="20"/>
                <w:color w:val="auto"/>
              </w:rPr>
            </w:pPr>
            <w:r>
              <w:rPr>
                <w:rFonts w:ascii="Arial" w:cs="Arial" w:eastAsia="Arial" w:hAnsi="Arial"/>
                <w:sz w:val="18"/>
                <w:szCs w:val="18"/>
                <w:b w:val="1"/>
                <w:bCs w:val="1"/>
                <w:color w:val="auto"/>
                <w:w w:val="97"/>
              </w:rPr>
              <w:t>Retained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50"/>
              <w:spacing w:after="0" w:line="160" w:lineRule="exact"/>
              <w:rPr>
                <w:sz w:val="20"/>
                <w:szCs w:val="20"/>
                <w:color w:val="auto"/>
              </w:rPr>
            </w:pPr>
            <w:r>
              <w:rPr>
                <w:rFonts w:ascii="Arial" w:cs="Arial" w:eastAsia="Arial" w:hAnsi="Arial"/>
                <w:sz w:val="18"/>
                <w:szCs w:val="18"/>
                <w:b w:val="1"/>
                <w:bCs w:val="1"/>
                <w:color w:val="auto"/>
                <w:w w:val="91"/>
              </w:rPr>
              <w:t>Comprehensive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50"/>
              <w:spacing w:after="0" w:line="160"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Earnings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Income (Loss)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17,246,199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231,061</w:t>
            </w: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Stock issued under stock award plans, net</w:t>
            </w:r>
          </w:p>
        </w:tc>
        <w:tc>
          <w:tcPr>
            <w:tcW w:w="12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dividends paid ($0.15 per share)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6"/>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17,245,983</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219,023</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26,924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(12,747)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233,200</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40" w:type="dxa"/>
            <w:vAlign w:val="bottom"/>
          </w:tcPr>
          <w:p>
            <w:pPr>
              <w:jc w:val="right"/>
              <w:spacing w:after="0"/>
              <w:rPr>
                <w:sz w:val="20"/>
                <w:szCs w:val="20"/>
                <w:color w:val="auto"/>
              </w:rPr>
            </w:pPr>
            <w:r>
              <w:rPr>
                <w:rFonts w:ascii="Arial" w:cs="Arial" w:eastAsia="Arial" w:hAnsi="Arial"/>
                <w:sz w:val="18"/>
                <w:szCs w:val="18"/>
                <w:color w:val="auto"/>
              </w:rPr>
              <w:t>17,258,904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219,785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(11,946)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260,656</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paid ($0.20 per share)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17,257,357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62,095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269,140</w:t>
            </w: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7"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Accumulated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65"/>
        </w:trPr>
        <w:tc>
          <w:tcPr>
            <w:tcW w:w="3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70"/>
              <w:spacing w:after="0" w:line="160" w:lineRule="exact"/>
              <w:rPr>
                <w:sz w:val="20"/>
                <w:szCs w:val="20"/>
                <w:color w:val="auto"/>
              </w:rPr>
            </w:pPr>
            <w:r>
              <w:rPr>
                <w:rFonts w:ascii="Arial" w:cs="Arial" w:eastAsia="Arial" w:hAnsi="Arial"/>
                <w:sz w:val="18"/>
                <w:szCs w:val="18"/>
                <w:b w:val="1"/>
                <w:bCs w:val="1"/>
                <w:color w:val="auto"/>
                <w:w w:val="99"/>
              </w:rPr>
              <w:t>Retained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90"/>
              <w:spacing w:after="0" w:line="160"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90"/>
              <w:spacing w:after="0" w:line="160" w:lineRule="exact"/>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(in thousands, except per share amounts)</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Earnings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17,224,848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188"/>
        </w:trPr>
        <w:tc>
          <w:tcPr>
            <w:tcW w:w="40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Cumulative effect of adoption of ASC 842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w:t>
            </w:r>
          </w:p>
        </w:tc>
        <w:tc>
          <w:tcPr>
            <w:tcW w:w="0" w:type="dxa"/>
            <w:vAlign w:val="bottom"/>
          </w:tcPr>
          <w:p>
            <w:pPr>
              <w:spacing w:after="0"/>
              <w:rPr>
                <w:sz w:val="1"/>
                <w:szCs w:val="1"/>
                <w:color w:val="auto"/>
              </w:rPr>
            </w:pPr>
          </w:p>
        </w:tc>
      </w:tr>
      <w:tr>
        <w:trPr>
          <w:trHeight w:val="23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3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Stock compensation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Cash dividends paid ($0.75 per share)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17,245,983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219,023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233,200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17,241,926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252,825</w:t>
            </w:r>
          </w:p>
        </w:tc>
        <w:tc>
          <w:tcPr>
            <w:tcW w:w="0" w:type="dxa"/>
            <w:vAlign w:val="bottom"/>
          </w:tcPr>
          <w:p>
            <w:pPr>
              <w:spacing w:after="0"/>
              <w:rPr>
                <w:sz w:val="1"/>
                <w:szCs w:val="1"/>
                <w:color w:val="auto"/>
              </w:rPr>
            </w:pPr>
          </w:p>
        </w:tc>
      </w:tr>
      <w:tr>
        <w:trPr>
          <w:trHeight w:val="176"/>
        </w:trPr>
        <w:tc>
          <w:tcPr>
            <w:tcW w:w="40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Cumulative effect of adoption of ASC 326 on</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(4,491)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retained earnings</w:t>
            </w: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issued under stock award plans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Stock compensation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3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Cash dividends paid ($0.35 per share)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57"/>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17,257,357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220,021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269,140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FIVE STAR BANCORP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p>
      <w:pPr>
        <w:ind w:left="8640"/>
        <w:spacing w:after="0"/>
        <w:rPr>
          <w:sz w:val="20"/>
          <w:szCs w:val="20"/>
          <w:color w:val="auto"/>
        </w:rPr>
      </w:pPr>
      <w:r>
        <w:rPr>
          <w:rFonts w:ascii="Arial" w:cs="Arial" w:eastAsia="Arial" w:hAnsi="Arial"/>
          <w:sz w:val="17"/>
          <w:szCs w:val="17"/>
          <w:b w:val="1"/>
          <w:bCs w:val="1"/>
          <w:color w:val="auto"/>
        </w:rPr>
        <w:t>Six Months Ended June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804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25,890</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19,815</w:t>
            </w:r>
          </w:p>
        </w:tc>
      </w:tr>
      <w:tr>
        <w:trPr>
          <w:trHeight w:val="236"/>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Provision for credit losses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3,200</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w:t>
            </w:r>
          </w:p>
        </w:tc>
      </w:tr>
      <w:tr>
        <w:trPr>
          <w:trHeight w:val="223"/>
        </w:trPr>
        <w:tc>
          <w:tcPr>
            <w:tcW w:w="8040" w:type="dxa"/>
            <w:vAlign w:val="bottom"/>
          </w:tcPr>
          <w:p>
            <w:pPr>
              <w:ind w:left="360"/>
              <w:spacing w:after="0"/>
              <w:rPr>
                <w:sz w:val="20"/>
                <w:szCs w:val="20"/>
                <w:color w:val="auto"/>
              </w:rPr>
            </w:pPr>
            <w:r>
              <w:rPr>
                <w:rFonts w:ascii="Arial" w:cs="Arial" w:eastAsia="Arial" w:hAnsi="Arial"/>
                <w:sz w:val="17"/>
                <w:szCs w:val="17"/>
                <w:color w:val="auto"/>
              </w:rPr>
              <w:t>Amortization of deferred loan fees and costs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Amortization of premiums and discounts on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r>
      <w:tr>
        <w:trPr>
          <w:trHeight w:val="223"/>
        </w:trPr>
        <w:tc>
          <w:tcPr>
            <w:tcW w:w="8040" w:type="dxa"/>
            <w:vAlign w:val="bottom"/>
          </w:tcPr>
          <w:p>
            <w:pPr>
              <w:ind w:left="360"/>
              <w:spacing w:after="0"/>
              <w:rPr>
                <w:sz w:val="20"/>
                <w:szCs w:val="20"/>
                <w:color w:val="auto"/>
              </w:rPr>
            </w:pPr>
            <w:r>
              <w:rPr>
                <w:rFonts w:ascii="Arial" w:cs="Arial" w:eastAsia="Arial" w:hAnsi="Arial"/>
                <w:sz w:val="17"/>
                <w:szCs w:val="17"/>
                <w:color w:val="auto"/>
              </w:rPr>
              <w:t>Amortization of subordinated debt issuance costs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 compensation expense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Earnings on BOLI</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tax provision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Loans originated for sale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(32,126)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(36,964)</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Gain on sale of loans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r>
      <w:tr>
        <w:trPr>
          <w:trHeight w:val="223"/>
        </w:trPr>
        <w:tc>
          <w:tcPr>
            <w:tcW w:w="8040" w:type="dxa"/>
            <w:vAlign w:val="bottom"/>
          </w:tcPr>
          <w:p>
            <w:pPr>
              <w:ind w:left="360"/>
              <w:spacing w:after="0"/>
              <w:rPr>
                <w:sz w:val="20"/>
                <w:szCs w:val="20"/>
                <w:color w:val="auto"/>
              </w:rPr>
            </w:pPr>
            <w:r>
              <w:rPr>
                <w:rFonts w:ascii="Arial" w:cs="Arial" w:eastAsia="Arial" w:hAnsi="Arial"/>
                <w:sz w:val="17"/>
                <w:szCs w:val="17"/>
                <w:color w:val="auto"/>
              </w:rPr>
              <w:t>Proceeds from sale of loans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24,806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25,728</w:t>
            </w: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gain on sale of securities available-for-sale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8040" w:type="dxa"/>
            <w:vAlign w:val="bottom"/>
          </w:tcPr>
          <w:p>
            <w:pPr>
              <w:ind w:left="360"/>
              <w:spacing w:after="0"/>
              <w:rPr>
                <w:sz w:val="20"/>
                <w:szCs w:val="20"/>
                <w:color w:val="auto"/>
              </w:rPr>
            </w:pPr>
            <w:r>
              <w:rPr>
                <w:rFonts w:ascii="Arial" w:cs="Arial" w:eastAsia="Arial" w:hAnsi="Arial"/>
                <w:sz w:val="17"/>
                <w:szCs w:val="17"/>
                <w:color w:val="auto"/>
              </w:rPr>
              <w:t>Decrease in operating 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(482)</w:t>
            </w:r>
          </w:p>
        </w:tc>
      </w:tr>
      <w:tr>
        <w:trPr>
          <w:trHeight w:val="236"/>
        </w:trPr>
        <w:tc>
          <w:tcPr>
            <w:tcW w:w="80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method of investment-related gain</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tcPr>
          <w:p>
            <w:pPr>
              <w:ind w:left="360"/>
              <w:spacing w:after="0"/>
              <w:rPr>
                <w:sz w:val="20"/>
                <w:szCs w:val="20"/>
                <w:color w:val="auto"/>
              </w:rPr>
            </w:pPr>
            <w:r>
              <w:rPr>
                <w:rFonts w:ascii="Arial" w:cs="Arial" w:eastAsia="Arial" w:hAnsi="Arial"/>
                <w:sz w:val="17"/>
                <w:szCs w:val="17"/>
                <w:color w:val="auto"/>
              </w:rPr>
              <w:t>Net changes in: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0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receivable and other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w:t>
            </w:r>
          </w:p>
        </w:tc>
      </w:tr>
      <w:tr>
        <w:trPr>
          <w:trHeight w:val="228"/>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Interest payable and other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w:t>
            </w:r>
          </w:p>
        </w:tc>
      </w:tr>
      <w:tr>
        <w:trPr>
          <w:trHeight w:val="211"/>
        </w:trPr>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25,621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11,332</w:t>
            </w:r>
          </w:p>
        </w:tc>
      </w:tr>
      <w:tr>
        <w:trPr>
          <w:trHeight w:val="216"/>
        </w:trPr>
        <w:tc>
          <w:tcPr>
            <w:tcW w:w="804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sale of securities available-for-sale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w:t>
            </w:r>
          </w:p>
        </w:tc>
      </w:tr>
      <w:tr>
        <w:trPr>
          <w:trHeight w:val="223"/>
        </w:trPr>
        <w:tc>
          <w:tcPr>
            <w:tcW w:w="8040" w:type="dxa"/>
            <w:vAlign w:val="bottom"/>
          </w:tcPr>
          <w:p>
            <w:pPr>
              <w:ind w:left="180"/>
              <w:spacing w:after="0"/>
              <w:rPr>
                <w:sz w:val="20"/>
                <w:szCs w:val="20"/>
                <w:color w:val="auto"/>
              </w:rPr>
            </w:pPr>
            <w:r>
              <w:rPr>
                <w:rFonts w:ascii="Arial" w:cs="Arial" w:eastAsia="Arial" w:hAnsi="Arial"/>
                <w:sz w:val="17"/>
                <w:szCs w:val="17"/>
                <w:color w:val="auto"/>
              </w:rPr>
              <w:t>Maturities, prepayments, and calls of securities available-for-sale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8,977</w:t>
            </w:r>
          </w:p>
        </w:tc>
      </w:tr>
      <w:tr>
        <w:trPr>
          <w:trHeight w:val="236"/>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securities available-for-sale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w:t>
            </w:r>
          </w:p>
        </w:tc>
      </w:tr>
      <w:tr>
        <w:trPr>
          <w:trHeight w:val="216"/>
        </w:trPr>
        <w:tc>
          <w:tcPr>
            <w:tcW w:w="8040" w:type="dxa"/>
            <w:vAlign w:val="bottom"/>
          </w:tcPr>
          <w:p>
            <w:pPr>
              <w:ind w:left="180"/>
              <w:spacing w:after="0"/>
              <w:rPr>
                <w:sz w:val="20"/>
                <w:szCs w:val="20"/>
                <w:color w:val="auto"/>
              </w:rPr>
            </w:pPr>
            <w:r>
              <w:rPr>
                <w:rFonts w:ascii="Arial" w:cs="Arial" w:eastAsia="Arial" w:hAnsi="Arial"/>
                <w:sz w:val="17"/>
                <w:szCs w:val="17"/>
                <w:color w:val="auto"/>
              </w:rPr>
              <w:t>Net change in time deposits in banks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3,623</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 originations, net of repayments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(436,195)</w:t>
            </w:r>
          </w:p>
        </w:tc>
      </w:tr>
      <w:tr>
        <w:trPr>
          <w:trHeight w:val="216"/>
        </w:trPr>
        <w:tc>
          <w:tcPr>
            <w:tcW w:w="8040" w:type="dxa"/>
            <w:vAlign w:val="bottom"/>
          </w:tcPr>
          <w:p>
            <w:pPr>
              <w:ind w:left="180"/>
              <w:spacing w:after="0"/>
              <w:rPr>
                <w:sz w:val="20"/>
                <w:szCs w:val="20"/>
                <w:color w:val="auto"/>
              </w:rPr>
            </w:pPr>
            <w:r>
              <w:rPr>
                <w:rFonts w:ascii="Arial" w:cs="Arial" w:eastAsia="Arial" w:hAnsi="Arial"/>
                <w:sz w:val="17"/>
                <w:szCs w:val="17"/>
                <w:color w:val="auto"/>
              </w:rPr>
              <w:t>Purchase of premises and equipment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(311)</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of FHLB stock</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(4,223)</w:t>
            </w:r>
          </w:p>
        </w:tc>
      </w:tr>
      <w:tr>
        <w:trPr>
          <w:trHeight w:val="228"/>
        </w:trPr>
        <w:tc>
          <w:tcPr>
            <w:tcW w:w="80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Purchase of BOLI</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(3,050)</w:t>
            </w:r>
          </w:p>
        </w:tc>
      </w:tr>
      <w:tr>
        <w:trPr>
          <w:trHeight w:val="211"/>
        </w:trPr>
        <w:tc>
          <w:tcPr>
            <w:tcW w:w="8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(127,184)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(431,197)</w:t>
            </w:r>
          </w:p>
        </w:tc>
      </w:tr>
      <w:tr>
        <w:trPr>
          <w:trHeight w:val="216"/>
        </w:trPr>
        <w:tc>
          <w:tcPr>
            <w:tcW w:w="804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3"/>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change in deposits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215,421</w:t>
            </w:r>
          </w:p>
        </w:tc>
      </w:tr>
      <w:tr>
        <w:trPr>
          <w:trHeight w:val="223"/>
        </w:trPr>
        <w:tc>
          <w:tcPr>
            <w:tcW w:w="8040" w:type="dxa"/>
            <w:vAlign w:val="bottom"/>
          </w:tcPr>
          <w:p>
            <w:pPr>
              <w:ind w:left="180"/>
              <w:spacing w:after="0"/>
              <w:rPr>
                <w:sz w:val="20"/>
                <w:szCs w:val="20"/>
                <w:color w:val="auto"/>
              </w:rPr>
            </w:pPr>
            <w:r>
              <w:rPr>
                <w:rFonts w:ascii="Arial" w:cs="Arial" w:eastAsia="Arial" w:hAnsi="Arial"/>
                <w:sz w:val="17"/>
                <w:szCs w:val="17"/>
                <w:color w:val="auto"/>
              </w:rPr>
              <w:t>FHLB advances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60,000</w:t>
            </w:r>
          </w:p>
        </w:tc>
      </w:tr>
      <w:tr>
        <w:trPr>
          <w:trHeight w:val="22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dividends paid</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(10,127)</w:t>
            </w:r>
          </w:p>
        </w:tc>
      </w:tr>
      <w:tr>
        <w:trPr>
          <w:trHeight w:val="221"/>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7"/>
                <w:szCs w:val="17"/>
                <w:b w:val="1"/>
                <w:bCs w:val="1"/>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141,695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265,294</w:t>
            </w:r>
          </w:p>
        </w:tc>
      </w:tr>
      <w:tr>
        <w:trPr>
          <w:trHeight w:val="212"/>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(154,571)</w:t>
            </w:r>
          </w:p>
        </w:tc>
      </w:tr>
      <w:tr>
        <w:trPr>
          <w:trHeight w:val="228"/>
        </w:trPr>
        <w:tc>
          <w:tcPr>
            <w:tcW w:w="8040" w:type="dxa"/>
            <w:vAlign w:val="bottom"/>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259,991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425,329</w:t>
            </w:r>
          </w:p>
        </w:tc>
      </w:tr>
      <w:tr>
        <w:trPr>
          <w:trHeight w:val="245"/>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300,123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270,758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3"/>
        </w:trPr>
        <w:tc>
          <w:tcPr>
            <w:tcW w:w="8040" w:type="dxa"/>
            <w:vAlign w:val="bottom"/>
          </w:tcPr>
          <w:p>
            <w:pPr>
              <w:ind w:left="180"/>
              <w:spacing w:after="0"/>
              <w:rPr>
                <w:sz w:val="20"/>
                <w:szCs w:val="20"/>
                <w:color w:val="auto"/>
              </w:rPr>
            </w:pPr>
            <w:r>
              <w:rPr>
                <w:rFonts w:ascii="Arial" w:cs="Arial" w:eastAsia="Arial" w:hAnsi="Arial"/>
                <w:sz w:val="17"/>
                <w:szCs w:val="17"/>
                <w:color w:val="auto"/>
              </w:rPr>
              <w:t>Interest paid</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15"/>
              <w:spacing w:after="0"/>
              <w:rPr>
                <w:sz w:val="20"/>
                <w:szCs w:val="20"/>
                <w:color w:val="auto"/>
              </w:rPr>
            </w:pPr>
            <w:r>
              <w:rPr>
                <w:rFonts w:ascii="Arial" w:cs="Arial" w:eastAsia="Arial" w:hAnsi="Arial"/>
                <w:sz w:val="17"/>
                <w:szCs w:val="17"/>
                <w:color w:val="auto"/>
              </w:rPr>
              <w:t>2,716</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1,345</w:t>
            </w:r>
          </w:p>
        </w:tc>
      </w:tr>
      <w:tr>
        <w:trPr>
          <w:trHeight w:val="236"/>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 paid</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686</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5,200</w:t>
            </w:r>
          </w:p>
        </w:tc>
      </w:tr>
      <w:tr>
        <w:trPr>
          <w:trHeight w:val="216"/>
        </w:trPr>
        <w:tc>
          <w:tcPr>
            <w:tcW w:w="80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 of noncash items: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Transfer from loans held for sale to loans held for investment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10,671</w:t>
            </w:r>
          </w:p>
        </w:tc>
      </w:tr>
      <w:tr>
        <w:trPr>
          <w:trHeight w:val="223"/>
        </w:trPr>
        <w:tc>
          <w:tcPr>
            <w:tcW w:w="8040" w:type="dxa"/>
            <w:vAlign w:val="bottom"/>
          </w:tcPr>
          <w:p>
            <w:pPr>
              <w:ind w:left="180"/>
              <w:spacing w:after="0"/>
              <w:rPr>
                <w:sz w:val="20"/>
                <w:szCs w:val="20"/>
                <w:color w:val="auto"/>
              </w:rPr>
            </w:pPr>
            <w:r>
              <w:rPr>
                <w:rFonts w:ascii="Arial" w:cs="Arial" w:eastAsia="Arial" w:hAnsi="Arial"/>
                <w:sz w:val="17"/>
                <w:szCs w:val="17"/>
                <w:color w:val="auto"/>
              </w:rPr>
              <w:t>Unrealized gain (loss) on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(17,287)</w:t>
            </w:r>
          </w:p>
        </w:tc>
      </w:tr>
      <w:tr>
        <w:trPr>
          <w:trHeight w:val="223"/>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liabilities recorded in conjunction with adoption of ASC 842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5,221</w:t>
            </w:r>
          </w:p>
        </w:tc>
      </w:tr>
      <w:tr>
        <w:trPr>
          <w:trHeight w:val="223"/>
        </w:trPr>
        <w:tc>
          <w:tcPr>
            <w:tcW w:w="8040" w:type="dxa"/>
            <w:vAlign w:val="bottom"/>
          </w:tcPr>
          <w:p>
            <w:pPr>
              <w:ind w:left="180"/>
              <w:spacing w:after="0"/>
              <w:rPr>
                <w:sz w:val="20"/>
                <w:szCs w:val="20"/>
                <w:color w:val="auto"/>
              </w:rPr>
            </w:pPr>
            <w:r>
              <w:rPr>
                <w:rFonts w:ascii="Arial" w:cs="Arial" w:eastAsia="Arial" w:hAnsi="Arial"/>
                <w:sz w:val="17"/>
                <w:szCs w:val="17"/>
                <w:color w:val="auto"/>
              </w:rPr>
              <w:t>ROUA recorded in conjunction with adoption of ASC 842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4,974</w:t>
            </w:r>
          </w:p>
        </w:tc>
      </w:tr>
      <w:tr>
        <w:trPr>
          <w:trHeight w:val="236"/>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lease liabilities exchanged for ROUA</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040" w:type="dxa"/>
            <w:vAlign w:val="bottom"/>
          </w:tcPr>
          <w:p>
            <w:pPr>
              <w:ind w:left="180"/>
              <w:spacing w:after="0"/>
              <w:rPr>
                <w:sz w:val="20"/>
                <w:szCs w:val="20"/>
                <w:color w:val="auto"/>
              </w:rPr>
            </w:pPr>
            <w:r>
              <w:rPr>
                <w:rFonts w:ascii="Arial" w:cs="Arial" w:eastAsia="Arial" w:hAnsi="Arial"/>
                <w:sz w:val="17"/>
                <w:szCs w:val="17"/>
                <w:color w:val="auto"/>
              </w:rPr>
              <w:t>ROUA acquired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8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Cumulative effect of adoption of ASC 842 on retained earnings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8040" w:type="dxa"/>
            <w:vAlign w:val="bottom"/>
          </w:tcPr>
          <w:p>
            <w:pPr>
              <w:ind w:left="180"/>
              <w:spacing w:after="0"/>
              <w:rPr>
                <w:sz w:val="20"/>
                <w:szCs w:val="20"/>
                <w:color w:val="auto"/>
              </w:rPr>
            </w:pPr>
            <w:r>
              <w:rPr>
                <w:rFonts w:ascii="Arial" w:cs="Arial" w:eastAsia="Arial" w:hAnsi="Arial"/>
                <w:sz w:val="17"/>
                <w:szCs w:val="17"/>
                <w:color w:val="auto"/>
              </w:rPr>
              <w:t>Cumulative effect of adoption of ASC 326 on retained earnings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(4,491)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240"/>
          </w:cols>
          <w:pgMar w:left="320" w:top="729" w:right="3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Organization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one loan production office in Sacramento.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Financial Statement Presentation and Consolidation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2022, and the notes thereto, included in the Company’s Annual Report on Form 10-K for the year ended December 31, 2022 (the “2022 Annual Report on Form 10-K”), which was filed with the SEC on February 24, 2023.</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consolidated financial statements include Five Star Bancorp and its wholly owned subsidiary, Five Star Bank. All significant intercompany transactions and balances are eliminated in consolidation.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and six months ended June 30, 2023 are not necessarily indicative of the results of operations that may be expected for any other interim period or for the year ending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Segments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Emerging Growth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 The Company will remain an Emerging Growth Company for five years after its IPO date, unless one of the following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occurs: (i) total annual gross revenues are $1.235 billion or more; (ii) the Company issues more than $1 billion in non-convertible debt; or (iii) the Company becomes a large accelerated filer with a public float of more than $0.7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Significant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significant accounting policies are included in Note 1, Basis of Presentation on the 2022 Annual Report on Form 10-K. There have been no changes to these significant accounting policies during the first six months of 2023 other than adoption of ASU No.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(Topic 326): Measurement of Credit Losses on Financial Instruments </w:t>
      </w:r>
      <w:r>
        <w:rPr>
          <w:rFonts w:ascii="Arial" w:cs="Arial" w:eastAsia="Arial" w:hAnsi="Arial"/>
          <w:sz w:val="18"/>
          <w:szCs w:val="18"/>
          <w:color w:val="auto"/>
        </w:rPr>
        <w:t>and all subsequent amendments that modified ASU 2016-13</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“ASC 326”) as discussed below in this Note, which impacted the following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(“ACL”)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ACL is a valuation account that offsets the amortized cost basis of loans receivable and certain other financial assets, including unfunded loan commitments and held-to-maturity debt securities. Under ASC 326, amortized cost basis is the basis on which the ACL is determined. Amortized cost basis on loans receivable is principal outstanding, net of any purchase premiums and discounts, and net of any deferred loan fees and costs.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determined pools based primarily on regulatory reporting codes as the loans within each pool share similar risk characteristics and there is sufficient historical peer loss data from the Federal Financial Institutions Examination Council to provide statistically meaningful support in the models developed. The Company further stratified the C&amp;I portfolio into traditional C&amp;I loans and SBA loans, as the loans in these pools have different repayment structures and credit risk characteristics. The Company also stratified C&amp;I loans and consumer loans that do not require reserves, as the Company has third party agreements in place to cover loan losses. The Company has identified the following pools subject to an estimate of credit loss: (1) 1-4 Family Construction; (2) Other Construction; (3) Farmland; (4) Revolving Secured by 1-4 Family; (5) Residential Secured by First Liens; (6) Residential Secured by Junior Liens; (7) Multifamily; (8) CRE Owner Occupied; (9) CRE Non-Owner Occupied; (10) Agriculture; (11) C&amp;I; (12) C&amp;I SBA; (13) Consumer; and (14) Municipal.</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determined, given its limited loss experience, that peer data and other external data to support loss history provides the best basis for its assessment of expected credit losses. The Company believes that the use of peer loss data from 2008 to 2019 presents loss histories that appropriately reflect a full economic cycle, reflects asset-specific risk characteristics at each pool level identified, and includes a historical look-back period that is objective and reflective of future expected credit losses. Loss data from 2020 to 2021 was excluded from the data set to exclude pandemic-related data in the models.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method for determining the estimate of lifetime credit losses includes, among other things, the following main components: (i) the use of Probability of Default (“PD”) and Loss Given Default (“LGD”) assumptions under a Discounted Cash Flow model; (ii) a multi-scenario macroeconomic forecast; (iii) an initial and reasonable and supportable forecast period of one year for all loan segments; and (iv) a reversion period of one year using a linear transition method to historical loss rates.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Given the inherent limitations of a quantitative-only model, qualitative adjustments are included to factor in data points not captured from a quantitative analysis alone.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Qualitative criteria that can be considered includes, among other things, the following:</w:t>
      </w:r>
    </w:p>
    <w:p>
      <w:pPr>
        <w:spacing w:after="0" w:line="7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Concentrations – the existence and effect of any concentrations of credit, and changes in the level of such concentrations;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Volume – changes in the nature and volume of the portfolio and in the terms of the loans;</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 changes in international, national, regional, and local economic and business conditions and developments that affect the collectibility of the portfolio, including the condition of various market segments;</w:t>
      </w:r>
    </w:p>
    <w:p>
      <w:pPr>
        <w:spacing w:after="0" w:line="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Policy – changes in lending policies and procedures, including changes in underwriting standards and collection, charge-off, and recovery practices not considered elsewhere in estimating credit losses;</w:t>
      </w:r>
    </w:p>
    <w:p>
      <w:pPr>
        <w:spacing w:after="0" w:line="35"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Quality – changes in the volume and severity of past due loans, the volume of non-accrual loans, and the volume and severity of adversely classified or graded loans; and</w:t>
      </w:r>
    </w:p>
    <w:p>
      <w:pPr>
        <w:spacing w:after="0" w:line="2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External – the effect of other external factors, such as competition and legal and regulatory requirements on the level of estimated credit losses in the Company’s loan portfolio.</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Accrued interest receivable is excluded from amortized cost of all financial instrument types and included in “Interest receivable and other assets” in the unaudited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Individually Assessed Loans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 individual loan’s characteristics have deteriorated to below a range of the overall pool, the loan would be individually assessed. Individually assessed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(“AFS”</w:t>
      </w:r>
      <w:r>
        <w:rPr>
          <w:rFonts w:ascii="Arial" w:cs="Arial" w:eastAsia="Arial" w:hAnsi="Arial"/>
          <w:sz w:val="18"/>
          <w:szCs w:val="18"/>
          <w:color w:val="auto"/>
        </w:rPr>
        <w:t>)</w:t>
      </w:r>
      <w:r>
        <w:rPr>
          <w:rFonts w:ascii="Arial" w:cs="Arial" w:eastAsia="Arial" w:hAnsi="Arial"/>
          <w:sz w:val="18"/>
          <w:szCs w:val="18"/>
          <w:i w:val="1"/>
          <w:iCs w:val="1"/>
          <w:color w:val="auto"/>
        </w:rPr>
        <w:t xml:space="preserve"> Debt Securities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Unrealized credit losses are recognized through an allowance for credit losses instead of an adjustment to amortized cost basis, eliminating the other-than-temporary impairment concept. For AFS debt securities in an unrealized loss position, the Company first assesses whether it intends to sell, or it is more likely than not that it will be required to sell, the security before recovery of amortized cost basis. If either criteria regarding intent or requirement to sell is met, the security’s amortized cost basis is written down to fair value through earnings. For AFS debt securities that do not meet the above conditions, the Company evaluates at the individual security level whether the decrease in fair value has resulted from credit factors or non-credit factors. If assessment determines that a credit loss exists, the present value of cash flows expected to be collected from the security is compared to the amortized cost basis of the security. If the present value of cash flows expected to be collected is less than the amortized cost basis of the security, then a credit loss would be recognized, limited to the amount by which the fair value is less than the amortized cost basis. All other changes in fair value of an AFS debt security are recognized in other comprehensive income, net of applicable taxes. Changes in the allowance for credit losses, if any, are recognized as a provision for (or reversal of) credit losses. As of June 30, 2023, the Company’s portfolio of AFS debt securities is comprised primarily of debt, mortgage-backed securities, and collateralized mortgage obligations issued by the U.S. government, its agencies, or government-sponsored enterprises, which are either explicitly or implicitly guaranteed by the U.S. government. The remainder of the portfolio is primarily comprised 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1" w:name="page12"/>
    <w:bookmarkEnd w:id="11"/>
    <w:p>
      <w:pPr>
        <w:jc w:val="both"/>
        <w:spacing w:after="0" w:line="311" w:lineRule="auto"/>
        <w:rPr>
          <w:sz w:val="20"/>
          <w:szCs w:val="20"/>
          <w:color w:val="auto"/>
        </w:rPr>
      </w:pPr>
      <w:r>
        <w:rPr>
          <w:rFonts w:ascii="Arial" w:cs="Arial" w:eastAsia="Arial" w:hAnsi="Arial"/>
          <w:sz w:val="16"/>
          <w:szCs w:val="16"/>
          <w:color w:val="auto"/>
        </w:rPr>
        <w:t>obligations of state and political subdivisions, which are generally rated as high grade. The history of minimal credit losses from these issuers indicates that expectation of non-payment of the amortized cost basis is zero. As such, the Company determined that the unrealized loss positions in AFS securities were not due to credit losses, but instead related to changes in interest rates and general market conditions and therefore, no credit loss expense was recognized.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commitments not unconditionally cancellable are subject to an estimate of credit loss under the CECL model. The Company’s process for determining the estimate of credit loss on loan commitments is the same as it is on loans. Unfunded loan commitment reserves are included in “Interest payable and other liabilities” in the unaudited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 Debt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process for determining the estimate of credit loss on held-to-maturity debt securities is substantially similar to what it is on loans, with segmenting not being applicable. As the amount of held-to-maturity debt securities that the Company carries is limited and given the determination that expected credit loss was immaterial, an immaterial amount was recognized in allowance for credit loss upon adoption and no credit loss expense was recorded for the three and six months ended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TDRs and Other Loan Modifications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the adoption of ASC 326, which includes ASU No. 2022-02, </w:t>
      </w:r>
      <w:r>
        <w:rPr>
          <w:rFonts w:ascii="Arial" w:cs="Arial" w:eastAsia="Arial" w:hAnsi="Arial"/>
          <w:sz w:val="18"/>
          <w:szCs w:val="18"/>
          <w:i w:val="1"/>
          <w:iCs w:val="1"/>
          <w:color w:val="auto"/>
        </w:rPr>
        <w:t>Financial Instruments-Credit Losses (Topic 326): Troubled Debt</w:t>
      </w:r>
      <w:r>
        <w:rPr>
          <w:rFonts w:ascii="Arial" w:cs="Arial" w:eastAsia="Arial" w:hAnsi="Arial"/>
          <w:sz w:val="18"/>
          <w:szCs w:val="18"/>
          <w:color w:val="auto"/>
        </w:rPr>
        <w:t xml:space="preserve"> </w:t>
      </w:r>
      <w:r>
        <w:rPr>
          <w:rFonts w:ascii="Arial" w:cs="Arial" w:eastAsia="Arial" w:hAnsi="Arial"/>
          <w:sz w:val="18"/>
          <w:szCs w:val="18"/>
          <w:i w:val="1"/>
          <w:iCs w:val="1"/>
          <w:color w:val="auto"/>
        </w:rPr>
        <w:t>Restructurings and Vintage Disclosures</w:t>
      </w:r>
      <w:r>
        <w:rPr>
          <w:rFonts w:ascii="Arial" w:cs="Arial" w:eastAsia="Arial" w:hAnsi="Arial"/>
          <w:sz w:val="18"/>
          <w:szCs w:val="18"/>
          <w:color w:val="auto"/>
        </w:rPr>
        <w:t>, accounting guidance for TDRs for creditors has been eliminated. New guidance with respect to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and disclosures of loans for borrowers experiencing financial difficulties supersedes guidance on TDRs. As of June 30, 2023, the amount of loans modified for borrowers due to experiencing financial difficulties under criteria of principal forgiveness, interest rate reduction, other-than-insignificant payment delay, or term extension was immaterial.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Recently Issued Accounting Standards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information reflects recent accounting standards that have been adopted or are pending adoption by the Company.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January 1, 2023, the Company adopted ASC 326, which replaces the current “incurred loss” model for recognizing credit losses with an “expected loss” model referred to as the Current Expected Credit Loss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adopted this standard using a modified retrospective approach through a cumulative-effect adjustment to retained earnings as of the beginning of the first reporting period in which the guidance was effective for financial assets measured at amortized cost. For certain new disclosures required under ASC 326, such as credit quality indicators by year of origination, we have not restated comparative financial information before January 1, 2023 to conform under ASC 326. This adoption method is considered a change in accounting principle requiring additional disclosure of the nature and reason for the change, which is solely due to adoption of ASC 326. On January 1, 2023, the Company also adopted ASU No. 2022-02, </w:t>
      </w:r>
      <w:r>
        <w:rPr>
          <w:rFonts w:ascii="Arial" w:cs="Arial" w:eastAsia="Arial" w:hAnsi="Arial"/>
          <w:sz w:val="16"/>
          <w:szCs w:val="16"/>
          <w:i w:val="1"/>
          <w:iCs w:val="1"/>
          <w:color w:val="auto"/>
        </w:rPr>
        <w:t xml:space="preserve">Financial Instruments-Credit Losses (Topic 326): Troubled Debt Restructurings and Vintage Disclosures, </w:t>
      </w:r>
      <w:r>
        <w:rPr>
          <w:rFonts w:ascii="Arial" w:cs="Arial" w:eastAsia="Arial" w:hAnsi="Arial"/>
          <w:sz w:val="16"/>
          <w:szCs w:val="16"/>
          <w:color w:val="auto"/>
        </w:rPr>
        <w:t>which had no material impact.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reflects the cumulative-effect adjustments the Company recorded on January 1, 2023 for the adoption of ASC 326.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8"/>
              </w:rPr>
              <w:t>January 1, 2023</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color w:val="auto"/>
                <w:w w:val="95"/>
              </w:rPr>
              <w:t>Pre-ASC 326 Adoption</w:t>
            </w:r>
          </w:p>
        </w:tc>
        <w:tc>
          <w:tcPr>
            <w:tcW w:w="100" w:type="dxa"/>
            <w:vAlign w:val="bottom"/>
          </w:tcPr>
          <w:p>
            <w:pPr>
              <w:spacing w:after="0"/>
              <w:rPr>
                <w:sz w:val="20"/>
                <w:szCs w:val="20"/>
                <w:color w:val="auto"/>
              </w:rPr>
            </w:pPr>
          </w:p>
        </w:tc>
        <w:tc>
          <w:tcPr>
            <w:tcW w:w="2220" w:type="dxa"/>
            <w:vAlign w:val="bottom"/>
            <w:gridSpan w:val="2"/>
          </w:tcPr>
          <w:p>
            <w:pPr>
              <w:jc w:val="center"/>
              <w:spacing w:after="0"/>
              <w:rPr>
                <w:sz w:val="20"/>
                <w:szCs w:val="20"/>
                <w:color w:val="auto"/>
              </w:rPr>
            </w:pPr>
            <w:r>
              <w:rPr>
                <w:rFonts w:ascii="Arial" w:cs="Arial" w:eastAsia="Arial" w:hAnsi="Arial"/>
                <w:sz w:val="18"/>
                <w:szCs w:val="18"/>
                <w:color w:val="auto"/>
                <w:w w:val="92"/>
              </w:rPr>
              <w:t>Impact of ASC 326 Adoption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jc w:val="right"/>
              <w:ind w:right="150"/>
              <w:spacing w:after="0"/>
              <w:rPr>
                <w:sz w:val="20"/>
                <w:szCs w:val="20"/>
                <w:color w:val="auto"/>
              </w:rPr>
            </w:pPr>
            <w:r>
              <w:rPr>
                <w:rFonts w:ascii="Arial" w:cs="Arial" w:eastAsia="Arial" w:hAnsi="Arial"/>
                <w:sz w:val="18"/>
                <w:szCs w:val="18"/>
                <w:color w:val="auto"/>
                <w:w w:val="94"/>
              </w:rPr>
              <w:t>Post-ASC 326 Adoption</w:t>
            </w:r>
          </w:p>
        </w:tc>
        <w:tc>
          <w:tcPr>
            <w:tcW w:w="0" w:type="dxa"/>
            <w:vAlign w:val="bottom"/>
          </w:tcPr>
          <w:p>
            <w:pPr>
              <w:spacing w:after="0"/>
              <w:rPr>
                <w:sz w:val="1"/>
                <w:szCs w:val="1"/>
                <w:color w:val="auto"/>
              </w:rPr>
            </w:pPr>
          </w:p>
        </w:tc>
      </w:tr>
      <w:tr>
        <w:trPr>
          <w:trHeight w:val="229"/>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(28,389)</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tcPr>
          <w:p>
            <w:pPr>
              <w:jc w:val="center"/>
              <w:ind w:left="1250"/>
              <w:spacing w:after="0"/>
              <w:rPr>
                <w:sz w:val="20"/>
                <w:szCs w:val="20"/>
                <w:color w:val="auto"/>
              </w:rPr>
            </w:pPr>
            <w:r>
              <w:rPr>
                <w:rFonts w:ascii="Arial" w:cs="Arial" w:eastAsia="Arial" w:hAnsi="Arial"/>
                <w:sz w:val="18"/>
                <w:szCs w:val="18"/>
                <w:color w:val="auto"/>
                <w:w w:val="91"/>
              </w:rPr>
              <w:t>(5,282)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(33,671)</w:t>
            </w:r>
          </w:p>
        </w:tc>
        <w:tc>
          <w:tcPr>
            <w:tcW w:w="0" w:type="dxa"/>
            <w:vAlign w:val="bottom"/>
          </w:tcPr>
          <w:p>
            <w:pPr>
              <w:spacing w:after="0"/>
              <w:rPr>
                <w:sz w:val="1"/>
                <w:szCs w:val="1"/>
                <w:color w:val="auto"/>
              </w:rPr>
            </w:pPr>
          </w:p>
        </w:tc>
      </w:tr>
      <w:tr>
        <w:trPr>
          <w:trHeight w:val="243"/>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Deferred Tax Asset (Interest receivable and other assets)</w:t>
            </w:r>
          </w:p>
        </w:tc>
        <w:tc>
          <w:tcPr>
            <w:tcW w:w="2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8"/>
              </w:rPr>
              <w:t>1,883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Reserve for Unfunded Commitments (Interest payable</w:t>
            </w:r>
          </w:p>
        </w:tc>
        <w:tc>
          <w:tcPr>
            <w:tcW w:w="20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vMerge w:val="restart"/>
          </w:tcPr>
          <w:p>
            <w:pPr>
              <w:jc w:val="center"/>
              <w:ind w:left="1250"/>
              <w:spacing w:after="0"/>
              <w:rPr>
                <w:sz w:val="20"/>
                <w:szCs w:val="20"/>
                <w:color w:val="auto"/>
              </w:rPr>
            </w:pPr>
            <w:r>
              <w:rPr>
                <w:rFonts w:ascii="Arial" w:cs="Arial" w:eastAsia="Arial" w:hAnsi="Arial"/>
                <w:sz w:val="18"/>
                <w:szCs w:val="18"/>
                <w:color w:val="auto"/>
                <w:w w:val="91"/>
              </w:rPr>
              <w:t>(1,092)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37"/>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and other liabilities)</w:t>
            </w:r>
          </w:p>
        </w:tc>
        <w:tc>
          <w:tcPr>
            <w:tcW w:w="200" w:type="dxa"/>
            <w:vAlign w:val="bottom"/>
          </w:tcPr>
          <w:p>
            <w:pPr>
              <w:spacing w:after="0"/>
              <w:rPr>
                <w:sz w:val="20"/>
                <w:szCs w:val="20"/>
                <w:color w:val="auto"/>
              </w:rPr>
            </w:pPr>
          </w:p>
        </w:tc>
        <w:tc>
          <w:tcPr>
            <w:tcW w:w="2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88"/>
              </w:rPr>
              <w:t>4,491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(42,245)</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 beginning January 1, 2023, there have been no new accounting standards issued but not yet adopted that are expected to be material to the Company. There are also no accounting standards issued before January 1, 2023 yet to be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Hierarchy and Fair Value Measurement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Quoted prices (unadjusted) for identical assets or liabilities in active markets that the Company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Significant unobservable inputs that reflect the Company’s own assumptions about the assumptions that market participants would use in pricing an asset or liability.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summarizes the Company’s assets and liabilities that were required to be recorded at fair value on a recurring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0"/>
              </w:rPr>
              <w:t>Quoted Prices in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6"/>
              </w:rPr>
              <w:t>Significant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vMerge w:val="restart"/>
          </w:tcPr>
          <w:p>
            <w:pPr>
              <w:jc w:val="center"/>
              <w:ind w:right="9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Measurement</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4"/>
              </w:rPr>
              <w:t>Active Markets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line="189" w:lineRule="exact"/>
              <w:rPr>
                <w:sz w:val="20"/>
                <w:szCs w:val="20"/>
                <w:color w:val="auto"/>
              </w:rPr>
            </w:pPr>
            <w:r>
              <w:rPr>
                <w:rFonts w:ascii="Arial" w:cs="Arial" w:eastAsia="Arial" w:hAnsi="Arial"/>
                <w:sz w:val="18"/>
                <w:szCs w:val="18"/>
                <w:color w:val="auto"/>
                <w:w w:val="89"/>
              </w:rPr>
              <w:t>Categories:</w:t>
            </w: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for Identical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9"/>
              </w:rPr>
              <w:t>Observable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8"/>
              </w:rPr>
              <w:t>Unobservable</w:t>
            </w:r>
          </w:p>
        </w:tc>
        <w:tc>
          <w:tcPr>
            <w:tcW w:w="10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Changes in Fair</w:t>
            </w:r>
          </w:p>
        </w:tc>
        <w:tc>
          <w:tcPr>
            <w:tcW w:w="0" w:type="dxa"/>
            <w:vAlign w:val="bottom"/>
          </w:tcPr>
          <w:p>
            <w:pPr>
              <w:spacing w:after="0"/>
              <w:rPr>
                <w:sz w:val="1"/>
                <w:szCs w:val="1"/>
                <w:color w:val="auto"/>
              </w:rPr>
            </w:pPr>
          </w:p>
        </w:tc>
      </w:tr>
      <w:tr>
        <w:trPr>
          <w:trHeight w:val="176"/>
        </w:trPr>
        <w:tc>
          <w:tcPr>
            <w:tcW w:w="41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5"/>
              </w:rPr>
              <w:t>Assets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Inputs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Inputs</w:t>
            </w:r>
          </w:p>
        </w:tc>
        <w:tc>
          <w:tcPr>
            <w:tcW w:w="10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9"/>
              </w:rPr>
              <w:t>Value Recorded</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(Level 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4"/>
              </w:rPr>
              <w:t>(Level 3)</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available-for-sale:</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160" w:type="dxa"/>
            <w:vAlign w:val="bottom"/>
          </w:tcPr>
          <w:p>
            <w:pPr>
              <w:ind w:left="180"/>
              <w:spacing w:after="0" w:line="176" w:lineRule="exact"/>
              <w:rPr>
                <w:sz w:val="20"/>
                <w:szCs w:val="20"/>
                <w:color w:val="auto"/>
              </w:rPr>
            </w:pPr>
            <w:r>
              <w:rPr>
                <w:rFonts w:ascii="Arial" w:cs="Arial" w:eastAsia="Arial" w:hAnsi="Arial"/>
                <w:sz w:val="18"/>
                <w:szCs w:val="18"/>
                <w:color w:val="auto"/>
              </w:rPr>
              <w:t>U.S. government agencies, mortgage-backed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260"/>
              <w:spacing w:after="0" w:line="176" w:lineRule="exact"/>
              <w:rPr>
                <w:sz w:val="20"/>
                <w:szCs w:val="20"/>
                <w:color w:val="auto"/>
              </w:rPr>
            </w:pPr>
            <w:r>
              <w:rPr>
                <w:rFonts w:ascii="Arial" w:cs="Arial" w:eastAsia="Arial" w:hAnsi="Arial"/>
                <w:sz w:val="18"/>
                <w:szCs w:val="18"/>
                <w:color w:val="auto"/>
              </w:rPr>
              <w:t>securities, obligations of states and political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60" w:type="dxa"/>
            <w:vAlign w:val="bottom"/>
          </w:tcPr>
          <w:p>
            <w:pPr>
              <w:ind w:left="260"/>
              <w:spacing w:after="0" w:line="189" w:lineRule="exact"/>
              <w:rPr>
                <w:sz w:val="20"/>
                <w:szCs w:val="20"/>
                <w:color w:val="auto"/>
              </w:rPr>
            </w:pPr>
            <w:r>
              <w:rPr>
                <w:rFonts w:ascii="Arial" w:cs="Arial" w:eastAsia="Arial" w:hAnsi="Arial"/>
                <w:sz w:val="18"/>
                <w:szCs w:val="18"/>
                <w:color w:val="auto"/>
                <w:w w:val="91"/>
              </w:rPr>
              <w:t>subdivisions, collateralized mortgage obligations, and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110,794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110,794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Derivatives – interest rate swap</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interest rate swap</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available-for-sale:</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line="176" w:lineRule="exact"/>
              <w:rPr>
                <w:sz w:val="20"/>
                <w:szCs w:val="20"/>
                <w:color w:val="auto"/>
              </w:rPr>
            </w:pPr>
            <w:r>
              <w:rPr>
                <w:rFonts w:ascii="Arial" w:cs="Arial" w:eastAsia="Arial" w:hAnsi="Arial"/>
                <w:sz w:val="18"/>
                <w:szCs w:val="18"/>
                <w:color w:val="auto"/>
              </w:rPr>
              <w:t>U.S. government agencies, mortgage-backed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Pr>
          <w:p>
            <w:pPr>
              <w:ind w:left="260"/>
              <w:spacing w:after="0" w:line="176" w:lineRule="exact"/>
              <w:rPr>
                <w:sz w:val="20"/>
                <w:szCs w:val="20"/>
                <w:color w:val="auto"/>
              </w:rPr>
            </w:pPr>
            <w:r>
              <w:rPr>
                <w:rFonts w:ascii="Arial" w:cs="Arial" w:eastAsia="Arial" w:hAnsi="Arial"/>
                <w:sz w:val="18"/>
                <w:szCs w:val="18"/>
                <w:color w:val="auto"/>
              </w:rPr>
              <w:t>securities, obligations of states and political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160" w:type="dxa"/>
            <w:vAlign w:val="bottom"/>
          </w:tcPr>
          <w:p>
            <w:pPr>
              <w:ind w:left="260"/>
              <w:spacing w:after="0" w:line="189" w:lineRule="exact"/>
              <w:rPr>
                <w:sz w:val="20"/>
                <w:szCs w:val="20"/>
                <w:color w:val="auto"/>
              </w:rPr>
            </w:pPr>
            <w:r>
              <w:rPr>
                <w:rFonts w:ascii="Arial" w:cs="Arial" w:eastAsia="Arial" w:hAnsi="Arial"/>
                <w:sz w:val="18"/>
                <w:szCs w:val="18"/>
                <w:color w:val="auto"/>
                <w:w w:val="91"/>
              </w:rPr>
              <w:t>subdivisions, collateralized mortgage obligations, and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115,988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115,988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OCI</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interest rate swap</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r>
        <w:trPr>
          <w:trHeight w:val="237"/>
        </w:trPr>
        <w:tc>
          <w:tcPr>
            <w:tcW w:w="41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interest rate swap</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NI</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June 30, 2023 and December 31, 2022, there were no Level 1 available-for-sale securities and no transfers between Level 1 and Level 2 classifications for assets or liabilities measured at fair value on a recurring basis.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June 30, 2023 and December 31, 2022, the carrying amount of assets measured at fair value on a non-recurring basis was immaterial to the Company.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Disclosures about 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is a summary of fair value estimates for financial instruments as of June 30, 2023 and December 31, 2022.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June 30, 2023</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8"/>
                <w:szCs w:val="18"/>
                <w:color w:val="auto"/>
                <w:w w:val="89"/>
              </w:rPr>
              <w:t>December 31, 2022</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50"/>
              <w:spacing w:after="0" w:line="182" w:lineRule="exact"/>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90"/>
              <w:spacing w:after="0" w:line="182" w:lineRule="exact"/>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90"/>
              <w:spacing w:after="0" w:line="182" w:lineRule="exact"/>
              <w:rPr>
                <w:sz w:val="20"/>
                <w:szCs w:val="20"/>
                <w:color w:val="auto"/>
              </w:rPr>
            </w:pPr>
            <w:r>
              <w:rPr>
                <w:rFonts w:ascii="Arial" w:cs="Arial" w:eastAsia="Arial" w:hAnsi="Arial"/>
                <w:sz w:val="18"/>
                <w:szCs w:val="18"/>
                <w:color w:val="auto"/>
              </w:rPr>
              <w:t>Carrying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8"/>
              </w:rPr>
              <w:t>Amounts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2"/>
              </w:rPr>
              <w:t>Fair Value</w:t>
            </w:r>
          </w:p>
        </w:tc>
        <w:tc>
          <w:tcPr>
            <w:tcW w:w="12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Hierarchy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w w:val="98"/>
              </w:rPr>
              <w:t>Amounts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Fair Value</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Hierarchy</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300,123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300,123</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Level 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259,991</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259,991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Time deposits in banks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1</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110,794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115,988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 held-to-maturity</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30"/>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Loans held for 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9,460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Loans held for investment, net of allowance for</w:t>
            </w:r>
          </w:p>
        </w:tc>
        <w:tc>
          <w:tcPr>
            <w:tcW w:w="1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2,893,427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2,715,210</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2,762,937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2,570,176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credit losses</w:t>
            </w:r>
          </w:p>
        </w:tc>
        <w:tc>
          <w:tcPr>
            <w:tcW w:w="1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FHLB stock and other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3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29"/>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FHLB advances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43"/>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notes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72,178</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to estimate the fair value of its financial instruments at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Cash and cash equivalents and time deposits in banks</w:t>
      </w:r>
      <w:r>
        <w:rPr>
          <w:rFonts w:ascii="Arial" w:cs="Arial" w:eastAsia="Arial" w:hAnsi="Arial"/>
          <w:sz w:val="18"/>
          <w:szCs w:val="18"/>
          <w:color w:val="auto"/>
        </w:rPr>
        <w:t>: The carrying amount is estimated to be fair value due to the liquid nature of the assets and their short-term maturities.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Investment securities</w:t>
      </w:r>
      <w:r>
        <w:rPr>
          <w:rFonts w:ascii="Arial" w:cs="Arial" w:eastAsia="Arial" w:hAnsi="Arial"/>
          <w:sz w:val="18"/>
          <w:szCs w:val="18"/>
          <w:color w:val="auto"/>
        </w:rPr>
        <w:t>: See discussion above for the methods and assumptions used by the Company to estimate the fair value of investment securities. Fair value of held-to-maturity securities is based on observable market data, such as interest rates and yield curves (observable at commonly quoted intervals) as provided by an independent third party.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For loans held for sale, the fair value is based on what secondary markets are currently offering for portfolios with similar characteristics.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held for investment, net of allowance for credit losses</w:t>
      </w:r>
      <w:r>
        <w:rPr>
          <w:rFonts w:ascii="Arial" w:cs="Arial" w:eastAsia="Arial" w:hAnsi="Arial"/>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FHLB stock and other investments</w:t>
      </w:r>
      <w:r>
        <w:rPr>
          <w:rFonts w:ascii="Arial" w:cs="Arial" w:eastAsia="Arial" w:hAnsi="Arial"/>
          <w:sz w:val="18"/>
          <w:szCs w:val="18"/>
          <w:color w:val="auto"/>
        </w:rPr>
        <w:t>: Carrying amounts of these investments are reasonable estimates of fair value because the securities are restricted to member banks and do not have a readily determinable market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 interest rate swap</w:t>
      </w:r>
      <w:r>
        <w:rPr>
          <w:rFonts w:ascii="Arial" w:cs="Arial" w:eastAsia="Arial" w:hAnsi="Arial"/>
          <w:sz w:val="16"/>
          <w:szCs w:val="16"/>
          <w:color w:val="auto"/>
        </w:rPr>
        <w:t>: See above for a discussion of the methods and assumptions used by the Company to estimate the fair value of derivatives.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FHLB advances</w:t>
      </w:r>
      <w:r>
        <w:rPr>
          <w:rFonts w:ascii="Arial" w:cs="Arial" w:eastAsia="Arial" w:hAnsi="Arial"/>
          <w:sz w:val="18"/>
          <w:szCs w:val="18"/>
          <w:color w:val="auto"/>
        </w:rPr>
        <w:t>: For FHLB advances, the carrying amount is estimated to be fair value.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u w:val="single" w:color="auto"/>
          <w:color w:val="auto"/>
        </w:rPr>
        <w:t>Subordinated notes</w:t>
      </w:r>
      <w:r>
        <w:rPr>
          <w:rFonts w:ascii="Arial" w:cs="Arial" w:eastAsia="Arial" w:hAnsi="Arial"/>
          <w:sz w:val="18"/>
          <w:szCs w:val="18"/>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 securities portfolio includes obligations of states and political subdivisions, securities issued by U.S. federal government agencies, such as the SBA, and securities issued by U.S. GSEs, such as FNMA, FHLMC, and FHLB. The Company also invests in residential and commercial mortgage-backed securities, collateralized mortgage obligations issued or guaranteed by government sponsored entities, and corporate bonds, as reflected in the following tables.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amortized cost and fair value related to securities held-to-maturity as of June 30, 2023 and December 31, 2022 is presented below.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Amortized</w:t>
            </w: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color w:val="auto"/>
              </w:rPr>
              <w:t>Gross Unrealized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Cost</w:t>
            </w:r>
          </w:p>
        </w:tc>
        <w:tc>
          <w:tcPr>
            <w:tcW w:w="320" w:type="dxa"/>
            <w:vAlign w:val="bottom"/>
          </w:tcPr>
          <w:p>
            <w:pPr>
              <w:spacing w:after="0"/>
              <w:rPr>
                <w:sz w:val="21"/>
                <w:szCs w:val="21"/>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Gains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(Losses)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held-to-maturity</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held-to-maturity</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Company adopted ASC 326 on January 1, 2023, which affects accounting of credit loss expense on held-to-maturity and available-for-sale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Basis of Presentation and Summary of Significant Accounting Policies, for further detail.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A summary of the amortized cost and fair value related to securities available-for-sale as of June 30, 2023 and December 31, 2022 is presented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Amortized</w:t>
            </w: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Gross Unrealized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Cost</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Gains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58,079</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38,479</w:t>
            </w: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Collateralized mortgage obligations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available-for-sale</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agencies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61,271</w:t>
            </w: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38,426</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Collateralized mortgage obligations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3"/>
        </w:trPr>
        <w:tc>
          <w:tcPr>
            <w:tcW w:w="4940" w:type="dxa"/>
            <w:vAlign w:val="bottom"/>
          </w:tcPr>
          <w:p>
            <w:pPr>
              <w:ind w:left="240"/>
              <w:spacing w:after="0"/>
              <w:rPr>
                <w:sz w:val="20"/>
                <w:szCs w:val="20"/>
                <w:color w:val="auto"/>
              </w:rPr>
            </w:pPr>
            <w:r>
              <w:rPr>
                <w:rFonts w:ascii="Arial" w:cs="Arial" w:eastAsia="Arial" w:hAnsi="Arial"/>
                <w:sz w:val="18"/>
                <w:szCs w:val="18"/>
                <w:color w:val="auto"/>
              </w:rPr>
              <w:t>Total available-for-sale</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115,988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3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The amortized cost and fair value of investment securities by contractual maturity at June 30, 2023 and December 31, 2022 are shown below. Expected maturities may differ from contractual maturities if the issuers of the securities have the right to call or prepay obligations with or without call or prepayment penalties.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w w:val="98"/>
              </w:rPr>
              <w:t>June 30, 2023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89"/>
              </w:rPr>
              <w:t>December 31, 2022</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Held-to-Maturity</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95"/>
              </w:rPr>
              <w:t>Available-for-Sale</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Held-to-Maturity</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w w:val="97"/>
              </w:rPr>
              <w:t>Available-for-Sale</w:t>
            </w:r>
          </w:p>
        </w:tc>
        <w:tc>
          <w:tcPr>
            <w:tcW w:w="0" w:type="dxa"/>
            <w:vAlign w:val="bottom"/>
          </w:tcPr>
          <w:p>
            <w:pPr>
              <w:spacing w:after="0"/>
              <w:rPr>
                <w:sz w:val="1"/>
                <w:szCs w:val="1"/>
                <w:color w:val="auto"/>
              </w:rPr>
            </w:pPr>
          </w:p>
        </w:tc>
      </w:tr>
      <w:tr>
        <w:trPr>
          <w:trHeight w:val="175"/>
        </w:trPr>
        <w:tc>
          <w:tcPr>
            <w:tcW w:w="39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8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8"/>
              </w:rPr>
              <w:t>Amortized</w:t>
            </w:r>
          </w:p>
        </w:tc>
        <w:tc>
          <w:tcPr>
            <w:tcW w:w="80" w:type="dxa"/>
            <w:vAlign w:val="bottom"/>
          </w:tcPr>
          <w:p>
            <w:pPr>
              <w:spacing w:after="0"/>
              <w:rPr>
                <w:sz w:val="15"/>
                <w:szCs w:val="1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15"/>
                <w:szCs w:val="15"/>
                <w:color w:val="auto"/>
              </w:rPr>
            </w:pPr>
          </w:p>
        </w:tc>
        <w:tc>
          <w:tcPr>
            <w:tcW w:w="84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6"/>
              </w:rPr>
              <w:t>Amortized</w:t>
            </w:r>
          </w:p>
        </w:tc>
        <w:tc>
          <w:tcPr>
            <w:tcW w:w="10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15"/>
                <w:szCs w:val="15"/>
                <w:color w:val="auto"/>
              </w:rPr>
            </w:pPr>
          </w:p>
        </w:tc>
        <w:tc>
          <w:tcPr>
            <w:tcW w:w="8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Amortized</w:t>
            </w:r>
          </w:p>
        </w:tc>
        <w:tc>
          <w:tcPr>
            <w:tcW w:w="80" w:type="dxa"/>
            <w:vAlign w:val="bottom"/>
          </w:tcPr>
          <w:p>
            <w:pPr>
              <w:spacing w:after="0"/>
              <w:rPr>
                <w:sz w:val="15"/>
                <w:szCs w:val="1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auto"/>
                <w:w w:val="95"/>
              </w:rPr>
              <w:t>Fair Value</w:t>
            </w:r>
          </w:p>
        </w:tc>
        <w:tc>
          <w:tcPr>
            <w:tcW w:w="80" w:type="dxa"/>
            <w:vAlign w:val="bottom"/>
          </w:tcPr>
          <w:p>
            <w:pPr>
              <w:spacing w:after="0"/>
              <w:rPr>
                <w:sz w:val="15"/>
                <w:szCs w:val="15"/>
                <w:color w:val="auto"/>
              </w:rPr>
            </w:pPr>
          </w:p>
        </w:tc>
        <w:tc>
          <w:tcPr>
            <w:tcW w:w="8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37"/>
        </w:trPr>
        <w:tc>
          <w:tcPr>
            <w:tcW w:w="3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After one but within five years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After ten years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39,402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33,164</w:t>
            </w:r>
          </w:p>
        </w:tc>
        <w:tc>
          <w:tcPr>
            <w:tcW w:w="0" w:type="dxa"/>
            <w:vAlign w:val="bottom"/>
          </w:tcPr>
          <w:p>
            <w:pPr>
              <w:spacing w:after="0"/>
              <w:rPr>
                <w:sz w:val="1"/>
                <w:szCs w:val="1"/>
                <w:color w:val="auto"/>
              </w:rPr>
            </w:pPr>
          </w:p>
        </w:tc>
      </w:tr>
      <w:tr>
        <w:trPr>
          <w:trHeight w:val="276"/>
        </w:trPr>
        <w:tc>
          <w:tcPr>
            <w:tcW w:w="3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9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Investment securities not due at a single maturity</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date: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30"/>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Mortgage-backed securities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58,079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61,271</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mortgage obligations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110,794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135,087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115,988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Sales of investment securities and gross gains and losses are shown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color w:val="auto"/>
                <w:w w:val="97"/>
              </w:rPr>
              <w:t>For the three months ended</w:t>
            </w:r>
          </w:p>
        </w:tc>
        <w:tc>
          <w:tcPr>
            <w:tcW w:w="3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176"/>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ind w:left="460"/>
              <w:spacing w:after="0" w:line="176" w:lineRule="exact"/>
              <w:rPr>
                <w:sz w:val="20"/>
                <w:szCs w:val="20"/>
                <w:color w:val="auto"/>
              </w:rPr>
            </w:pPr>
            <w:r>
              <w:rPr>
                <w:rFonts w:ascii="Arial" w:cs="Arial" w:eastAsia="Arial" w:hAnsi="Arial"/>
                <w:sz w:val="18"/>
                <w:szCs w:val="18"/>
                <w:color w:val="auto"/>
                <w:w w:val="98"/>
              </w:rPr>
              <w:t>June 30,</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6"/>
              </w:rPr>
              <w:t>June 30,</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7"/>
        </w:trPr>
        <w:tc>
          <w:tcPr>
            <w:tcW w:w="4920" w:type="dxa"/>
            <w:vAlign w:val="bottom"/>
            <w:gridSpan w:val="2"/>
            <w:vMerge w:val="continue"/>
          </w:tcPr>
          <w:p>
            <w:pPr>
              <w:spacing w:after="0"/>
              <w:rPr>
                <w:sz w:val="20"/>
                <w:szCs w:val="20"/>
                <w:color w:val="auto"/>
              </w:rPr>
            </w:pPr>
          </w:p>
        </w:tc>
        <w:tc>
          <w:tcPr>
            <w:tcW w:w="1160" w:type="dxa"/>
            <w:vAlign w:val="bottom"/>
          </w:tcPr>
          <w:p>
            <w:pPr>
              <w:ind w:left="580"/>
              <w:spacing w:after="0"/>
              <w:rPr>
                <w:sz w:val="20"/>
                <w:szCs w:val="20"/>
                <w:color w:val="auto"/>
              </w:rPr>
            </w:pPr>
            <w:r>
              <w:rPr>
                <w:rFonts w:ascii="Arial" w:cs="Arial" w:eastAsia="Arial" w:hAnsi="Arial"/>
                <w:sz w:val="18"/>
                <w:szCs w:val="18"/>
                <w:color w:val="auto"/>
              </w:rPr>
              <w:t>2023</w:t>
            </w:r>
          </w:p>
        </w:tc>
        <w:tc>
          <w:tcPr>
            <w:tcW w:w="1600" w:type="dxa"/>
            <w:vAlign w:val="bottom"/>
            <w:gridSpan w:val="3"/>
          </w:tcPr>
          <w:p>
            <w:pPr>
              <w:jc w:val="right"/>
              <w:ind w:right="13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29"/>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Sales proceeds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740" w:type="dxa"/>
            <w:vAlign w:val="bottom"/>
            <w:gridSpan w:val="5"/>
          </w:tcPr>
          <w:p>
            <w:pPr>
              <w:ind w:left="10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realized gains</w:t>
            </w:r>
          </w:p>
        </w:tc>
        <w:tc>
          <w:tcPr>
            <w:tcW w:w="116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27"/>
        </w:trPr>
        <w:tc>
          <w:tcPr>
            <w:tcW w:w="4920" w:type="dxa"/>
            <w:vAlign w:val="bottom"/>
            <w:gridSpan w:val="2"/>
          </w:tcPr>
          <w:p>
            <w:pPr>
              <w:spacing w:after="0"/>
              <w:rPr>
                <w:sz w:val="20"/>
                <w:szCs w:val="20"/>
                <w:color w:val="auto"/>
              </w:rPr>
            </w:pPr>
            <w:r>
              <w:rPr>
                <w:rFonts w:ascii="Arial" w:cs="Arial" w:eastAsia="Arial" w:hAnsi="Arial"/>
                <w:sz w:val="18"/>
                <w:szCs w:val="18"/>
                <w:color w:val="auto"/>
                <w:w w:val="97"/>
              </w:rPr>
              <w:t>Pledged investment securities are shown in the following table:</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auto"/>
            </w:tcBorders>
            <w:gridSpan w:val="2"/>
            <w:vMerge w:val="continue"/>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Pledged to:</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gridSpan w:val="3"/>
          </w:tcPr>
          <w:p>
            <w:pPr>
              <w:ind w:left="180"/>
              <w:spacing w:after="0"/>
              <w:rPr>
                <w:sz w:val="20"/>
                <w:szCs w:val="20"/>
                <w:color w:val="auto"/>
              </w:rPr>
            </w:pPr>
            <w:r>
              <w:rPr>
                <w:rFonts w:ascii="Arial" w:cs="Arial" w:eastAsia="Arial" w:hAnsi="Arial"/>
                <w:sz w:val="18"/>
                <w:szCs w:val="18"/>
                <w:color w:val="auto"/>
              </w:rPr>
              <w:t>The State of California, securing deposits of public funds and borrowings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57,688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40,465</w:t>
            </w:r>
          </w:p>
        </w:tc>
        <w:tc>
          <w:tcPr>
            <w:tcW w:w="0" w:type="dxa"/>
            <w:vAlign w:val="bottom"/>
          </w:tcPr>
          <w:p>
            <w:pPr>
              <w:spacing w:after="0"/>
              <w:rPr>
                <w:sz w:val="1"/>
                <w:szCs w:val="1"/>
                <w:color w:val="auto"/>
              </w:rPr>
            </w:pPr>
          </w:p>
        </w:tc>
      </w:tr>
      <w:tr>
        <w:trPr>
          <w:trHeight w:val="243"/>
        </w:trPr>
        <w:tc>
          <w:tcPr>
            <w:tcW w:w="6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The Federal Reserve Discount Window, increasing borrowing capacity</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Total pledged investment securities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4"/>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109,903</w:t>
            </w:r>
          </w:p>
        </w:tc>
        <w:tc>
          <w:tcPr>
            <w:tcW w:w="1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gross unrealized losses and fair values aggregated by investment category and length of time that individual available-for-sale securities have been in a continuous unrealized loss position at June 30, 2023 and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3"/>
            <w:vMerge w:val="restart"/>
          </w:tcPr>
          <w:p>
            <w:pPr>
              <w:jc w:val="right"/>
              <w:spacing w:after="0"/>
              <w:rPr>
                <w:sz w:val="20"/>
                <w:szCs w:val="20"/>
                <w:color w:val="auto"/>
              </w:rPr>
            </w:pPr>
            <w:r>
              <w:rPr>
                <w:rFonts w:ascii="Arial" w:cs="Arial" w:eastAsia="Arial" w:hAnsi="Arial"/>
                <w:sz w:val="18"/>
                <w:szCs w:val="18"/>
                <w:color w:val="auto"/>
              </w:rPr>
              <w:t>Less than 12 months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3"/>
            <w:vMerge w:val="restart"/>
          </w:tcPr>
          <w:p>
            <w:pPr>
              <w:jc w:val="right"/>
              <w:spacing w:after="0"/>
              <w:rPr>
                <w:sz w:val="20"/>
                <w:szCs w:val="20"/>
                <w:color w:val="auto"/>
              </w:rPr>
            </w:pPr>
            <w:r>
              <w:rPr>
                <w:rFonts w:ascii="Arial" w:cs="Arial" w:eastAsia="Arial" w:hAnsi="Arial"/>
                <w:sz w:val="18"/>
                <w:szCs w:val="18"/>
                <w:color w:val="auto"/>
              </w:rPr>
              <w:t>12 months or more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tcPr>
          <w:p>
            <w:pPr>
              <w:jc w:val="right"/>
              <w:ind w:right="30"/>
              <w:spacing w:after="0"/>
              <w:rPr>
                <w:sz w:val="20"/>
                <w:szCs w:val="20"/>
                <w:color w:val="auto"/>
              </w:rPr>
            </w:pPr>
            <w:r>
              <w:rPr>
                <w:rFonts w:ascii="Arial" w:cs="Arial" w:eastAsia="Arial" w:hAnsi="Arial"/>
                <w:sz w:val="18"/>
                <w:szCs w:val="18"/>
                <w:color w:val="auto"/>
              </w:rPr>
              <w:t>Total securities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a loss position</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w w:val="99"/>
              </w:rPr>
              <w:t>Fair Value</w:t>
            </w:r>
          </w:p>
        </w:tc>
        <w:tc>
          <w:tcPr>
            <w:tcW w:w="1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Unrealized 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w w:val="97"/>
              </w:rPr>
              <w:t>Fair Value</w:t>
            </w:r>
          </w:p>
        </w:tc>
        <w:tc>
          <w:tcPr>
            <w:tcW w:w="1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Unrealized 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w w:val="99"/>
              </w:rPr>
              <w:t>Fair Value</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w w:val="97"/>
              </w:rPr>
              <w:t>Unrealized Loss</w:t>
            </w:r>
          </w:p>
        </w:tc>
        <w:tc>
          <w:tcPr>
            <w:tcW w:w="0" w:type="dxa"/>
            <w:vAlign w:val="bottom"/>
          </w:tcPr>
          <w:p>
            <w:pPr>
              <w:spacing w:after="0"/>
              <w:rPr>
                <w:sz w:val="1"/>
                <w:szCs w:val="1"/>
                <w:color w:val="auto"/>
              </w:rPr>
            </w:pPr>
          </w:p>
        </w:tc>
      </w:tr>
      <w:tr>
        <w:trPr>
          <w:trHeight w:val="229"/>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2,404</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8,158</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10,562</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58,077</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176"/>
        </w:trPr>
        <w:tc>
          <w:tcPr>
            <w:tcW w:w="2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36,952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36,952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Collateralized mortgage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104,895</w:t>
            </w:r>
          </w:p>
        </w:tc>
        <w:tc>
          <w:tcPr>
            <w:tcW w:w="7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107,690</w:t>
            </w: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3,090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8,392</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11,482</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61,268</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(11,841)</w:t>
            </w:r>
          </w:p>
        </w:tc>
        <w:tc>
          <w:tcPr>
            <w:tcW w:w="0" w:type="dxa"/>
            <w:vAlign w:val="bottom"/>
          </w:tcPr>
          <w:p>
            <w:pPr>
              <w:spacing w:after="0"/>
              <w:rPr>
                <w:sz w:val="1"/>
                <w:szCs w:val="1"/>
                <w:color w:val="auto"/>
              </w:rPr>
            </w:pPr>
          </w:p>
        </w:tc>
      </w:tr>
      <w:tr>
        <w:trPr>
          <w:trHeight w:val="175"/>
        </w:trPr>
        <w:tc>
          <w:tcPr>
            <w:tcW w:w="26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Obligations of states and political</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(4,097)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36,377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subdivisions</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Collateralized mortgage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32,552</w:t>
            </w: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78,693</w:t>
            </w:r>
          </w:p>
        </w:tc>
        <w:tc>
          <w:tcPr>
            <w:tcW w:w="7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(14,469)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111,245</w:t>
            </w: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153 and 152 available-for-sale securities in unrealized loss positions at June 30, 2023 and December 31, 2022, respectively. As of June 30, 2023, the investment portfolio included 148 investment securities that had been in a continuous loss position for twelve months or more and five investment securities that had been in a loss position for less than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There was one held-to-maturity security in a continuous unrealized loss position at June 30, 2023, which had been in a continuous loss position for more than twelve months.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Obligations issued or guaranteed by government agencies such as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Non-Marketable Securities Included in Other Assets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FHLB capital stock</w:t>
      </w:r>
      <w:r>
        <w:rPr>
          <w:rFonts w:ascii="Arial" w:cs="Arial" w:eastAsia="Arial" w:hAnsi="Arial"/>
          <w:sz w:val="17"/>
          <w:szCs w:val="17"/>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and $10.9 million of FHLB stock at June 30, 2023 and December 31, 2022,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June 30, 2023 and December 31, 2022. On April 27, 2023, the FHLB announced a cash dividend for the first quarter of 2023 at an annualized dividend rate of 7.00%, which was paid on May 11, 2023. Cash dividends received on FHLB capital stock amounted to $0.2 million and $0.1 million for the three months ended June 30, 2023 and 2022, respectively, and $0.4 million and $0.2 million for the six months ended June 30, 2023 and 2022, respectively, and were recorded as non-interest income on the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4: Loans and Allowance for Credit Losses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The following table presents the balance of each major product type within the Company’s portfolio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2,512,741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2,394,674</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100,514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88,669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37"/>
        </w:trPr>
        <w:tc>
          <w:tcPr>
            <w:tcW w:w="806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24,230</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165,186</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2,929,821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2,793,466</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deferred loan fees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Arial" w:cs="Arial" w:eastAsia="Arial" w:hAnsi="Arial"/>
                <w:sz w:val="18"/>
                <w:szCs w:val="18"/>
                <w:color w:val="auto"/>
              </w:rPr>
              <w:t>Less: Allowance for credit losses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28,389</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 of allowance for credit losses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2,893,427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2,762,937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Commercial loans</w:t>
      </w:r>
      <w:r>
        <w:rPr>
          <w:rFonts w:ascii="Arial" w:cs="Arial" w:eastAsia="Arial" w:hAnsi="Arial"/>
          <w:sz w:val="17"/>
          <w:szCs w:val="17"/>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Real estate loans</w:t>
      </w:r>
      <w:r>
        <w:rPr>
          <w:rFonts w:ascii="Arial" w:cs="Arial" w:eastAsia="Arial" w:hAnsi="Arial"/>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Construction loans</w:t>
      </w:r>
      <w:r>
        <w:rPr>
          <w:rFonts w:ascii="Arial" w:cs="Arial" w:eastAsia="Arial" w:hAnsi="Arial"/>
          <w:sz w:val="17"/>
          <w:szCs w:val="17"/>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jc w:val="both"/>
        <w:spacing w:after="0" w:line="301" w:lineRule="auto"/>
        <w:rPr>
          <w:sz w:val="20"/>
          <w:szCs w:val="20"/>
          <w:color w:val="auto"/>
        </w:rPr>
      </w:pPr>
      <w:r>
        <w:rPr>
          <w:rFonts w:ascii="Arial" w:cs="Arial" w:eastAsia="Arial" w:hAnsi="Arial"/>
          <w:sz w:val="16"/>
          <w:szCs w:val="16"/>
          <w:color w:val="auto"/>
        </w:rPr>
        <w:t>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Residential real estate loans</w:t>
      </w:r>
      <w:r>
        <w:rPr>
          <w:rFonts w:ascii="Arial" w:cs="Arial" w:eastAsia="Arial" w:hAnsi="Arial"/>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Farmland loans</w:t>
      </w:r>
      <w:r>
        <w:rPr>
          <w:rFonts w:ascii="Arial" w:cs="Arial" w:eastAsia="Arial" w:hAnsi="Arial"/>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Consumer loans</w:t>
      </w:r>
      <w:r>
        <w:rPr>
          <w:rFonts w:ascii="Arial" w:cs="Arial" w:eastAsia="Arial" w:hAnsi="Arial"/>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Loans rated pass</w:t>
      </w:r>
      <w:r>
        <w:rPr>
          <w:rFonts w:ascii="Arial" w:cs="Arial" w:eastAsia="Arial" w:hAnsi="Arial"/>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Loans rated watch</w:t>
      </w:r>
      <w:r>
        <w:rPr>
          <w:rFonts w:ascii="Arial" w:cs="Arial" w:eastAsia="Arial" w:hAnsi="Arial"/>
          <w:sz w:val="18"/>
          <w:szCs w:val="18"/>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Loans rated substandard</w:t>
      </w:r>
      <w:r>
        <w:rPr>
          <w:rFonts w:ascii="Arial" w:cs="Arial" w:eastAsia="Arial" w:hAnsi="Arial"/>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rated doubtful</w:t>
      </w:r>
      <w:r>
        <w:rPr>
          <w:rFonts w:ascii="Arial" w:cs="Arial" w:eastAsia="Arial" w:hAnsi="Arial"/>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The amortized cost basis of the Company’s loans by origination year, where origination is defined as the later of origination or renewal date, and credit quality indicator as of June 30, 2023 was as follows (disclosure not comparative due to adoption of ASC 326 on January 1, 2023 – refer to Note 1, Basis of Presentation and Summary of Significant Accounting Policies, for further details):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9"/>
          </w:tcPr>
          <w:p>
            <w:pPr>
              <w:jc w:val="right"/>
              <w:ind w:right="40"/>
              <w:spacing w:after="0"/>
              <w:rPr>
                <w:sz w:val="20"/>
                <w:szCs w:val="20"/>
                <w:color w:val="auto"/>
              </w:rPr>
            </w:pPr>
            <w:r>
              <w:rPr>
                <w:rFonts w:ascii="Arial" w:cs="Arial" w:eastAsia="Arial" w:hAnsi="Arial"/>
                <w:sz w:val="14"/>
                <w:szCs w:val="14"/>
                <w:color w:val="auto"/>
              </w:rPr>
              <w:t>Amortized Cost Basis by Origination Year</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color w:val="auto"/>
                <w:w w:val="97"/>
              </w:rPr>
              <w:t>Revolving</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2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color w:val="auto"/>
              </w:rPr>
              <w:t>Prior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08"/>
              <w:spacing w:after="0" w:line="141" w:lineRule="exact"/>
              <w:rPr>
                <w:sz w:val="20"/>
                <w:szCs w:val="20"/>
                <w:color w:val="auto"/>
              </w:rPr>
            </w:pPr>
            <w:r>
              <w:rPr>
                <w:rFonts w:ascii="Arial" w:cs="Arial" w:eastAsia="Arial" w:hAnsi="Arial"/>
                <w:sz w:val="14"/>
                <w:szCs w:val="14"/>
                <w:color w:val="auto"/>
              </w:rPr>
              <w:t>Revolving</w:t>
            </w:r>
          </w:p>
        </w:tc>
        <w:tc>
          <w:tcPr>
            <w:tcW w:w="100" w:type="dxa"/>
            <w:vAlign w:val="bottom"/>
          </w:tcPr>
          <w:p>
            <w:pPr>
              <w:spacing w:after="0"/>
              <w:rPr>
                <w:sz w:val="12"/>
                <w:szCs w:val="12"/>
                <w:color w:val="auto"/>
              </w:rPr>
            </w:pPr>
          </w:p>
        </w:tc>
        <w:tc>
          <w:tcPr>
            <w:tcW w:w="1180" w:type="dxa"/>
            <w:vAlign w:val="bottom"/>
            <w:gridSpan w:val="4"/>
          </w:tcPr>
          <w:p>
            <w:pPr>
              <w:jc w:val="center"/>
              <w:ind w:right="280"/>
              <w:spacing w:after="0" w:line="141" w:lineRule="exact"/>
              <w:rPr>
                <w:sz w:val="20"/>
                <w:szCs w:val="20"/>
                <w:color w:val="auto"/>
              </w:rPr>
            </w:pPr>
            <w:r>
              <w:rPr>
                <w:rFonts w:ascii="Arial" w:cs="Arial" w:eastAsia="Arial" w:hAnsi="Arial"/>
                <w:sz w:val="14"/>
                <w:szCs w:val="14"/>
                <w:color w:val="auto"/>
                <w:w w:val="92"/>
              </w:rPr>
              <w:t>Converted to</w:t>
            </w: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4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Loans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color w:val="auto"/>
                <w:w w:val="91"/>
              </w:rPr>
              <w:t>Term</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162,378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978,642</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716,945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242,777</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130,176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258,336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2,492,910</w:t>
            </w:r>
          </w:p>
        </w:tc>
        <w:tc>
          <w:tcPr>
            <w:tcW w:w="0" w:type="dxa"/>
            <w:vAlign w:val="bottom"/>
          </w:tcPr>
          <w:p>
            <w:pPr>
              <w:spacing w:after="0"/>
              <w:rPr>
                <w:sz w:val="1"/>
                <w:szCs w:val="1"/>
                <w:color w:val="auto"/>
              </w:rPr>
            </w:pPr>
          </w:p>
        </w:tc>
      </w:tr>
      <w:tr>
        <w:trPr>
          <w:trHeight w:val="182"/>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7,013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162,378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981,132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716,945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249,790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130,763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2,510,063</w:t>
            </w:r>
          </w:p>
        </w:tc>
        <w:tc>
          <w:tcPr>
            <w:tcW w:w="0" w:type="dxa"/>
            <w:vAlign w:val="bottom"/>
          </w:tcPr>
          <w:p>
            <w:pPr>
              <w:spacing w:after="0"/>
              <w:rPr>
                <w:sz w:val="1"/>
                <w:szCs w:val="1"/>
                <w:color w:val="auto"/>
              </w:rPr>
            </w:pPr>
          </w:p>
        </w:tc>
      </w:tr>
      <w:tr>
        <w:trPr>
          <w:trHeight w:val="186"/>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Commercial land and development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15,159</w:t>
            </w:r>
          </w:p>
        </w:tc>
        <w:tc>
          <w:tcPr>
            <w:tcW w:w="0" w:type="dxa"/>
            <w:vAlign w:val="bottom"/>
          </w:tcPr>
          <w:p>
            <w:pPr>
              <w:spacing w:after="0"/>
              <w:rPr>
                <w:sz w:val="1"/>
                <w:szCs w:val="1"/>
                <w:color w:val="auto"/>
              </w:rPr>
            </w:pPr>
          </w:p>
        </w:tc>
      </w:tr>
      <w:tr>
        <w:trPr>
          <w:trHeight w:val="182"/>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15,159</w:t>
            </w:r>
          </w:p>
        </w:tc>
        <w:tc>
          <w:tcPr>
            <w:tcW w:w="0" w:type="dxa"/>
            <w:vAlign w:val="bottom"/>
          </w:tcPr>
          <w:p>
            <w:pPr>
              <w:spacing w:after="0"/>
              <w:rPr>
                <w:sz w:val="1"/>
                <w:szCs w:val="1"/>
                <w:color w:val="auto"/>
              </w:rPr>
            </w:pPr>
          </w:p>
        </w:tc>
      </w:tr>
      <w:tr>
        <w:trPr>
          <w:trHeight w:val="186"/>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Commercial construction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35,919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10,530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94,159</w:t>
            </w:r>
          </w:p>
        </w:tc>
        <w:tc>
          <w:tcPr>
            <w:tcW w:w="0" w:type="dxa"/>
            <w:vAlign w:val="bottom"/>
          </w:tcPr>
          <w:p>
            <w:pPr>
              <w:spacing w:after="0"/>
              <w:rPr>
                <w:sz w:val="1"/>
                <w:szCs w:val="1"/>
                <w:color w:val="auto"/>
              </w:rPr>
            </w:pPr>
          </w:p>
        </w:tc>
      </w:tr>
      <w:tr>
        <w:trPr>
          <w:trHeight w:val="182"/>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5,897</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6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100,056</w:t>
            </w:r>
          </w:p>
        </w:tc>
        <w:tc>
          <w:tcPr>
            <w:tcW w:w="0" w:type="dxa"/>
            <w:vAlign w:val="bottom"/>
          </w:tcPr>
          <w:p>
            <w:pPr>
              <w:spacing w:after="0"/>
              <w:rPr>
                <w:sz w:val="1"/>
                <w:szCs w:val="1"/>
                <w:color w:val="auto"/>
              </w:rPr>
            </w:pPr>
          </w:p>
        </w:tc>
      </w:tr>
      <w:tr>
        <w:trPr>
          <w:trHeight w:val="186"/>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Residential construction</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13,889</w:t>
            </w:r>
          </w:p>
        </w:tc>
        <w:tc>
          <w:tcPr>
            <w:tcW w:w="0" w:type="dxa"/>
            <w:vAlign w:val="bottom"/>
          </w:tcPr>
          <w:p>
            <w:pPr>
              <w:spacing w:after="0"/>
              <w:rPr>
                <w:sz w:val="1"/>
                <w:szCs w:val="1"/>
                <w:color w:val="auto"/>
              </w:rPr>
            </w:pPr>
          </w:p>
        </w:tc>
      </w:tr>
      <w:tr>
        <w:trPr>
          <w:trHeight w:val="182"/>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6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13,889</w:t>
            </w:r>
          </w:p>
        </w:tc>
        <w:tc>
          <w:tcPr>
            <w:tcW w:w="0" w:type="dxa"/>
            <w:vAlign w:val="bottom"/>
          </w:tcPr>
          <w:p>
            <w:pPr>
              <w:spacing w:after="0"/>
              <w:rPr>
                <w:sz w:val="1"/>
                <w:szCs w:val="1"/>
                <w:color w:val="auto"/>
              </w:rPr>
            </w:pPr>
          </w:p>
        </w:tc>
      </w:tr>
      <w:tr>
        <w:trPr>
          <w:trHeight w:val="186"/>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Residential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2,316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22,355</w:t>
            </w:r>
          </w:p>
        </w:tc>
        <w:tc>
          <w:tcPr>
            <w:tcW w:w="0" w:type="dxa"/>
            <w:vAlign w:val="bottom"/>
          </w:tcPr>
          <w:p>
            <w:pPr>
              <w:spacing w:after="0"/>
              <w:rPr>
                <w:sz w:val="1"/>
                <w:szCs w:val="1"/>
                <w:color w:val="auto"/>
              </w:rPr>
            </w:pPr>
          </w:p>
        </w:tc>
      </w:tr>
      <w:tr>
        <w:trPr>
          <w:trHeight w:val="182"/>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7"/>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46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2,316</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22,531</w:t>
            </w:r>
          </w:p>
        </w:tc>
        <w:tc>
          <w:tcPr>
            <w:tcW w:w="0" w:type="dxa"/>
            <w:vAlign w:val="bottom"/>
          </w:tcPr>
          <w:p>
            <w:pPr>
              <w:spacing w:after="0"/>
              <w:rPr>
                <w:sz w:val="1"/>
                <w:szCs w:val="1"/>
                <w:color w:val="auto"/>
              </w:rPr>
            </w:pPr>
          </w:p>
        </w:tc>
      </w:tr>
      <w:tr>
        <w:trPr>
          <w:trHeight w:val="182"/>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Farmland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8,111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12,889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8,049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12,674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51,321</w:t>
            </w:r>
          </w:p>
        </w:tc>
        <w:tc>
          <w:tcPr>
            <w:tcW w:w="0" w:type="dxa"/>
            <w:vAlign w:val="bottom"/>
          </w:tcPr>
          <w:p>
            <w:pPr>
              <w:spacing w:after="0"/>
              <w:rPr>
                <w:sz w:val="1"/>
                <w:szCs w:val="1"/>
                <w:color w:val="auto"/>
              </w:rPr>
            </w:pPr>
          </w:p>
        </w:tc>
      </w:tr>
      <w:tr>
        <w:trPr>
          <w:trHeight w:val="186"/>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460" w:type="dxa"/>
            <w:vAlign w:val="bottom"/>
            <w:tcBorders>
              <w:top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8,049</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51,321</w:t>
            </w:r>
          </w:p>
        </w:tc>
        <w:tc>
          <w:tcPr>
            <w:tcW w:w="0" w:type="dxa"/>
            <w:vAlign w:val="bottom"/>
          </w:tcPr>
          <w:p>
            <w:pPr>
              <w:spacing w:after="0"/>
              <w:rPr>
                <w:sz w:val="1"/>
                <w:szCs w:val="1"/>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Secured</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Pr>
          <w:p>
            <w:pPr>
              <w:jc w:val="right"/>
              <w:spacing w:after="0"/>
              <w:rPr>
                <w:sz w:val="20"/>
                <w:szCs w:val="20"/>
                <w:color w:val="auto"/>
              </w:rPr>
            </w:pPr>
            <w:r>
              <w:rPr>
                <w:rFonts w:ascii="Arial" w:cs="Arial" w:eastAsia="Arial" w:hAnsi="Arial"/>
                <w:sz w:val="14"/>
                <w:szCs w:val="14"/>
                <w:color w:val="auto"/>
              </w:rPr>
              <w:t>11,838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47,918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20,765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14,073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39,469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158,241</w:t>
            </w: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182"/>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460" w:type="dxa"/>
            <w:vAlign w:val="bottom"/>
            <w:tcBorders>
              <w:top w:val="single" w:sz="8" w:color="CCEEFF"/>
            </w:tcBorders>
            <w:gridSpan w:val="2"/>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11,838</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47,918</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20,773</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14,166</w:t>
            </w: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11,586</w:t>
            </w: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13,540</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39,469</w:t>
            </w: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2"/>
        </w:trPr>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9"/>
          </w:tcPr>
          <w:p>
            <w:pPr>
              <w:jc w:val="right"/>
              <w:spacing w:after="0"/>
              <w:rPr>
                <w:sz w:val="20"/>
                <w:szCs w:val="20"/>
                <w:color w:val="auto"/>
              </w:rPr>
            </w:pPr>
            <w:r>
              <w:rPr>
                <w:rFonts w:ascii="Arial" w:cs="Arial" w:eastAsia="Arial" w:hAnsi="Arial"/>
                <w:sz w:val="14"/>
                <w:szCs w:val="14"/>
                <w:color w:val="auto"/>
              </w:rPr>
              <w:t>Amortized Cost Basis by Origination Year</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color w:val="auto"/>
                <w:w w:val="97"/>
              </w:rPr>
              <w:t>Revolving</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4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2023</w:t>
            </w:r>
          </w:p>
        </w:tc>
        <w:tc>
          <w:tcPr>
            <w:tcW w:w="98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jc w:val="right"/>
              <w:ind w:right="2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ind w:right="208"/>
              <w:spacing w:after="0"/>
              <w:rPr>
                <w:sz w:val="20"/>
                <w:szCs w:val="20"/>
                <w:color w:val="auto"/>
              </w:rPr>
            </w:pPr>
            <w:r>
              <w:rPr>
                <w:rFonts w:ascii="Arial" w:cs="Arial" w:eastAsia="Arial" w:hAnsi="Arial"/>
                <w:sz w:val="14"/>
                <w:szCs w:val="14"/>
                <w:color w:val="auto"/>
              </w:rPr>
              <w:t>Prior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08"/>
              <w:spacing w:after="0" w:line="141" w:lineRule="exact"/>
              <w:rPr>
                <w:sz w:val="20"/>
                <w:szCs w:val="20"/>
                <w:color w:val="auto"/>
              </w:rPr>
            </w:pPr>
            <w:r>
              <w:rPr>
                <w:rFonts w:ascii="Arial" w:cs="Arial" w:eastAsia="Arial" w:hAnsi="Arial"/>
                <w:sz w:val="14"/>
                <w:szCs w:val="14"/>
                <w:color w:val="auto"/>
              </w:rPr>
              <w:t>Revolving</w:t>
            </w:r>
          </w:p>
        </w:tc>
        <w:tc>
          <w:tcPr>
            <w:tcW w:w="12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2"/>
              </w:rPr>
              <w:t>Converted to</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4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Loans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1"/>
              </w:rPr>
              <w:t>Term</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Unsecured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3,816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23,208</w:t>
            </w:r>
          </w:p>
        </w:tc>
        <w:tc>
          <w:tcPr>
            <w:tcW w:w="0" w:type="dxa"/>
            <w:vAlign w:val="bottom"/>
          </w:tcPr>
          <w:p>
            <w:pPr>
              <w:spacing w:after="0"/>
              <w:rPr>
                <w:sz w:val="1"/>
                <w:szCs w:val="1"/>
                <w:color w:val="auto"/>
              </w:rPr>
            </w:pPr>
          </w:p>
        </w:tc>
      </w:tr>
      <w:tr>
        <w:trPr>
          <w:trHeight w:val="182"/>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460" w:type="dxa"/>
            <w:vAlign w:val="bottom"/>
            <w:gridSpan w:val="2"/>
          </w:tcPr>
          <w:p>
            <w:pPr>
              <w:ind w:left="300"/>
              <w:spacing w:after="0"/>
              <w:rPr>
                <w:sz w:val="20"/>
                <w:szCs w:val="20"/>
                <w:color w:val="auto"/>
              </w:rPr>
            </w:pPr>
            <w:r>
              <w:rPr>
                <w:rFonts w:ascii="Arial" w:cs="Arial" w:eastAsia="Arial" w:hAnsi="Arial"/>
                <w:sz w:val="14"/>
                <w:szCs w:val="14"/>
                <w:color w:val="auto"/>
              </w:rPr>
              <w:t>Doubtful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3,816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6,381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23,208</w:t>
            </w:r>
          </w:p>
        </w:tc>
        <w:tc>
          <w:tcPr>
            <w:tcW w:w="0" w:type="dxa"/>
            <w:vAlign w:val="bottom"/>
          </w:tcPr>
          <w:p>
            <w:pPr>
              <w:spacing w:after="0"/>
              <w:rPr>
                <w:sz w:val="1"/>
                <w:szCs w:val="1"/>
                <w:color w:val="auto"/>
              </w:rPr>
            </w:pPr>
          </w:p>
        </w:tc>
      </w:tr>
      <w:tr>
        <w:trPr>
          <w:trHeight w:val="186"/>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Consumer and other</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31,772</w:t>
            </w:r>
          </w:p>
        </w:tc>
        <w:tc>
          <w:tcPr>
            <w:tcW w:w="0" w:type="dxa"/>
            <w:vAlign w:val="bottom"/>
          </w:tcPr>
          <w:p>
            <w:pPr>
              <w:spacing w:after="0"/>
              <w:rPr>
                <w:sz w:val="1"/>
                <w:szCs w:val="1"/>
                <w:color w:val="auto"/>
              </w:rPr>
            </w:pPr>
          </w:p>
        </w:tc>
      </w:tr>
      <w:tr>
        <w:trPr>
          <w:trHeight w:val="182"/>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7"/>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Doubtful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13,915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31,794</w:t>
            </w:r>
          </w:p>
        </w:tc>
        <w:tc>
          <w:tcPr>
            <w:tcW w:w="0" w:type="dxa"/>
            <w:vAlign w:val="bottom"/>
          </w:tcPr>
          <w:p>
            <w:pPr>
              <w:spacing w:after="0"/>
              <w:rPr>
                <w:sz w:val="1"/>
                <w:szCs w:val="1"/>
                <w:color w:val="auto"/>
              </w:rPr>
            </w:pPr>
          </w:p>
        </w:tc>
      </w:tr>
      <w:tr>
        <w:trPr>
          <w:trHeight w:val="186"/>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Pass</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195,368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1,103,506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825,728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284,312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158,071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287,908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48,021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2,903,014</w:t>
            </w:r>
          </w:p>
        </w:tc>
        <w:tc>
          <w:tcPr>
            <w:tcW w:w="0" w:type="dxa"/>
            <w:vAlign w:val="bottom"/>
          </w:tcPr>
          <w:p>
            <w:pPr>
              <w:spacing w:after="0"/>
              <w:rPr>
                <w:sz w:val="1"/>
                <w:szCs w:val="1"/>
                <w:color w:val="auto"/>
              </w:rPr>
            </w:pPr>
          </w:p>
        </w:tc>
      </w:tr>
      <w:tr>
        <w:trPr>
          <w:trHeight w:val="182"/>
        </w:trPr>
        <w:tc>
          <w:tcPr>
            <w:tcW w:w="2460" w:type="dxa"/>
            <w:vAlign w:val="bottom"/>
            <w:gridSpan w:val="2"/>
          </w:tcPr>
          <w:p>
            <w:pPr>
              <w:ind w:left="180"/>
              <w:spacing w:after="0"/>
              <w:rPr>
                <w:sz w:val="20"/>
                <w:szCs w:val="20"/>
                <w:color w:val="auto"/>
              </w:rPr>
            </w:pPr>
            <w:r>
              <w:rPr>
                <w:rFonts w:ascii="Arial" w:cs="Arial" w:eastAsia="Arial" w:hAnsi="Arial"/>
                <w:sz w:val="14"/>
                <w:szCs w:val="14"/>
                <w:color w:val="auto"/>
              </w:rPr>
              <w:t>Watch</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2,490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12,426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24,086</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Doubtful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195,368</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1,106,018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825,736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291,418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158,788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300,570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49,413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2,927,411</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age analysis of past due loans by class as of June 30, 2023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Past Due</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w w:val="89"/>
              </w:rPr>
              <w:t>30-59 Days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ind w:left="20"/>
              <w:spacing w:after="0"/>
              <w:rPr>
                <w:sz w:val="20"/>
                <w:szCs w:val="20"/>
                <w:color w:val="auto"/>
              </w:rPr>
            </w:pPr>
            <w:r>
              <w:rPr>
                <w:rFonts w:ascii="Arial" w:cs="Arial" w:eastAsia="Arial" w:hAnsi="Arial"/>
                <w:sz w:val="18"/>
                <w:szCs w:val="18"/>
                <w:color w:val="auto"/>
              </w:rPr>
              <w:t>60-89 Days</w:t>
            </w:r>
          </w:p>
        </w:tc>
        <w:tc>
          <w:tcPr>
            <w:tcW w:w="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7"/>
              </w:rPr>
              <w:t>Greater Than</w:t>
            </w:r>
          </w:p>
        </w:tc>
        <w:tc>
          <w:tcPr>
            <w:tcW w:w="100" w:type="dxa"/>
            <w:vAlign w:val="bottom"/>
          </w:tcPr>
          <w:p>
            <w:pPr>
              <w:spacing w:after="0"/>
              <w:rPr>
                <w:sz w:val="24"/>
                <w:szCs w:val="2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color w:val="auto"/>
                <w:w w:val="88"/>
              </w:rPr>
              <w:t>Total Past Due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vMerge w:val="restart"/>
          </w:tcPr>
          <w:p>
            <w:pPr>
              <w:jc w:val="right"/>
              <w:ind w:right="31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5"/>
              </w:rPr>
              <w:t>Total Loans</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90 Days</w:t>
            </w:r>
          </w:p>
        </w:tc>
        <w:tc>
          <w:tcPr>
            <w:tcW w:w="10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Receivable</w:t>
            </w:r>
          </w:p>
        </w:tc>
        <w:tc>
          <w:tcPr>
            <w:tcW w:w="0" w:type="dxa"/>
            <w:vAlign w:val="bottom"/>
          </w:tcPr>
          <w:p>
            <w:pPr>
              <w:spacing w:after="0"/>
              <w:rPr>
                <w:sz w:val="1"/>
                <w:szCs w:val="1"/>
                <w:color w:val="auto"/>
              </w:rPr>
            </w:pPr>
          </w:p>
        </w:tc>
      </w:tr>
      <w:tr>
        <w:trPr>
          <w:trHeight w:val="236"/>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2,510,063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2,510,063</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15,159</w:t>
            </w:r>
          </w:p>
        </w:tc>
        <w:tc>
          <w:tcPr>
            <w:tcW w:w="0" w:type="dxa"/>
            <w:vAlign w:val="bottom"/>
          </w:tcPr>
          <w:p>
            <w:pPr>
              <w:spacing w:after="0"/>
              <w:rPr>
                <w:sz w:val="1"/>
                <w:szCs w:val="1"/>
                <w:color w:val="auto"/>
              </w:rPr>
            </w:pPr>
          </w:p>
        </w:tc>
      </w:tr>
      <w:tr>
        <w:trPr>
          <w:trHeight w:val="237"/>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100,056</w:t>
            </w:r>
          </w:p>
        </w:tc>
        <w:tc>
          <w:tcPr>
            <w:tcW w:w="0" w:type="dxa"/>
            <w:vAlign w:val="bottom"/>
          </w:tcPr>
          <w:p>
            <w:pPr>
              <w:spacing w:after="0"/>
              <w:rPr>
                <w:sz w:val="1"/>
                <w:szCs w:val="1"/>
                <w:color w:val="auto"/>
              </w:rPr>
            </w:pPr>
          </w:p>
        </w:tc>
      </w:tr>
      <w:tr>
        <w:trPr>
          <w:trHeight w:val="236"/>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0" w:type="dxa"/>
            <w:vAlign w:val="bottom"/>
          </w:tcPr>
          <w:p>
            <w:pPr>
              <w:spacing w:after="0"/>
              <w:rPr>
                <w:sz w:val="1"/>
                <w:szCs w:val="1"/>
                <w:color w:val="auto"/>
              </w:rPr>
            </w:pPr>
          </w:p>
        </w:tc>
      </w:tr>
      <w:tr>
        <w:trPr>
          <w:trHeight w:val="229"/>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22,531</w:t>
            </w:r>
          </w:p>
        </w:tc>
        <w:tc>
          <w:tcPr>
            <w:tcW w:w="0" w:type="dxa"/>
            <w:vAlign w:val="bottom"/>
          </w:tcPr>
          <w:p>
            <w:pPr>
              <w:spacing w:after="0"/>
              <w:rPr>
                <w:sz w:val="1"/>
                <w:szCs w:val="1"/>
                <w:color w:val="auto"/>
              </w:rPr>
            </w:pPr>
          </w:p>
        </w:tc>
      </w:tr>
      <w:tr>
        <w:trPr>
          <w:trHeight w:val="243"/>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51,321</w:t>
            </w:r>
          </w:p>
        </w:tc>
        <w:tc>
          <w:tcPr>
            <w:tcW w:w="0" w:type="dxa"/>
            <w:vAlign w:val="bottom"/>
          </w:tcPr>
          <w:p>
            <w:pPr>
              <w:spacing w:after="0"/>
              <w:rPr>
                <w:sz w:val="1"/>
                <w:szCs w:val="1"/>
                <w:color w:val="auto"/>
              </w:rPr>
            </w:pPr>
          </w:p>
        </w:tc>
      </w:tr>
      <w:tr>
        <w:trPr>
          <w:trHeight w:val="229"/>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159,390</w:t>
            </w:r>
          </w:p>
        </w:tc>
        <w:tc>
          <w:tcPr>
            <w:tcW w:w="0" w:type="dxa"/>
            <w:vAlign w:val="bottom"/>
          </w:tcPr>
          <w:p>
            <w:pPr>
              <w:spacing w:after="0"/>
              <w:rPr>
                <w:sz w:val="1"/>
                <w:szCs w:val="1"/>
                <w:color w:val="auto"/>
              </w:rPr>
            </w:pPr>
          </w:p>
        </w:tc>
      </w:tr>
      <w:tr>
        <w:trPr>
          <w:trHeight w:val="237"/>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23,208</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0" w:type="dxa"/>
            <w:vAlign w:val="bottom"/>
          </w:tcPr>
          <w:p>
            <w:pPr>
              <w:spacing w:after="0"/>
              <w:rPr>
                <w:sz w:val="1"/>
                <w:szCs w:val="1"/>
                <w:color w:val="auto"/>
              </w:rPr>
            </w:pPr>
          </w:p>
        </w:tc>
      </w:tr>
      <w:tr>
        <w:trPr>
          <w:trHeight w:val="223"/>
        </w:trPr>
        <w:tc>
          <w:tcPr>
            <w:tcW w:w="36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2,927,126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2,927,411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greater than 90 days past due and still accruing as of June 30,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age analysis of past due loans by class as of December 31, 2022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Past Due</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5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w w:val="89"/>
              </w:rPr>
              <w:t>30-59 Days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w w:val="91"/>
              </w:rPr>
              <w:t>60-89 Days</w:t>
            </w:r>
          </w:p>
        </w:tc>
        <w:tc>
          <w:tcPr>
            <w:tcW w:w="1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5"/>
              </w:rPr>
              <w:t>Greater Than</w:t>
            </w:r>
          </w:p>
        </w:tc>
        <w:tc>
          <w:tcPr>
            <w:tcW w:w="100" w:type="dxa"/>
            <w:vAlign w:val="bottom"/>
          </w:tcPr>
          <w:p>
            <w:pPr>
              <w:spacing w:after="0"/>
              <w:rPr>
                <w:sz w:val="24"/>
                <w:szCs w:val="2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color w:val="auto"/>
                <w:w w:val="88"/>
              </w:rPr>
              <w:t>Total Past Due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vMerge w:val="restart"/>
          </w:tcPr>
          <w:p>
            <w:pPr>
              <w:jc w:val="right"/>
              <w:ind w:right="31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w w:val="95"/>
              </w:rPr>
              <w:t>Total Loans</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90 Days</w:t>
            </w:r>
          </w:p>
        </w:tc>
        <w:tc>
          <w:tcPr>
            <w:tcW w:w="100" w:type="dxa"/>
            <w:vAlign w:val="bottom"/>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Receivable</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2,392,053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2,392,053</w:t>
            </w:r>
          </w:p>
        </w:tc>
        <w:tc>
          <w:tcPr>
            <w:tcW w:w="0" w:type="dxa"/>
            <w:vAlign w:val="bottom"/>
          </w:tcPr>
          <w:p>
            <w:pPr>
              <w:spacing w:after="0"/>
              <w:rPr>
                <w:sz w:val="1"/>
                <w:szCs w:val="1"/>
                <w:color w:val="auto"/>
              </w:rPr>
            </w:pPr>
          </w:p>
        </w:tc>
      </w:tr>
      <w:tr>
        <w:trPr>
          <w:trHeight w:val="236"/>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0" w:type="dxa"/>
            <w:vAlign w:val="bottom"/>
          </w:tcPr>
          <w:p>
            <w:pPr>
              <w:spacing w:after="0"/>
              <w:rPr>
                <w:sz w:val="1"/>
                <w:szCs w:val="1"/>
                <w:color w:val="auto"/>
              </w:rPr>
            </w:pP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88,314</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30"/>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24,263</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52,446</w:t>
            </w:r>
          </w:p>
        </w:tc>
        <w:tc>
          <w:tcPr>
            <w:tcW w:w="0" w:type="dxa"/>
            <w:vAlign w:val="bottom"/>
          </w:tcPr>
          <w:p>
            <w:pPr>
              <w:spacing w:after="0"/>
              <w:rPr>
                <w:sz w:val="1"/>
                <w:szCs w:val="1"/>
                <w:color w:val="auto"/>
              </w:rPr>
            </w:pPr>
          </w:p>
        </w:tc>
      </w:tr>
      <w:tr>
        <w:trPr>
          <w:trHeight w:val="237"/>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165,609</w:t>
            </w:r>
          </w:p>
        </w:tc>
        <w:tc>
          <w:tcPr>
            <w:tcW w:w="0" w:type="dxa"/>
            <w:vAlign w:val="bottom"/>
          </w:tcPr>
          <w:p>
            <w:pPr>
              <w:spacing w:after="0"/>
              <w:rPr>
                <w:sz w:val="1"/>
                <w:szCs w:val="1"/>
                <w:color w:val="auto"/>
              </w:rPr>
            </w:pPr>
          </w:p>
        </w:tc>
      </w:tr>
      <w:tr>
        <w:trPr>
          <w:trHeight w:val="229"/>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Unsecured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25,488</w:t>
            </w:r>
          </w:p>
        </w:tc>
        <w:tc>
          <w:tcPr>
            <w:tcW w:w="0" w:type="dxa"/>
            <w:vAlign w:val="bottom"/>
          </w:tcPr>
          <w:p>
            <w:pPr>
              <w:spacing w:after="0"/>
              <w:rPr>
                <w:sz w:val="1"/>
                <w:szCs w:val="1"/>
                <w:color w:val="auto"/>
              </w:rPr>
            </w:pPr>
          </w:p>
        </w:tc>
      </w:tr>
      <w:tr>
        <w:trPr>
          <w:trHeight w:val="243"/>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29,013</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2,790,957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2,791,326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loans greater than 90 days past due and still accruing as of December 31,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collateral dependent loan was in process of foreclosure at June 30, 2023: a commercial term loan secured by a single family residence with an unpaid principal balance of $175.0 thousand and no related allowance.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color w:val="auto"/>
                <w:w w:val="98"/>
              </w:rPr>
              <w:t>Non-accrual loans, segregated by class, were as follows as of June 30, 2023 and December 31, 2022:</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June 30,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29"/>
        </w:trPr>
        <w:tc>
          <w:tcPr>
            <w:tcW w:w="8060" w:type="dxa"/>
            <w:vAlign w:val="bottom"/>
            <w:vMerge w:val="continue"/>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8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80" w:type="dxa"/>
            <w:vAlign w:val="bottom"/>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1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8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8060" w:type="dxa"/>
            <w:vAlign w:val="bottom"/>
          </w:tcPr>
          <w:p>
            <w:pPr>
              <w:ind w:left="400"/>
              <w:spacing w:after="0"/>
              <w:rPr>
                <w:sz w:val="20"/>
                <w:szCs w:val="20"/>
                <w:color w:val="auto"/>
              </w:rPr>
            </w:pPr>
            <w:r>
              <w:rPr>
                <w:rFonts w:ascii="Arial" w:cs="Arial" w:eastAsia="Arial" w:hAnsi="Arial"/>
                <w:sz w:val="18"/>
                <w:szCs w:val="18"/>
                <w:color w:val="auto"/>
              </w:rPr>
              <w:t>Total non-accrual loans</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interest income was recognized on non-accrual loans in the three and six months ended June 30, 2023 or June 30, 2022. Non-accrual real estate loans did not have an allowance for credit losses as of June 30, 2023. Interest income can be recognized on non-accrual loans in cases where resolution occurs through a sale or full payment is received on the non-accrual loan.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amount of foregone interest income related to non-accrual loans was $26.1 thousand and $35.3 thousand for the three and six months ended June 30, 2023, respectively, compared to $6.9 thousand and $25.1 thousand for the three and six months ended June 30, 2022,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i w:val="1"/>
                <w:iCs w:val="1"/>
                <w:color w:val="auto"/>
              </w:rPr>
              <w:t>Allowance for Credit Losses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200" w:type="dxa"/>
            <w:vAlign w:val="bottom"/>
            <w:gridSpan w:val="11"/>
          </w:tcPr>
          <w:p>
            <w:pPr>
              <w:spacing w:after="0"/>
              <w:rPr>
                <w:sz w:val="20"/>
                <w:szCs w:val="20"/>
                <w:color w:val="auto"/>
              </w:rPr>
            </w:pPr>
            <w:r>
              <w:rPr>
                <w:rFonts w:ascii="Arial" w:cs="Arial" w:eastAsia="Arial" w:hAnsi="Arial"/>
                <w:sz w:val="18"/>
                <w:szCs w:val="18"/>
                <w:color w:val="auto"/>
                <w:w w:val="90"/>
              </w:rPr>
              <w:t>The following table discloses activity in the allowance for credit losses for the three months ended June 30, 2023.</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2"/>
        </w:trPr>
        <w:tc>
          <w:tcPr>
            <w:tcW w:w="35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w w:val="91"/>
              </w:rPr>
              <w:t>Beginning Balance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w w:val="97"/>
              </w:rPr>
              <w:t>Charge-offs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Recoveries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6"/>
              </w:rPr>
              <w:t>Provision (Benefit)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w w:val="90"/>
              </w:rPr>
              <w:t>Ending Balance</w:t>
            </w:r>
          </w:p>
        </w:tc>
      </w:tr>
      <w:tr>
        <w:trPr>
          <w:trHeight w:val="237"/>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27,553</w:t>
            </w: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3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2"/>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33,984</w:t>
            </w:r>
          </w:p>
        </w:tc>
      </w:tr>
      <w:tr>
        <w:trPr>
          <w:trHeight w:val="21"/>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credit losses for the three months ended June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Beginning Balance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5"/>
              </w:rPr>
              <w:t>Charge-offs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Recoveries</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Provision (Benefit)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Ending Balance</w:t>
            </w: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13,868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16,621</w:t>
            </w: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350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25,786</w:t>
            </w: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892"/>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73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1"/>
        </w:trPr>
        <w:tc>
          <w:tcPr>
            <w:tcW w:w="3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discloses activity in the allowance for credit losses for the six months ended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color w:val="auto"/>
                <w:w w:val="97"/>
              </w:rPr>
              <w:t>Beginning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color w:val="auto"/>
                <w:w w:val="96"/>
              </w:rPr>
              <w:t>Effect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Provision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Ending</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96"/>
              </w:rPr>
              <w:t>Adoption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Balance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ASC 326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Charge-offs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Recoveries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Balance</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19,216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27,553</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activity in the allowance for credit losses for the six months ended June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Beginning Balance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5"/>
              </w:rPr>
              <w:t>Charge-offs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Recoveries</w:t>
            </w:r>
          </w:p>
        </w:tc>
        <w:tc>
          <w:tcPr>
            <w:tcW w:w="100" w:type="dxa"/>
            <w:vAlign w:val="bottom"/>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Provision (Benefit)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Ending Balance</w:t>
            </w:r>
          </w:p>
        </w:tc>
      </w:tr>
      <w:tr>
        <w:trPr>
          <w:trHeight w:val="23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12,869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16,621</w:t>
            </w:r>
          </w:p>
        </w:tc>
      </w:tr>
      <w:tr>
        <w:trPr>
          <w:trHeight w:val="229"/>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PPP</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25,786</w:t>
            </w: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892"/>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73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Unfunded Loan Commitment Reserves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 Prior to adoption of ASC 326, provisions for unfunded loan commitments were included in “Other operating expenses” in the unaudited consolidated statements of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Six months ended</w:t>
            </w:r>
          </w:p>
        </w:tc>
      </w:tr>
      <w:tr>
        <w:trPr>
          <w:trHeight w:val="182"/>
        </w:trPr>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June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50"/>
              <w:spacing w:after="0" w:line="182" w:lineRule="exact"/>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50"/>
              <w:spacing w:after="0" w:line="182" w:lineRule="exact"/>
              <w:rPr>
                <w:sz w:val="20"/>
                <w:szCs w:val="20"/>
                <w:color w:val="auto"/>
              </w:rPr>
            </w:pPr>
            <w:r>
              <w:rPr>
                <w:rFonts w:ascii="Arial" w:cs="Arial" w:eastAsia="Arial" w:hAnsi="Arial"/>
                <w:sz w:val="18"/>
                <w:szCs w:val="18"/>
                <w:color w:val="auto"/>
              </w:rPr>
              <w:t>June 30,</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Effect of adoption of ASC 326</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Balance at end of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1,547</w:t>
            </w:r>
          </w:p>
        </w:tc>
        <w:tc>
          <w:tcPr>
            <w:tcW w:w="11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
        </w:trPr>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Pledged Loans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FHLB line of credit is secured under terms of a collateral agreement by a pledge of certain qualifying loans with unpaid principal balances of $1.7 billion and $1.6 billion at June 30, 2023 and December 31, 2022, respectively. In addition, the Company pledges eligible tenants in common loans, which totaled $42.0 million and $41.9 million at June 30, 2023 and December 31, 2022, respectively, to secure its borrowing capacity with the Federal Reserve Bank of San Francisco. See Note 6, Long Term Debt and Other Borrowings, for further discussion of these borrowings.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Note 5: Interest-Bearing Deposits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color w:val="auto"/>
              </w:rPr>
              <w:t>Interest-bearing deposits consisted of the following as of June 30, 2023 and December 31, 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1"/>
        </w:trPr>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December 31,</w:t>
            </w:r>
          </w:p>
        </w:tc>
      </w:tr>
      <w:tr>
        <w:trPr>
          <w:trHeight w:val="23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240,131</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Savings accounts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132,797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154,581</w:t>
            </w: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1,377,250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1,073,532</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Time accounts, more than $250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198,159</w:t>
            </w: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time accounts</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144,355</w:t>
            </w:r>
          </w:p>
        </w:tc>
      </w:tr>
      <w:tr>
        <w:trPr>
          <w:trHeight w:val="223"/>
        </w:trPr>
        <w:tc>
          <w:tcPr>
            <w:tcW w:w="8060" w:type="dxa"/>
            <w:vAlign w:val="bottom"/>
          </w:tcPr>
          <w:p>
            <w:pPr>
              <w:ind w:left="180"/>
              <w:spacing w:after="0"/>
              <w:rPr>
                <w:sz w:val="20"/>
                <w:szCs w:val="20"/>
                <w:color w:val="auto"/>
              </w:rPr>
            </w:pPr>
            <w:r>
              <w:rPr>
                <w:rFonts w:ascii="Arial" w:cs="Arial" w:eastAsia="Arial" w:hAnsi="Arial"/>
                <w:sz w:val="18"/>
                <w:szCs w:val="18"/>
                <w:color w:val="auto"/>
              </w:rPr>
              <w:t>Total interest-bearing deposits</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2,096,032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1,810,758</w:t>
            </w: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deposits totaled $377.9 million and $342.5 million as of June 30, 2023 and December 31, 2022, respectively. As of June 30, 2023, scheduled maturities of time deposits for the next five years were as follows: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Borders>
              <w:top w:val="single" w:sz="8" w:color="auto"/>
            </w:tcBorders>
            <w:shd w:val="clear" w:color="auto" w:fill="CCEEFF"/>
          </w:tcPr>
          <w:p>
            <w:pPr>
              <w:jc w:val="right"/>
              <w:ind w:right="3070"/>
              <w:spacing w:after="0"/>
              <w:rPr>
                <w:sz w:val="20"/>
                <w:szCs w:val="20"/>
                <w:color w:val="auto"/>
              </w:rPr>
            </w:pPr>
            <w:r>
              <w:rPr>
                <w:rFonts w:ascii="Arial" w:cs="Arial" w:eastAsia="Arial" w:hAnsi="Arial"/>
                <w:sz w:val="18"/>
                <w:szCs w:val="18"/>
                <w:color w:val="auto"/>
                <w:w w:val="89"/>
              </w:rPr>
              <w:t>2023</w:t>
            </w:r>
          </w:p>
        </w:tc>
        <w:tc>
          <w:tcPr>
            <w:tcW w:w="6680" w:type="dxa"/>
            <w:vAlign w:val="bottom"/>
            <w:tcBorders>
              <w:top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w:t>
            </w:r>
          </w:p>
        </w:tc>
        <w:tc>
          <w:tcPr>
            <w:tcW w:w="0" w:type="dxa"/>
            <w:vAlign w:val="bottom"/>
          </w:tcPr>
          <w:p>
            <w:pPr>
              <w:spacing w:after="0"/>
              <w:rPr>
                <w:sz w:val="1"/>
                <w:szCs w:val="1"/>
                <w:color w:val="auto"/>
              </w:rPr>
            </w:pPr>
          </w:p>
        </w:tc>
      </w:tr>
      <w:tr>
        <w:trPr>
          <w:trHeight w:val="237"/>
        </w:trPr>
        <w:tc>
          <w:tcPr>
            <w:tcW w:w="3540" w:type="dxa"/>
            <w:vAlign w:val="bottom"/>
          </w:tcPr>
          <w:p>
            <w:pPr>
              <w:jc w:val="right"/>
              <w:ind w:right="3070"/>
              <w:spacing w:after="0"/>
              <w:rPr>
                <w:sz w:val="20"/>
                <w:szCs w:val="20"/>
                <w:color w:val="auto"/>
              </w:rPr>
            </w:pPr>
            <w:r>
              <w:rPr>
                <w:rFonts w:ascii="Arial" w:cs="Arial" w:eastAsia="Arial" w:hAnsi="Arial"/>
                <w:sz w:val="18"/>
                <w:szCs w:val="18"/>
                <w:color w:val="auto"/>
                <w:w w:val="89"/>
              </w:rPr>
              <w:t>2024</w:t>
            </w:r>
          </w:p>
        </w:tc>
        <w:tc>
          <w:tcPr>
            <w:tcW w:w="6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55,928</w:t>
            </w:r>
          </w:p>
        </w:tc>
        <w:tc>
          <w:tcPr>
            <w:tcW w:w="0" w:type="dxa"/>
            <w:vAlign w:val="bottom"/>
          </w:tcPr>
          <w:p>
            <w:pPr>
              <w:spacing w:after="0"/>
              <w:rPr>
                <w:sz w:val="1"/>
                <w:szCs w:val="1"/>
                <w:color w:val="auto"/>
              </w:rPr>
            </w:pPr>
          </w:p>
        </w:tc>
      </w:tr>
      <w:tr>
        <w:trPr>
          <w:trHeight w:val="236"/>
        </w:trPr>
        <w:tc>
          <w:tcPr>
            <w:tcW w:w="354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w w:val="89"/>
              </w:rPr>
              <w:t>2025</w:t>
            </w:r>
          </w:p>
        </w:tc>
        <w:tc>
          <w:tcPr>
            <w:tcW w:w="6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30"/>
        </w:trPr>
        <w:tc>
          <w:tcPr>
            <w:tcW w:w="3540" w:type="dxa"/>
            <w:vAlign w:val="bottom"/>
          </w:tcPr>
          <w:p>
            <w:pPr>
              <w:jc w:val="right"/>
              <w:ind w:right="3070"/>
              <w:spacing w:after="0"/>
              <w:rPr>
                <w:sz w:val="20"/>
                <w:szCs w:val="20"/>
                <w:color w:val="auto"/>
              </w:rPr>
            </w:pPr>
            <w:r>
              <w:rPr>
                <w:rFonts w:ascii="Arial" w:cs="Arial" w:eastAsia="Arial" w:hAnsi="Arial"/>
                <w:sz w:val="18"/>
                <w:szCs w:val="18"/>
                <w:color w:val="auto"/>
                <w:w w:val="89"/>
              </w:rPr>
              <w:t>2026</w:t>
            </w:r>
          </w:p>
        </w:tc>
        <w:tc>
          <w:tcPr>
            <w:tcW w:w="6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w w:val="89"/>
              </w:rPr>
              <w:t>2027</w:t>
            </w:r>
          </w:p>
        </w:tc>
        <w:tc>
          <w:tcPr>
            <w:tcW w:w="62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jc w:val="right"/>
              <w:ind w:right="1890"/>
              <w:spacing w:after="0"/>
              <w:rPr>
                <w:sz w:val="20"/>
                <w:szCs w:val="20"/>
                <w:color w:val="auto"/>
              </w:rPr>
            </w:pPr>
            <w:r>
              <w:rPr>
                <w:rFonts w:ascii="Arial" w:cs="Arial" w:eastAsia="Arial" w:hAnsi="Arial"/>
                <w:sz w:val="18"/>
                <w:szCs w:val="18"/>
                <w:color w:val="auto"/>
              </w:rPr>
              <w:t>Total time deposits</w:t>
            </w:r>
          </w:p>
        </w:tc>
        <w:tc>
          <w:tcPr>
            <w:tcW w:w="62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377,900</w:t>
            </w: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6220" w:type="dxa"/>
            <w:vAlign w:val="bottom"/>
            <w:vMerge w:val="restart"/>
          </w:tcPr>
          <w:p>
            <w:pPr>
              <w:jc w:val="right"/>
              <w:ind w:right="3975"/>
              <w:spacing w:after="0"/>
              <w:rPr>
                <w:sz w:val="20"/>
                <w:szCs w:val="20"/>
                <w:color w:val="auto"/>
              </w:rPr>
            </w:pPr>
            <w:r>
              <w:rPr>
                <w:rFonts w:ascii="Arial" w:cs="Arial" w:eastAsia="Arial" w:hAnsi="Arial"/>
                <w:sz w:val="16"/>
                <w:szCs w:val="16"/>
                <w:color w:val="auto"/>
              </w:rPr>
              <w:t>26</w:t>
            </w: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5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9A9A9A"/>
            </w:tcBorders>
          </w:tcPr>
          <w:p>
            <w:pPr>
              <w:spacing w:after="0"/>
              <w:rPr>
                <w:sz w:val="10"/>
                <w:szCs w:val="10"/>
                <w:color w:val="auto"/>
              </w:rPr>
            </w:pPr>
          </w:p>
        </w:tc>
        <w:tc>
          <w:tcPr>
            <w:tcW w:w="6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and interest checking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June 30, 2023 and December 31, 2022. The composition of network deposits as of June 30, 2023 and December 31, 2022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CDARS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ICS</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568,426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272,719</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network deposits</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285,967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recognized on interest-bearing deposits for periods ended June 30, 2023 and 2022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75"/>
        </w:trPr>
        <w:tc>
          <w:tcPr>
            <w:tcW w:w="48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350"/>
              <w:spacing w:after="0" w:line="176" w:lineRule="exact"/>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Savings accounts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37"/>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Time accounts, $250 or more</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time accounts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Total interest expense on interest-bearing deposits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 Term Debt and Other Borrowings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Subordinated notes</w:t>
      </w:r>
      <w:r>
        <w:rPr>
          <w:rFonts w:ascii="Arial" w:cs="Arial" w:eastAsia="Arial" w:hAnsi="Arial"/>
          <w:sz w:val="17"/>
          <w:szCs w:val="17"/>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(8.59% as of June 30, 2023)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$0.1 million has been amortized as of June 30, 2023. The Company reflects debt issuance costs as a direct deduction from the face of the note. The debt issuance costs are amortized into interest expense through the maturity period. At June 30, 2023 and December 31, 2022, the Company’s subordinated debt outstanding was $73.7 million and $73.6 million, respectively.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Other borrowings</w:t>
      </w:r>
      <w:r>
        <w:rPr>
          <w:rFonts w:ascii="Arial" w:cs="Arial" w:eastAsia="Arial" w:hAnsi="Arial"/>
          <w:sz w:val="17"/>
          <w:szCs w:val="17"/>
          <w:color w:val="auto"/>
        </w:rPr>
        <w:t>: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$1.0 billion at June 30, 2023 and $1.0 billion at December 31, 2022. At June 30, 2023 and December 31, 2022, the Company had $100.0 million and $100.0 million of outstanding borrowings, respectively. As of June 30, 2023 and December 31, 2022, the Company had letters of credit (“LCs”) issued on its behalf totaling $606.5 million and $686.5 million, respectively, as discussed below.</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2023 and December 31, 2022, LCs totaling $186.5 million and $206.5 million, respectively, were pledged to secure State of California deposits, and LCs totaling $420.0 million and $480.0 million, respectively, were pledged to secure local agency deposits. The LCs issued reduced the Company’s available borrowing capacity to $342.6 million and $216.3 million as of June 30, 2023 and December 31, 2022, respectively.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Company had five unsecured federal funds lines of credit with its correspondent banks totaling $175.0 million. At December 31, 2022, the Company had seven unsecured federal funds lines of credit with its correspondent banks totaling $190.0 million. There were no amounts outstanding at June 30, 2023 and December 31, 2022.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2023 and December 31, 2022, the Company had the ability to borrow from the Federal Reserve Discount Window. At June 30, 2023 and December 31, 2022, the borrowing capacity under this arrangement was $72.8 million and $21.9 million, respectively. There were no amounts outstanding at June 30, 2023 and December 31, 2022. The borrowing line is secured by liens on the Company’s construction and agricultural loan portfolios and certain available-for-sale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EPS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w:t>
      </w:r>
    </w:p>
    <w:p>
      <w:pPr>
        <w:sectPr>
          <w:pgSz w:w="11900" w:h="16902" w:orient="portrait"/>
          <w:cols w:equalWidth="0" w:num="1">
            <w:col w:w="11240"/>
          </w:cols>
          <w:pgMar w:left="320" w:top="1151" w:right="339" w:bottom="0" w:gutter="0" w:footer="0" w:header="0"/>
        </w:sectPr>
      </w:pPr>
    </w:p>
    <w:bookmarkStart w:id="29" w:name="page30"/>
    <w:bookmarkEnd w:id="29"/>
    <w:p>
      <w:pPr>
        <w:jc w:val="both"/>
        <w:spacing w:after="0" w:line="286" w:lineRule="auto"/>
        <w:rPr>
          <w:sz w:val="20"/>
          <w:szCs w:val="20"/>
          <w:color w:val="auto"/>
        </w:rPr>
      </w:pPr>
      <w:r>
        <w:rPr>
          <w:rFonts w:ascii="Arial" w:cs="Arial" w:eastAsia="Arial" w:hAnsi="Arial"/>
          <w:sz w:val="17"/>
          <w:szCs w:val="17"/>
          <w:color w:val="auto"/>
        </w:rPr>
        <w:t>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82"/>
        </w:trPr>
        <w:tc>
          <w:tcPr>
            <w:tcW w:w="4860" w:type="dxa"/>
            <w:vAlign w:val="bottom"/>
            <w:gridSpan w:val="2"/>
          </w:tcPr>
          <w:p>
            <w:pPr>
              <w:ind w:left="20"/>
              <w:spacing w:after="0" w:line="182" w:lineRule="exact"/>
              <w:rPr>
                <w:sz w:val="20"/>
                <w:szCs w:val="20"/>
                <w:color w:val="auto"/>
              </w:rPr>
            </w:pPr>
            <w:r>
              <w:rPr>
                <w:rFonts w:ascii="Arial" w:cs="Arial" w:eastAsia="Arial" w:hAnsi="Arial"/>
                <w:sz w:val="18"/>
                <w:szCs w:val="18"/>
                <w:i w:val="1"/>
                <w:iCs w:val="1"/>
                <w:color w:val="auto"/>
                <w:w w:val="99"/>
              </w:rPr>
              <w:t>(in thousands, except share count and earnings per common</w:t>
            </w:r>
          </w:p>
        </w:tc>
        <w:tc>
          <w:tcPr>
            <w:tcW w:w="300" w:type="dxa"/>
            <w:vAlign w:val="bottom"/>
          </w:tcPr>
          <w:p>
            <w:pPr>
              <w:spacing w:after="0"/>
              <w:rPr>
                <w:sz w:val="15"/>
                <w:szCs w:val="15"/>
                <w:color w:val="auto"/>
              </w:rPr>
            </w:pPr>
          </w:p>
        </w:tc>
        <w:tc>
          <w:tcPr>
            <w:tcW w:w="12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390"/>
              <w:spacing w:after="0" w:line="182" w:lineRule="exact"/>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370"/>
              <w:spacing w:after="0" w:line="182" w:lineRule="exact"/>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370"/>
              <w:spacing w:after="0" w:line="182" w:lineRule="exact"/>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Arial" w:cs="Arial" w:eastAsia="Arial" w:hAnsi="Arial"/>
                <w:sz w:val="18"/>
                <w:szCs w:val="18"/>
                <w:i w:val="1"/>
                <w:iCs w:val="1"/>
                <w:color w:val="auto"/>
              </w:rPr>
              <w:t>share)</w:t>
            </w:r>
          </w:p>
        </w:tc>
        <w:tc>
          <w:tcPr>
            <w:tcW w:w="3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19,815</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17,165,344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17,125,715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17,157,801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17,114,169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Add: Dilutive effects of assumed vesting of restricted stock</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42,872</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8"/>
              </w:rPr>
              <w:t>Total dilutive 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17,168,995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17,149,449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17,181,868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17,157,041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anti-dilutive shares at June 30, 2023 or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20, 2023, the board of directors declared a $0.20 per common share dividend, totaling $3.5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Stock-Based Incentive Arrangement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Incentive Plan is recognized over the service period, which is equal to the vesting period of the shares based on the fair value of the shares at issue date.</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executives and directors, which vest annually over three years and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Non-cash stock compensation expense recognized for the three months ended June 30, 2023 and 2022 was $0.2 million and $0.3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Non-cash stock compensation expense recognized for the six months ended June 30, 2023 and 2022 was $0.5 million and $0.6 million, respectively.</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30, 2023 and 2022, there were 82,324 and 107,824 unvested restricted shares, respectively. As of June 30, 2023, there was approximately $1.6 million of unrecognized compensation expense related to the 82,324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2.92 years as of June 30, 2023. The impact of tax benefits for dividends paid on unvested restricted stock on the Company’s unaudited consolidated statements of income for the three and six months ended June 30, 2023 and 2022 was immaterial.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restricted shares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88"/>
              </w:rPr>
              <w:t>For the three months ended 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w w:val="90"/>
              </w:rPr>
              <w:t>For the six months ended June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2023</w:t>
            </w:r>
          </w:p>
        </w:tc>
        <w:tc>
          <w:tcPr>
            <w:tcW w:w="92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2023</w:t>
            </w:r>
          </w:p>
        </w:tc>
        <w:tc>
          <w:tcPr>
            <w:tcW w:w="92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Average Grant</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Average Grant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Average Grant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Average Grant</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Date Fair</w:t>
            </w:r>
          </w:p>
        </w:tc>
        <w:tc>
          <w:tcPr>
            <w:tcW w:w="80" w:type="dxa"/>
            <w:vAlign w:val="bottom"/>
          </w:tcPr>
          <w:p>
            <w:pPr>
              <w:spacing w:after="0"/>
              <w:rPr>
                <w:sz w:val="15"/>
                <w:szCs w:val="15"/>
                <w:color w:val="auto"/>
              </w:rPr>
            </w:pPr>
          </w:p>
        </w:tc>
        <w:tc>
          <w:tcPr>
            <w:tcW w:w="100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Date Fair</w:t>
            </w:r>
          </w:p>
        </w:tc>
        <w:tc>
          <w:tcPr>
            <w:tcW w:w="1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9"/>
              </w:rPr>
              <w:t>Date Fair</w:t>
            </w:r>
          </w:p>
        </w:tc>
        <w:tc>
          <w:tcPr>
            <w:tcW w:w="10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1"/>
              </w:rPr>
              <w:t>Date Fair</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Beginning of the period</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108,363</w:t>
            </w:r>
          </w:p>
        </w:tc>
        <w:tc>
          <w:tcPr>
            <w:tcW w:w="38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138,856</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32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127,751</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w:t>
            </w:r>
          </w:p>
        </w:tc>
        <w:tc>
          <w:tcPr>
            <w:tcW w:w="940" w:type="dxa"/>
            <w:vAlign w:val="bottom"/>
            <w:vMerge w:val="continue"/>
            <w:shd w:val="clear" w:color="auto" w:fill="CCEEFF"/>
          </w:tcPr>
          <w:p>
            <w:pPr>
              <w:spacing w:after="0"/>
              <w:rPr>
                <w:sz w:val="21"/>
                <w:szCs w:val="21"/>
                <w:color w:val="auto"/>
              </w:rPr>
            </w:pPr>
          </w:p>
        </w:tc>
        <w:tc>
          <w:tcPr>
            <w:tcW w:w="380" w:type="dxa"/>
            <w:vAlign w:val="bottom"/>
            <w:gridSpan w:val="3"/>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140"/>
              <w:spacing w:after="0"/>
              <w:rPr>
                <w:sz w:val="20"/>
                <w:szCs w:val="20"/>
                <w:color w:val="auto"/>
              </w:rPr>
            </w:pPr>
            <w:r>
              <w:rPr>
                <w:rFonts w:ascii="Arial" w:cs="Arial" w:eastAsia="Arial" w:hAnsi="Arial"/>
                <w:sz w:val="18"/>
                <w:szCs w:val="18"/>
                <w:color w:val="auto"/>
              </w:rPr>
              <w:t>Shares 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23,639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vested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Shares forfeited</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26.95</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End of the period balance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82,324</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 Off-Balance Sheet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amounts of unfunded loan commitments and standby letters of credit not reflected in the unaudited consolidated balance sheets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lines of credit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147,021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Undisbursed construction loans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155,408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80,726</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Undisbursed commercial real estate loans</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Agricultural lines of credit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Undisbursed residential real estate loans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Undisbursed agricultural real estate loans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3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Arial" w:cs="Arial" w:eastAsia="Arial" w:hAnsi="Arial"/>
                <w:sz w:val="18"/>
                <w:szCs w:val="18"/>
                <w:color w:val="auto"/>
              </w:rPr>
              <w:t>Total commitments and standby letters of credit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450,316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329,148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$1.5 million as of June 30, 2023 and $0.1 million as of December 31, 2022, which is recorded in “Interest payable and other liabilities” in the unaudited consolidated balance sheets.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Concentrations of credit risk</w:t>
      </w:r>
      <w:r>
        <w:rPr>
          <w:rFonts w:ascii="Arial" w:cs="Arial" w:eastAsia="Arial" w:hAnsi="Arial"/>
          <w:sz w:val="16"/>
          <w:szCs w:val="16"/>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management’s judgment, a concentration of loans exists in real estate related loans, which represented approximately 92.44% of the Company’s loan portfolio at June 30, 2023 and 91.84% of the Company’s loan portfolio at December 31, 2022.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Deposit concentrations</w:t>
      </w:r>
      <w:r>
        <w:rPr>
          <w:rFonts w:ascii="Arial" w:cs="Arial" w:eastAsia="Arial" w:hAnsi="Arial"/>
          <w:sz w:val="18"/>
          <w:szCs w:val="18"/>
          <w:color w:val="auto"/>
        </w:rPr>
        <w:t>: At June 30, 2023, the Company had 86 deposit relationships that exceeded $5.0 million each, totaling $1.8 billion, or approximately 61.78% of total deposits. The Company’s largest single deposit relationship at June 30, 2023 totaled $210.0 million, or approximately 7.17% of total deposits. Management maintains the Company’s liquidity position and lines of credit with correspondent banks to mitigate the risk of large withdrawals by this group of large depositors.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Correspondent banking agreements</w:t>
      </w:r>
      <w:r>
        <w:rPr>
          <w:rFonts w:ascii="Arial" w:cs="Arial" w:eastAsia="Arial" w:hAnsi="Arial"/>
          <w:sz w:val="16"/>
          <w:szCs w:val="16"/>
          <w:color w:val="auto"/>
        </w:rPr>
        <w:t>: The Company maintains funds on deposit with other FDIC-insured financial institutions under correspondent banking agreements. Uninsured deposits through these agreements totaled $24.1 million and $16.2 million at June 30, 2023 and December 31,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Matters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20, 2023, the Board of Directors of the Company authorized a cash dividend of $0.20 per common share, payable on August 14, 2023 to shareholders of record on August 7, 2023.</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2022 Annual Report on Form 10-K, which was filed with the SEC on February 24, 2023. Average balances, including balances used in calculating certain financial ratios, are generally comprised of average daily balances.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28"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concentration of our business in California, and specifically within Northern California, including risks associated with any downturn in the real estate sector;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market interest rates that affect the pricing of our loans and deposits, our net interest income, and our borrowers’ ability to repay loans;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U.S. economy, including an economic slowdown, inflation, deflation, housing prices, employment levels, rate of growth, and general business conditions;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 market conditions and economic trends nationally, regionally, and particularly in Northern California and California;</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related to or resulting from recent bank failures and other economic and industry volatility, including increased regulatory requirements and costs and potential impacts to macroeconomic conditions;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effects of increased competition from a wide variety of local, regional, national, and other providers of financial and investment services;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associated with our loan portfolios, and specifically with our commercial real estate loans;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maintain capital necessary to fund our growth strategy and operations and to satisfy minimum regulatory capital levels;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strategic focus on lending to small to medium-sized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the assumptions and estimates we make in establishing reserves for potential loan losses and the value of loan collateral and securities;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level of nonperforming assets and the costs associated with resolving problem loans, if any, and complying with government-imposed foreclosure moratoriums;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various governmental and regulatory requirements applicable to financial institutions, including supervisory actions by federal and state banking agencies;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governmental monetary and fiscal policies, including the policies of the Federal Reserve;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unauthorized access, cyber-crime, and other threats to data security;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maintain, and improve effective internal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executive officers and key employees and their customer and community relationships;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or impact of climate change or natural or man-made disasters or calamities, such as wildfires, droughts, and earthquakes;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that are discussed in the section entitled “Management’s Discussion and Analysis of Financial Condition and Results of Operations.”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2022 Annual Report on Form 10-K and our Quarterly Report on Form 10-Q for the three months ended March 31, 2023,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seven branch offices and one loan production office.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June 30, 2023, we had total assets of $3.4 billion, total loans held for investment, net of allowance for credit losses, of $2.9 billion, and total deposits of $2.9 billion.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2022 Annual Report on Form 10-K and the notes thereto.</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2022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2022 Annual Report on Form 10-K.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for the three and six months ended June 30, 2023 totaled $12.7 million and $25.9 million, respectively, compared to net income of $10.0 million and $19.8 million for the three and six months ended June 30,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highlights of our operating and financial performance, and financial condition for the dates and periods presented:</w:t>
      </w:r>
    </w:p>
    <w:p>
      <w:pPr>
        <w:spacing w:after="0" w:line="225" w:lineRule="exact"/>
        <w:rPr>
          <w:sz w:val="20"/>
          <w:szCs w:val="20"/>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Deposits. </w:t>
      </w:r>
      <w:r>
        <w:rPr>
          <w:rFonts w:ascii="Arial" w:cs="Arial" w:eastAsia="Arial" w:hAnsi="Arial"/>
          <w:sz w:val="18"/>
          <w:szCs w:val="18"/>
          <w:color w:val="auto"/>
        </w:rPr>
        <w:t>Total deposits increased by $147.7 million from $2.8 billion at December 31, 2022 to $2.9 billion at June 30, 2023. Non-brokered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increased by $162.7 million in the first six months of 2023 to $2.8 billion. Non-interest-bearing deposits decreased by $137.5 million in the first six months of 2023 to $833.7 million, and represented 28.46% of total deposits at June 30, 2023, as compared to 34.91% of total deposits at December 31, 2022. Total deposit increases were primarily attributable to an increase in the number of new deposit relationships, as well as normal fluctuations in some of our large existing accounts. Our loan to deposit ratio was 100.21% at June 30, 2023, as compared to 100.67% at December 31, 2022.</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Assets. </w:t>
      </w:r>
      <w:r>
        <w:rPr>
          <w:rFonts w:ascii="Arial" w:cs="Arial" w:eastAsia="Arial" w:hAnsi="Arial"/>
          <w:sz w:val="18"/>
          <w:szCs w:val="18"/>
          <w:color w:val="auto"/>
        </w:rPr>
        <w:t>Total assets were $3.4 billion at June 30, 2023, representing a $175.5 million, or 5.44%, increase compared to $3.2 billion at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w:t>
      </w:r>
    </w:p>
    <w:p>
      <w:pPr>
        <w:spacing w:after="0" w:line="170"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Loans. </w:t>
      </w:r>
      <w:r>
        <w:rPr>
          <w:rFonts w:ascii="Arial" w:cs="Arial" w:eastAsia="Arial" w:hAnsi="Arial"/>
          <w:sz w:val="18"/>
          <w:szCs w:val="18"/>
          <w:color w:val="auto"/>
        </w:rPr>
        <w:t>Total loans held for investment were $2.9 billion at June 30, 2023, compared to $2.8 billion at December 31, 2022, an increase of $136.1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4.88%. The increase was primarily attributable to increases of $118.1 million in commercial real estate loans, $11.8 million in commercial construction loans, and $7.7 million in commercial land and development loans.</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Credit Quality. </w:t>
      </w:r>
      <w:r>
        <w:rPr>
          <w:rFonts w:ascii="Arial" w:cs="Arial" w:eastAsia="Arial" w:hAnsi="Arial"/>
          <w:sz w:val="17"/>
          <w:szCs w:val="17"/>
          <w:color w:val="auto"/>
        </w:rPr>
        <w:t>Credit quality remains strong, with non-accrual loans representing $0.3 million, or 0.01% of total loans held for investment,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2023, as compared to $0.4 million, or 0.01% of total loans held for investment, at December 31, 2022. The ratio of allowance for credit losses to total loans held for investment, or total loans at period end, was 1.16% at June 30, 2023 and 1.02% at December 31, 2022.</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ROAA and ROAE. </w:t>
      </w:r>
      <w:r>
        <w:rPr>
          <w:rFonts w:ascii="Arial" w:cs="Arial" w:eastAsia="Arial" w:hAnsi="Arial"/>
          <w:sz w:val="17"/>
          <w:szCs w:val="17"/>
          <w:color w:val="auto"/>
        </w:rPr>
        <w:t>ROAA and ROAE were 1.55% and 19.29%, respectively, for the three months ended June 30, 2023, as compared to ROAA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1.45% and ROAE of 17.20% for the three months ended June 30, 2022. ROAA and ROAE were 1.60% and 20.09%, respectively, for the six months ended June 30, 2023, as compared to ROAA of 1.49% and ROAE of 17.07% for the six months ended June 30, 2022.</w:t>
      </w:r>
    </w:p>
    <w:p>
      <w:pPr>
        <w:spacing w:after="0" w:line="165"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Interest Margin. </w:t>
      </w:r>
      <w:r>
        <w:rPr>
          <w:rFonts w:ascii="Arial" w:cs="Arial" w:eastAsia="Arial" w:hAnsi="Arial"/>
          <w:sz w:val="18"/>
          <w:szCs w:val="18"/>
          <w:color w:val="auto"/>
        </w:rPr>
        <w:t>Net interest margin was 3.45% and 3.59% for the three and six months ended June 30, 2023, respectively, and 3.71%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3.65% for the three and six months ended June 30, 2022, respectively. The decrease in net interest margin for the both the three and six months ended June 30, 2023 compared to the three and six months ended June 30, 2022 was primarily due to an increase on deposit costs more than offsetting increases in yields on earning assets as the effective Federal Funds rate increased from 1.58% at June 30, 2022 to 5.08% at June 30, 2023.</w:t>
      </w:r>
    </w:p>
    <w:p>
      <w:pPr>
        <w:spacing w:after="0" w:line="187"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Efficiency Ratio. </w:t>
      </w:r>
      <w:r>
        <w:rPr>
          <w:rFonts w:ascii="Arial" w:cs="Arial" w:eastAsia="Arial" w:hAnsi="Arial"/>
          <w:sz w:val="16"/>
          <w:szCs w:val="16"/>
          <w:color w:val="auto"/>
        </w:rPr>
        <w:t>Efficiency ratio was 39.41% for the three months ended June 30, 2023, up from 38.53% for the corresponding period of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Additionally, efficiency ratio was 37.92% for the six months ended June 30, 2023, down from 39.14% for the corresponding period of 2022.</w:t>
      </w:r>
    </w:p>
    <w:p>
      <w:pPr>
        <w:spacing w:after="0" w:line="123"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Capital Ratios</w:t>
      </w:r>
      <w:r>
        <w:rPr>
          <w:rFonts w:ascii="Arial" w:cs="Arial" w:eastAsia="Arial" w:hAnsi="Arial"/>
          <w:sz w:val="17"/>
          <w:szCs w:val="17"/>
          <w:color w:val="auto"/>
        </w:rPr>
        <w:t>. All capital ratios were above well-capitalized regulatory thresholds as of June 30, 2023. The total risk-based capital ratio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was 12.43% at June 30, 2023, compared to 12.46% at December 31, 2022. The Tier 1 leverage ratio was 8.66% at June 30, 2023, as compared to 8.60% at December 31, 2022. For additional information about the regulatory capital requirements applicable to the Company and the Bank, see the section entitled “—Financial Condition Summary—Capital Adequacy” below.</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board of directors declared a cash dividend of $0.20 per share on April 20,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Highlights of our financial results are presented in the following tables: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December 31, 2022</w:t>
            </w:r>
          </w:p>
        </w:tc>
        <w:tc>
          <w:tcPr>
            <w:tcW w:w="0" w:type="dxa"/>
            <w:vAlign w:val="bottom"/>
          </w:tcPr>
          <w:p>
            <w:pPr>
              <w:spacing w:after="0"/>
              <w:rPr>
                <w:sz w:val="1"/>
                <w:szCs w:val="1"/>
                <w:color w:val="auto"/>
              </w:rPr>
            </w:pPr>
          </w:p>
        </w:tc>
      </w:tr>
      <w:tr>
        <w:trPr>
          <w:trHeight w:val="239"/>
        </w:trPr>
        <w:tc>
          <w:tcPr>
            <w:tcW w:w="76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financial condition data:</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3,402,701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3,227,159</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loans held for investment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2,927,411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2,791,326</w:t>
            </w:r>
          </w:p>
        </w:tc>
        <w:tc>
          <w:tcPr>
            <w:tcW w:w="0" w:type="dxa"/>
            <w:vAlign w:val="bottom"/>
          </w:tcPr>
          <w:p>
            <w:pPr>
              <w:spacing w:after="0"/>
              <w:rPr>
                <w:sz w:val="1"/>
                <w:szCs w:val="1"/>
                <w:color w:val="auto"/>
              </w:rPr>
            </w:pP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2,929,739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2,782,004</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subordinated notes, net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73,606</w:t>
            </w:r>
          </w:p>
        </w:tc>
        <w:tc>
          <w:tcPr>
            <w:tcW w:w="0" w:type="dxa"/>
            <w:vAlign w:val="bottom"/>
          </w:tcPr>
          <w:p>
            <w:pPr>
              <w:spacing w:after="0"/>
              <w:rPr>
                <w:sz w:val="1"/>
                <w:szCs w:val="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269,140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rPr>
              <w:t>252,825</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 quality ratios:</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Allowance for credit losses to total loans held for investment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credit losses to nonperforming loans</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11,839.25 %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7,026.98 %</w:t>
            </w:r>
          </w:p>
        </w:tc>
        <w:tc>
          <w:tcPr>
            <w:tcW w:w="0" w:type="dxa"/>
            <w:vAlign w:val="bottom"/>
          </w:tcPr>
          <w:p>
            <w:pPr>
              <w:spacing w:after="0"/>
              <w:rPr>
                <w:sz w:val="1"/>
                <w:szCs w:val="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Nonperforming loans to total loans held for investment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ratios:</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Total capital (to risk-weighted assets)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12.46 %</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capital (to risk-weighted assets)</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Common equity Tier 1 capital (to risk-weighted assets)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8.99 %</w:t>
            </w: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leverage</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8.60 %</w:t>
            </w:r>
          </w:p>
        </w:tc>
        <w:tc>
          <w:tcPr>
            <w:tcW w:w="0" w:type="dxa"/>
            <w:vAlign w:val="bottom"/>
          </w:tcPr>
          <w:p>
            <w:pPr>
              <w:spacing w:after="0"/>
              <w:rPr>
                <w:sz w:val="1"/>
                <w:szCs w:val="1"/>
                <w:color w:val="auto"/>
              </w:rPr>
            </w:pP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Total shareholders’ equity to total assets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7.83 %</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Tangible shareholders’ equity to tangible assets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7.83 %</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For the six months ended</w:t>
            </w:r>
          </w:p>
        </w:tc>
      </w:tr>
      <w:tr>
        <w:trPr>
          <w:trHeight w:val="178"/>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rPr>
              <w:t>June 30,</w:t>
            </w:r>
          </w:p>
        </w:tc>
      </w:tr>
      <w:tr>
        <w:trPr>
          <w:trHeight w:val="234"/>
        </w:trPr>
        <w:tc>
          <w:tcPr>
            <w:tcW w:w="46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 except per share data)</w:t>
            </w: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r>
      <w:tr>
        <w:trPr>
          <w:trHeight w:val="237"/>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interest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27,578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24,529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56,726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46,412</w:t>
            </w:r>
          </w:p>
        </w:tc>
      </w:tr>
      <w:tr>
        <w:trPr>
          <w:trHeight w:val="23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3,200</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Non-interest income</w:t>
            </w: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4,123</w:t>
            </w:r>
          </w:p>
        </w:tc>
      </w:tr>
      <w:tr>
        <w:trPr>
          <w:trHeight w:val="24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Non-interest expense</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19,780</w:t>
            </w: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12,729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25,890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19,815</w:t>
            </w:r>
          </w:p>
        </w:tc>
      </w:tr>
      <w:tr>
        <w:trPr>
          <w:trHeight w:val="256"/>
        </w:trPr>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common share data:</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 per common share: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4620" w:type="dxa"/>
            <w:vAlign w:val="bottom"/>
            <w:gridSpan w:val="2"/>
          </w:tcPr>
          <w:p>
            <w:pPr>
              <w:ind w:left="3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0.74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0.58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1.51</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1.15</w:t>
            </w:r>
          </w:p>
        </w:tc>
      </w:tr>
      <w:tr>
        <w:trPr>
          <w:trHeight w:val="243"/>
        </w:trPr>
        <w:tc>
          <w:tcPr>
            <w:tcW w:w="4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r>
      <w:tr>
        <w:trPr>
          <w:trHeight w:val="229"/>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Book value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15.60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13.52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15.60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13.52</w:t>
            </w:r>
          </w:p>
        </w:tc>
      </w:tr>
      <w:tr>
        <w:trPr>
          <w:trHeight w:val="230"/>
        </w:trPr>
        <w:tc>
          <w:tcPr>
            <w:tcW w:w="46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Tangible book value per share</w:t>
            </w:r>
            <w:r>
              <w:rPr>
                <w:rFonts w:ascii="Arial" w:cs="Arial" w:eastAsia="Arial" w:hAnsi="Arial"/>
                <w:sz w:val="23"/>
                <w:szCs w:val="23"/>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13.52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13.52</w:t>
            </w:r>
          </w:p>
        </w:tc>
      </w:tr>
      <w:tr>
        <w:trPr>
          <w:trHeight w:val="257"/>
        </w:trPr>
        <w:tc>
          <w:tcPr>
            <w:tcW w:w="4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Performance and other financial ratios: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ROAA</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1.49 %</w:t>
            </w:r>
          </w:p>
        </w:tc>
      </w:tr>
      <w:tr>
        <w:trPr>
          <w:trHeight w:val="23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ROAE</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17.07 %</w:t>
            </w: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interest margin</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3.65 %</w:t>
            </w:r>
          </w:p>
        </w:tc>
      </w:tr>
      <w:tr>
        <w:trPr>
          <w:trHeight w:val="24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funds</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0.20 %</w:t>
            </w:r>
          </w:p>
        </w:tc>
      </w:tr>
      <w:tr>
        <w:trPr>
          <w:trHeight w:val="22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Efficiency ratio</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39.14 %</w:t>
            </w:r>
          </w:p>
        </w:tc>
      </w:tr>
      <w:tr>
        <w:trPr>
          <w:trHeight w:val="229"/>
        </w:trPr>
        <w:tc>
          <w:tcPr>
            <w:tcW w:w="46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Cash dividend payout ratio on common stock</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26.09 %</w:t>
            </w:r>
          </w:p>
        </w:tc>
      </w:tr>
    </w:tbl>
    <w:p>
      <w:pPr>
        <w:spacing w:after="0" w:line="301" w:lineRule="exact"/>
        <w:rPr>
          <w:sz w:val="20"/>
          <w:szCs w:val="20"/>
          <w:color w:val="auto"/>
        </w:rPr>
      </w:pPr>
    </w:p>
    <w:p>
      <w:pPr>
        <w:jc w:val="both"/>
        <w:ind w:left="340" w:hanging="332"/>
        <w:spacing w:after="0" w:line="235" w:lineRule="auto"/>
        <w:tabs>
          <w:tab w:leader="none" w:pos="34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7" w:name="page38"/>
    <w:bookmarkEnd w:id="37"/>
    <w:p>
      <w:pPr>
        <w:jc w:val="both"/>
        <w:ind w:left="332"/>
        <w:spacing w:after="0" w:line="269" w:lineRule="auto"/>
        <w:rPr>
          <w:sz w:val="20"/>
          <w:szCs w:val="20"/>
          <w:color w:val="auto"/>
        </w:rPr>
      </w:pPr>
      <w:r>
        <w:rPr>
          <w:rFonts w:ascii="Arial" w:cs="Arial" w:eastAsia="Arial" w:hAnsi="Arial"/>
          <w:sz w:val="16"/>
          <w:szCs w:val="16"/>
          <w:color w:val="auto"/>
        </w:rPr>
        <w:t>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at the end of each of the periods indicated.</w:t>
      </w:r>
    </w:p>
    <w:p>
      <w:pPr>
        <w:spacing w:after="0" w:line="178" w:lineRule="exact"/>
        <w:rPr>
          <w:sz w:val="20"/>
          <w:szCs w:val="20"/>
          <w:color w:val="auto"/>
        </w:rPr>
      </w:pPr>
    </w:p>
    <w:p>
      <w:pPr>
        <w:jc w:val="both"/>
        <w:ind w:left="332" w:hanging="332"/>
        <w:spacing w:after="0" w:line="262" w:lineRule="auto"/>
        <w:tabs>
          <w:tab w:leader="none" w:pos="332" w:val="left"/>
        </w:tabs>
        <w:numPr>
          <w:ilvl w:val="0"/>
          <w:numId w:val="6"/>
        </w:numPr>
        <w:rPr>
          <w:rFonts w:ascii="Arial" w:cs="Arial" w:eastAsia="Arial" w:hAnsi="Arial"/>
          <w:sz w:val="11"/>
          <w:szCs w:val="11"/>
          <w:color w:val="auto"/>
        </w:rPr>
      </w:pPr>
      <w:r>
        <w:rPr>
          <w:rFonts w:ascii="Arial" w:cs="Arial" w:eastAsia="Arial" w:hAnsi="Arial"/>
          <w:sz w:val="16"/>
          <w:szCs w:val="16"/>
          <w:color w:val="auto"/>
        </w:rPr>
        <w:t>Tangible book value per share is defined as total shareholders’ equity less goodwill and other intangible assets, divided by the outstanding number of common shares at the end of the period. Tangible book value is considered a non-GAAP financial measure.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96" w:lineRule="exact"/>
        <w:rPr>
          <w:sz w:val="20"/>
          <w:szCs w:val="20"/>
          <w:color w:val="auto"/>
        </w:rPr>
      </w:pPr>
    </w:p>
    <w:p>
      <w:pPr>
        <w:ind w:left="5532" w:right="2040" w:hanging="5532"/>
        <w:spacing w:after="0" w:line="887" w:lineRule="auto"/>
        <w:tabs>
          <w:tab w:leader="none" w:pos="321"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Cash dividend payout ratio on common stock is calculated as dividends on common shares divided by basic earnings per common share.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-353060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5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of our results of operations compares the three and six months ended June 30, 2023 to the three and six months ended June 30, 2022. The results of operations for the three and six months ended June 30, 2023 are not necessarily indicative of the results of operations that may be expected for the year ending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compared to three months ended June 30, 2022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income increased by $3.1 million, or 12.43%, to $27.6 million for the three months ended June 30, 2023 from $24.5 million for the three months ended June 30, 2022. Our net interest margin of 3.45% for the three months ended June 30, 2023 decreased from 3.71% for the three months ended June 30, 2022. The contraction of our net interest margin was primarily due to the increased rates paid on interest-bearing liabilities more than offsetting the increased yields earned on interest-earning assets, relating to a change in effective Federal Funds rate from 1.58% at June 30, 2022 to 5.08% at June 30, 2023.</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or rates paid for each period reported. The average balances are daily averages and include both performing and nonperforming loans.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6"/>
          </w:tcPr>
          <w:p>
            <w:pPr>
              <w:jc w:val="right"/>
              <w:ind w:right="75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June 30, 2022</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5"/>
                <w:szCs w:val="15"/>
                <w:color w:val="auto"/>
              </w:rPr>
            </w:pPr>
          </w:p>
        </w:tc>
        <w:tc>
          <w:tcPr>
            <w:tcW w:w="110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5"/>
                <w:szCs w:val="15"/>
                <w:color w:val="auto"/>
              </w:rPr>
            </w:pPr>
          </w:p>
        </w:tc>
        <w:tc>
          <w:tcPr>
            <w:tcW w:w="110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Income/Expense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Income/Expense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37"/>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179,894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4.95 %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294,491</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0.71 %</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3"/>
                <w:szCs w:val="23"/>
                <w:color w:val="auto"/>
                <w:vertAlign w:val="superscript"/>
              </w:rPr>
              <w:t>1,2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Loans held for investment and sale</w:t>
            </w:r>
            <w:r>
              <w:rPr>
                <w:rFonts w:ascii="Arial" w:cs="Arial" w:eastAsia="Arial" w:hAnsi="Arial"/>
                <w:sz w:val="23"/>
                <w:szCs w:val="23"/>
                <w:color w:val="auto"/>
                <w:vertAlign w:val="superscript"/>
              </w:rPr>
              <w:t>1,3</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2,914,388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39,929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2,227,215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24,879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3,210,389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2,654,681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Interest receivable and other assets, net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3,285,805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2,753,653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Interest-bearing transaction accounts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290,404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Savings accounts</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139,522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0.16 %</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Money market accounts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0.28 %</w:t>
            </w: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Time accounts</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174,991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0.55 %</w:t>
            </w: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140"/>
              <w:spacing w:after="0" w:line="243" w:lineRule="exact"/>
              <w:rPr>
                <w:sz w:val="20"/>
                <w:szCs w:val="20"/>
                <w:color w:val="auto"/>
              </w:rPr>
            </w:pPr>
            <w:r>
              <w:rPr>
                <w:rFonts w:ascii="Arial" w:cs="Arial" w:eastAsia="Arial" w:hAnsi="Arial"/>
                <w:sz w:val="18"/>
                <w:szCs w:val="18"/>
                <w:color w:val="auto"/>
              </w:rPr>
              <w:t>Subordinated debt and other borrowings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6.07 %</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2,164,335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1,538,507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0.38 %</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Demand accounts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Interest payable and other liabilities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232,156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3,285,805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2,753,653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54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2"/>
                <w:szCs w:val="22"/>
                <w:color w:val="auto"/>
                <w:vertAlign w:val="superscript"/>
              </w:rPr>
              <w:t>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2.53 %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04"/>
        </w:trPr>
        <w:tc>
          <w:tcPr>
            <w:tcW w:w="3540" w:type="dxa"/>
            <w:vAlign w:val="bottom"/>
            <w:tcBorders>
              <w:top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Net interest income/margin</w:t>
            </w:r>
            <w:r>
              <w:rPr>
                <w:rFonts w:ascii="Arial" w:cs="Arial" w:eastAsia="Arial" w:hAnsi="Arial"/>
                <w:sz w:val="23"/>
                <w:szCs w:val="23"/>
                <w:color w:val="auto"/>
                <w:vertAlign w:val="superscript"/>
              </w:rPr>
              <w:t>5</w:t>
            </w: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27,578</w:t>
            </w: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24,529</w:t>
            </w: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1"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Yields on available-for-sale securities are calculated based on fair value. Investment security interest is earned on 30/360 day basis monthly. Yields are not calculated on a tax-equivalent basis.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Non-accrual loans are included in total loan balances. No adjustment has been made for these loans in the yield calculations. Interest income on loans includes amortization of deferred loan fees, net of deferred loan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70" w:lineRule="exact"/>
        <w:rPr>
          <w:sz w:val="20"/>
          <w:szCs w:val="20"/>
          <w:color w:val="auto"/>
        </w:rPr>
      </w:pPr>
    </w:p>
    <w:p>
      <w:pPr>
        <w:sectPr>
          <w:pgSz w:w="11900" w:h="16838" w:orient="portrait"/>
          <w:cols w:equalWidth="0" w:num="2">
            <w:col w:w="60" w:space="280"/>
            <w:col w:w="10900"/>
          </w:cols>
          <w:pgMar w:left="320" w:top="1161" w:right="3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i w:val="1"/>
          <w:iCs w:val="1"/>
          <w:color w:val="auto"/>
        </w:rPr>
        <w:t xml:space="preserve">Analysis of changes in interest income and expenses. </w:t>
      </w:r>
      <w:r>
        <w:rPr>
          <w:rFonts w:ascii="Arial" w:cs="Arial" w:eastAsia="Arial" w:hAnsi="Arial"/>
          <w:sz w:val="18"/>
          <w:szCs w:val="18"/>
          <w:color w:val="auto"/>
        </w:rPr>
        <w:t>Increases and decreases in interest income and interest expense result from changes in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40" w:name="page41"/>
    <w:bookmarkEnd w:id="40"/>
    <w:p>
      <w:pPr>
        <w:ind w:left="7840"/>
        <w:spacing w:after="0"/>
        <w:rPr>
          <w:sz w:val="20"/>
          <w:szCs w:val="20"/>
          <w:color w:val="auto"/>
        </w:rPr>
      </w:pPr>
      <w:r>
        <w:rPr>
          <w:rFonts w:ascii="Arial" w:cs="Arial" w:eastAsia="Arial" w:hAnsi="Arial"/>
          <w:sz w:val="18"/>
          <w:szCs w:val="18"/>
          <w:b w:val="1"/>
          <w:bCs w:val="1"/>
          <w:color w:val="auto"/>
        </w:rPr>
        <w:t>For the three months ended</w:t>
      </w:r>
    </w:p>
    <w:p>
      <w:pPr>
        <w:ind w:left="7880"/>
        <w:spacing w:after="0" w:line="219" w:lineRule="auto"/>
        <w:rPr>
          <w:sz w:val="20"/>
          <w:szCs w:val="20"/>
          <w:color w:val="auto"/>
        </w:rPr>
      </w:pPr>
      <w:r>
        <w:rPr>
          <w:rFonts w:ascii="Arial" w:cs="Arial" w:eastAsia="Arial" w:hAnsi="Arial"/>
          <w:sz w:val="18"/>
          <w:szCs w:val="18"/>
          <w:b w:val="1"/>
          <w:bCs w:val="1"/>
          <w:color w:val="auto"/>
        </w:rPr>
        <w:t>June 30, 2023 compared to</w:t>
      </w:r>
    </w:p>
    <w:p>
      <w:pPr>
        <w:ind w:left="7460"/>
        <w:spacing w:after="0"/>
        <w:rPr>
          <w:sz w:val="20"/>
          <w:szCs w:val="20"/>
          <w:color w:val="auto"/>
        </w:rPr>
      </w:pPr>
      <w:r>
        <w:rPr>
          <w:rFonts w:ascii="Arial" w:cs="Arial" w:eastAsia="Arial" w:hAnsi="Arial"/>
          <w:sz w:val="18"/>
          <w:szCs w:val="18"/>
          <w:b w:val="1"/>
          <w:bCs w:val="1"/>
          <w:color w:val="auto"/>
        </w:rPr>
        <w:t>the three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29660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Total Increase</w:t>
            </w:r>
          </w:p>
        </w:tc>
      </w:tr>
      <w:tr>
        <w:trPr>
          <w:trHeight w:val="241"/>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Volume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(Decrease)</w:t>
            </w: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Interest-earning deposits with banks</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and sale</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w:t>
            </w:r>
          </w:p>
        </w:tc>
      </w:tr>
      <w:tr>
        <w:trPr>
          <w:trHeight w:val="250"/>
        </w:trPr>
        <w:tc>
          <w:tcPr>
            <w:tcW w:w="6480" w:type="dxa"/>
            <w:vAlign w:val="bottom"/>
          </w:tcPr>
          <w:p>
            <w:pPr>
              <w:ind w:left="140"/>
              <w:spacing w:after="0"/>
              <w:rPr>
                <w:sz w:val="20"/>
                <w:szCs w:val="20"/>
                <w:color w:val="auto"/>
              </w:rPr>
            </w:pPr>
            <w:r>
              <w:rPr>
                <w:rFonts w:ascii="Arial" w:cs="Arial" w:eastAsia="Arial" w:hAnsi="Arial"/>
                <w:sz w:val="18"/>
                <w:szCs w:val="18"/>
                <w:color w:val="auto"/>
              </w:rPr>
              <w:t>Total interest-earning assets</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7,909</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16,794</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Savings accounts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Time accounts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4,012</w:t>
            </w: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Subordinated debt and other borrowings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56"/>
        </w:trPr>
        <w:tc>
          <w:tcPr>
            <w:tcW w:w="6480" w:type="dxa"/>
            <w:vAlign w:val="bottom"/>
          </w:tcPr>
          <w:p>
            <w:pPr>
              <w:ind w:left="140"/>
              <w:spacing w:after="0"/>
              <w:rPr>
                <w:sz w:val="20"/>
                <w:szCs w:val="20"/>
                <w:color w:val="auto"/>
              </w:rPr>
            </w:pPr>
            <w:r>
              <w:rPr>
                <w:rFonts w:ascii="Arial" w:cs="Arial" w:eastAsia="Arial" w:hAnsi="Arial"/>
                <w:sz w:val="18"/>
                <w:szCs w:val="18"/>
                <w:color w:val="auto"/>
              </w:rPr>
              <w:t>Total interest-bearing liabilities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r>
      <w:tr>
        <w:trPr>
          <w:trHeight w:val="270"/>
        </w:trPr>
        <w:tc>
          <w:tcPr>
            <w:tcW w:w="6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net interest income/margin</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affecting interest income and yields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increased by $16.8 million, or 64.59%, to $42.8 million for the three months ended June 30, 2023 from $26.0 million for the corresponding period of 2022 due to the following:</w:t>
      </w:r>
    </w:p>
    <w:p>
      <w:pPr>
        <w:spacing w:after="0" w:line="170" w:lineRule="exact"/>
        <w:rPr>
          <w:sz w:val="20"/>
          <w:szCs w:val="20"/>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Rates. </w:t>
      </w:r>
      <w:r>
        <w:rPr>
          <w:rFonts w:ascii="Arial" w:cs="Arial" w:eastAsia="Arial" w:hAnsi="Arial"/>
          <w:sz w:val="17"/>
          <w:szCs w:val="17"/>
          <w:color w:val="auto"/>
        </w:rPr>
        <w:t>The average yields on interest-earning assets were 5.35% and 3.93% for the three months ended June 30, 2023 and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increase in yield period-over-period was primarily due to increased yields earned on the loan portfolio from new originations and repricing on variable rate loans, combined with increases in yields earned on interest-earning deposits with banks, coinciding with the rise in the effective Federal Funds rate from 1.58% to 5.08% between June 30, 2022 and June 30, 2023.</w:t>
      </w:r>
    </w:p>
    <w:p>
      <w:pPr>
        <w:spacing w:after="0" w:line="171"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Average interest-earning assets increased by approximately $555.7 million period-over-period, primarily driven by new loan originations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which drove increases in the average daily balances of loans for the three months ended June 30, 2023, partially offset by a decrease in interest-earning deposits held at other banks.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affecting interest expense and rates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increased by $13.7 million, or 935.03%, to $15.2 million for the three months ended June 30, 2023 from $1.5 million for the same period of 2022 due to the following:</w:t>
      </w:r>
    </w:p>
    <w:p>
      <w:pPr>
        <w:spacing w:after="0" w:line="170" w:lineRule="exact"/>
        <w:rPr>
          <w:sz w:val="20"/>
          <w:szCs w:val="20"/>
          <w:color w:val="auto"/>
        </w:rPr>
      </w:pPr>
    </w:p>
    <w:p>
      <w:pPr>
        <w:jc w:val="both"/>
        <w:ind w:left="66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Rates. </w:t>
      </w:r>
      <w:r>
        <w:rPr>
          <w:rFonts w:ascii="Arial" w:cs="Arial" w:eastAsia="Arial" w:hAnsi="Arial"/>
          <w:sz w:val="18"/>
          <w:szCs w:val="18"/>
          <w:color w:val="auto"/>
        </w:rPr>
        <w:t>The average costs of interest-bearing liabilities were 2.82% and 0.38% for the three months ended June 30, 2023 and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cost period-over-period was primarily due to increases in the rates paid on interest-bearing deposit accounts, coinciding with the rise in the effective Federal Funds rate from 1.58% to 5.08% between June 30, 2022 and June 30, 2023. The average cost of subordinated debt and other borrowings increased from 6.07% to 6.23% for the three months ended June 30, 2022 and June 30, 2023, respectively, as the weighted average rate on subordinated notes outstanding was higher for the three months ended June 30, 2023 than for the three months ended June 30, 2022. Additionally, the cost of funds increased from 0.24% for the three months ended June 30, 2022 to 2.04% for the three months ended June 30, 2023.</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Average interest-bearing liabilities increased by $625.8 million period-over-period, primarily driven by increases in average balances of</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and time accounts of $302.0 million and $195.9 million, respectively, for the three months ended June 30, 2023 compared to the three months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compared to six months ended June 30,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interest income increased by $10.3 million, or 22.22%, to $56.7 million for the six months ended June 30, 2023 from $46.4 million for the six months ended June 30, 2022. Our net interest margin of 3.59% for the six months ended June 30,</w:t>
      </w:r>
    </w:p>
    <w:p>
      <w:pPr>
        <w:sectPr>
          <w:pgSz w:w="11900" w:h="16838" w:orient="portrait"/>
          <w:cols w:equalWidth="0" w:num="1">
            <w:col w:w="11240"/>
          </w:cols>
          <w:pgMar w:left="320" w:top="1176"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type w:val="continuous"/>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2023 was consistent with net interest margin of 3.65% for the six months ended June 30, 2022. Additional detail relating to net interest margin in each period is provided below.</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Average balance sheet, interest, and yield/rate analysis. </w:t>
      </w:r>
      <w:r>
        <w:rPr>
          <w:rFonts w:ascii="Arial" w:cs="Arial" w:eastAsia="Arial" w:hAnsi="Arial"/>
          <w:sz w:val="18"/>
          <w:szCs w:val="18"/>
          <w:color w:val="auto"/>
        </w:rPr>
        <w:t>The following table presents average balance sheet information, interest income,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corresponding average yield earned and rates paid for each period reported. The average balances are daily averages and include both performing and nonperforming loans.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gridSpan w:val="6"/>
          </w:tcPr>
          <w:p>
            <w:pPr>
              <w:jc w:val="right"/>
              <w:ind w:right="850"/>
              <w:spacing w:after="0"/>
              <w:rPr>
                <w:sz w:val="20"/>
                <w:szCs w:val="20"/>
                <w:color w:val="auto"/>
              </w:rPr>
            </w:pPr>
            <w:r>
              <w:rPr>
                <w:rFonts w:ascii="Arial" w:cs="Arial" w:eastAsia="Arial" w:hAnsi="Arial"/>
                <w:sz w:val="18"/>
                <w:szCs w:val="18"/>
                <w:b w:val="1"/>
                <w:bCs w:val="1"/>
                <w:color w:val="auto"/>
              </w:rPr>
              <w:t>For the six months 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6"/>
          </w:tcPr>
          <w:p>
            <w:pPr>
              <w:jc w:val="right"/>
              <w:ind w:right="85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9"/>
        </w:trPr>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June 30, 2022</w:t>
            </w: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10"/>
              <w:spacing w:after="0" w:line="173"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70"/>
              <w:spacing w:after="0" w:line="173" w:lineRule="exact"/>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5"/>
                <w:szCs w:val="15"/>
                <w:color w:val="auto"/>
              </w:rPr>
            </w:pPr>
          </w:p>
        </w:tc>
        <w:tc>
          <w:tcPr>
            <w:tcW w:w="110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90"/>
              <w:spacing w:after="0" w:line="173"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50"/>
              <w:spacing w:after="0" w:line="173" w:lineRule="exact"/>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5"/>
                <w:szCs w:val="15"/>
                <w:color w:val="auto"/>
              </w:rPr>
            </w:pPr>
          </w:p>
        </w:tc>
        <w:tc>
          <w:tcPr>
            <w:tcW w:w="1100" w:type="dxa"/>
            <w:vAlign w:val="bottom"/>
          </w:tcPr>
          <w:p>
            <w:pPr>
              <w:jc w:val="right"/>
              <w:ind w:right="150"/>
              <w:spacing w:after="0" w:line="173" w:lineRule="exact"/>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29"/>
        </w:trPr>
        <w:tc>
          <w:tcPr>
            <w:tcW w:w="34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Income/Expense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Yield/Rate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Income/Expense</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Yield/Rate</w:t>
            </w:r>
          </w:p>
        </w:tc>
        <w:tc>
          <w:tcPr>
            <w:tcW w:w="0" w:type="dxa"/>
            <w:vAlign w:val="bottom"/>
          </w:tcPr>
          <w:p>
            <w:pPr>
              <w:spacing w:after="0"/>
              <w:rPr>
                <w:sz w:val="1"/>
                <w:szCs w:val="1"/>
                <w:color w:val="auto"/>
              </w:rPr>
            </w:pPr>
          </w:p>
        </w:tc>
      </w:tr>
      <w:tr>
        <w:trPr>
          <w:trHeight w:val="237"/>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Interest-earning deposits with banks</w:t>
            </w:r>
            <w:r>
              <w:rPr>
                <w:rFonts w:ascii="Arial" w:cs="Arial" w:eastAsia="Arial" w:hAnsi="Arial"/>
                <w:sz w:val="23"/>
                <w:szCs w:val="23"/>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190,040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4.65 %</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316,590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0.45 %</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Investment securities</w:t>
            </w:r>
            <w:r>
              <w:rPr>
                <w:rFonts w:ascii="Arial" w:cs="Arial" w:eastAsia="Arial" w:hAnsi="Arial"/>
                <w:sz w:val="23"/>
                <w:szCs w:val="23"/>
                <w:color w:val="auto"/>
                <w:vertAlign w:val="superscript"/>
              </w:rPr>
              <w:t>1,2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Loans held for investment and sale</w:t>
            </w:r>
            <w:r>
              <w:rPr>
                <w:rFonts w:ascii="Arial" w:cs="Arial" w:eastAsia="Arial" w:hAnsi="Arial"/>
                <w:sz w:val="23"/>
                <w:szCs w:val="23"/>
                <w:color w:val="auto"/>
                <w:vertAlign w:val="superscript"/>
              </w:rPr>
              <w:t>1,3</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2,875,439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77,423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2,102,382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46,991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Total interest-earning assets</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3,183,259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2,559,829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Interest receivable and other assets, net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2,684,394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Interest-bearing transaction accounts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332,101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0.76 %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0" w:type="dxa"/>
            <w:vAlign w:val="bottom"/>
          </w:tcPr>
          <w:p>
            <w:pPr>
              <w:spacing w:after="0"/>
              <w:rPr>
                <w:sz w:val="1"/>
                <w:szCs w:val="1"/>
                <w:color w:val="auto"/>
              </w:rPr>
            </w:pPr>
          </w:p>
        </w:tc>
      </w:tr>
      <w:tr>
        <w:trPr>
          <w:trHeight w:val="243"/>
        </w:trPr>
        <w:tc>
          <w:tcPr>
            <w:tcW w:w="3540" w:type="dxa"/>
            <w:vAlign w:val="bottom"/>
            <w:gridSpan w:val="2"/>
          </w:tcPr>
          <w:p>
            <w:pPr>
              <w:ind w:left="140"/>
              <w:spacing w:after="0" w:line="243" w:lineRule="exact"/>
              <w:rPr>
                <w:sz w:val="20"/>
                <w:szCs w:val="20"/>
                <w:color w:val="auto"/>
              </w:rPr>
            </w:pPr>
            <w:r>
              <w:rPr>
                <w:rFonts w:ascii="Arial" w:cs="Arial" w:eastAsia="Arial" w:hAnsi="Arial"/>
                <w:sz w:val="18"/>
                <w:szCs w:val="18"/>
                <w:color w:val="auto"/>
              </w:rPr>
              <w:t>Savings accounts</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0.14 %</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Money market accounts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0" w:type="dxa"/>
            <w:vAlign w:val="bottom"/>
          </w:tcPr>
          <w:p>
            <w:pPr>
              <w:spacing w:after="0"/>
              <w:rPr>
                <w:sz w:val="1"/>
                <w:szCs w:val="1"/>
                <w:color w:val="auto"/>
              </w:rPr>
            </w:pPr>
          </w:p>
        </w:tc>
      </w:tr>
      <w:tr>
        <w:trPr>
          <w:trHeight w:val="230"/>
        </w:trPr>
        <w:tc>
          <w:tcPr>
            <w:tcW w:w="35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Time accounts</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0.43 %</w:t>
            </w: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140"/>
              <w:spacing w:after="0" w:line="243" w:lineRule="exact"/>
              <w:rPr>
                <w:sz w:val="20"/>
                <w:szCs w:val="20"/>
                <w:color w:val="auto"/>
              </w:rPr>
            </w:pPr>
            <w:r>
              <w:rPr>
                <w:rFonts w:ascii="Arial" w:cs="Arial" w:eastAsia="Arial" w:hAnsi="Arial"/>
                <w:sz w:val="18"/>
                <w:szCs w:val="18"/>
                <w:color w:val="auto"/>
              </w:rPr>
              <w:t>Subordinated debt and other borrowings</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6.20 %</w:t>
            </w: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2,106,587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26,378</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1,491,275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0.33 %</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Demand accounts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Interest payable and other liabilities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3,255,627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54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7"/>
                <w:szCs w:val="17"/>
                <w:color w:val="auto"/>
              </w:rPr>
              <w:t>Net interest spread</w:t>
            </w:r>
            <w:r>
              <w:rPr>
                <w:rFonts w:ascii="Arial" w:cs="Arial" w:eastAsia="Arial" w:hAnsi="Arial"/>
                <w:sz w:val="22"/>
                <w:szCs w:val="22"/>
                <w:color w:val="auto"/>
                <w:vertAlign w:val="superscript"/>
              </w:rPr>
              <w:t>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2.73 %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tcPr>
          <w:p>
            <w:pPr>
              <w:ind w:left="20"/>
              <w:spacing w:after="0" w:line="203" w:lineRule="exact"/>
              <w:rPr>
                <w:sz w:val="20"/>
                <w:szCs w:val="20"/>
                <w:color w:val="auto"/>
              </w:rPr>
            </w:pPr>
            <w:r>
              <w:rPr>
                <w:rFonts w:ascii="Arial" w:cs="Arial" w:eastAsia="Arial" w:hAnsi="Arial"/>
                <w:sz w:val="18"/>
                <w:szCs w:val="18"/>
                <w:color w:val="auto"/>
              </w:rPr>
              <w:t>Net interest income/margin</w:t>
            </w:r>
            <w:r>
              <w:rPr>
                <w:rFonts w:ascii="Arial" w:cs="Arial" w:eastAsia="Arial" w:hAnsi="Arial"/>
                <w:sz w:val="23"/>
                <w:szCs w:val="23"/>
                <w:color w:val="auto"/>
                <w:vertAlign w:val="superscript"/>
              </w:rPr>
              <w:t>5</w:t>
            </w: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56,726</w:t>
            </w: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3.59 %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46,412</w:t>
            </w: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income/expense is divided by the actual number of days in the period multiplied by the actual number of days in the year to correspond to stated interest rate terms, where applicable.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Yields on available-for-sale securities are calculated based on fair value. Investment security interest is earned on 30/360 day basis monthly. Yields are not calculated on a tax-equivalent basis.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Non-accrual loans are included in total loan balances. No adjustment has been made for these loans in the yield calculations. Interest income on loans includes amortization of deferred loan fees, net of deferred loan costs.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interest spread represents the average yield earned on interest-earning assets minus the average rate paid on interest-bearing liabilities.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70" w:lineRule="exact"/>
        <w:rPr>
          <w:sz w:val="20"/>
          <w:szCs w:val="20"/>
          <w:color w:val="auto"/>
        </w:rPr>
      </w:pPr>
    </w:p>
    <w:p>
      <w:pPr>
        <w:sectPr>
          <w:pgSz w:w="11900" w:h="16838" w:orient="portrait"/>
          <w:cols w:equalWidth="0" w:num="2">
            <w:col w:w="60" w:space="280"/>
            <w:col w:w="10900"/>
          </w:cols>
          <w:pgMar w:left="320" w:top="1151" w:right="339" w:bottom="1440" w:gutter="0" w:footer="0" w:header="0"/>
          <w:type w:val="continuous"/>
        </w:sectPr>
      </w:pPr>
    </w:p>
    <w:p>
      <w:pPr>
        <w:jc w:val="both"/>
        <w:spacing w:after="0" w:line="301" w:lineRule="auto"/>
        <w:rPr>
          <w:sz w:val="20"/>
          <w:szCs w:val="20"/>
          <w:color w:val="auto"/>
        </w:rPr>
      </w:pPr>
      <w:r>
        <w:rPr>
          <w:rFonts w:ascii="Arial" w:cs="Arial" w:eastAsia="Arial" w:hAnsi="Arial"/>
          <w:sz w:val="16"/>
          <w:szCs w:val="16"/>
          <w:i w:val="1"/>
          <w:iCs w:val="1"/>
          <w:color w:val="auto"/>
        </w:rPr>
        <w:t xml:space="preserve">Analysis of changes in interest income and expenses. </w:t>
      </w:r>
      <w:r>
        <w:rPr>
          <w:rFonts w:ascii="Arial" w:cs="Arial" w:eastAsia="Arial" w:hAnsi="Arial"/>
          <w:sz w:val="16"/>
          <w:szCs w:val="16"/>
          <w:color w:val="auto"/>
        </w:rPr>
        <w:t>Increases and decreases in interest income and interest expense result from changes in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multiplying the change in average yield/rate by the previous period’s volume. Changes not solely attributable to volume or yields/rates have been allocated in proportion to the respective volume and yield/rate components.</w:t>
      </w:r>
    </w:p>
    <w:p>
      <w:pPr>
        <w:spacing w:after="0" w:line="195"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For the six months ended</w:t>
      </w:r>
    </w:p>
    <w:p>
      <w:pPr>
        <w:ind w:left="7880"/>
        <w:spacing w:after="0" w:line="219" w:lineRule="auto"/>
        <w:rPr>
          <w:sz w:val="20"/>
          <w:szCs w:val="20"/>
          <w:color w:val="auto"/>
        </w:rPr>
      </w:pPr>
      <w:r>
        <w:rPr>
          <w:rFonts w:ascii="Arial" w:cs="Arial" w:eastAsia="Arial" w:hAnsi="Arial"/>
          <w:sz w:val="18"/>
          <w:szCs w:val="18"/>
          <w:b w:val="1"/>
          <w:bCs w:val="1"/>
          <w:color w:val="auto"/>
        </w:rPr>
        <w:t>June 30, 2023 compared to</w:t>
      </w:r>
    </w:p>
    <w:p>
      <w:pPr>
        <w:ind w:left="7560"/>
        <w:spacing w:after="0"/>
        <w:rPr>
          <w:sz w:val="20"/>
          <w:szCs w:val="20"/>
          <w:color w:val="auto"/>
        </w:rPr>
      </w:pPr>
      <w:r>
        <w:rPr>
          <w:rFonts w:ascii="Arial" w:cs="Arial" w:eastAsia="Arial" w:hAnsi="Arial"/>
          <w:sz w:val="18"/>
          <w:szCs w:val="18"/>
          <w:b w:val="1"/>
          <w:bCs w:val="1"/>
          <w:color w:val="auto"/>
        </w:rPr>
        <w:t>the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4445</wp:posOffset>
            </wp:positionV>
            <wp:extent cx="29578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5783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Total Increase</w:t>
            </w:r>
          </w:p>
        </w:tc>
      </w:tr>
      <w:tr>
        <w:trPr>
          <w:trHeight w:val="24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Volume</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Yield/Rate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(Decrease)</w:t>
            </w: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Interest-earning deposits with banks</w:t>
            </w:r>
          </w:p>
        </w:tc>
        <w:tc>
          <w:tcPr>
            <w:tcW w:w="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and sale</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20,797</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30,432</w:t>
            </w:r>
          </w:p>
        </w:tc>
      </w:tr>
      <w:tr>
        <w:trPr>
          <w:trHeight w:val="250"/>
        </w:trPr>
        <w:tc>
          <w:tcPr>
            <w:tcW w:w="6480" w:type="dxa"/>
            <w:vAlign w:val="bottom"/>
          </w:tcPr>
          <w:p>
            <w:pPr>
              <w:ind w:left="140"/>
              <w:spacing w:after="0"/>
              <w:rPr>
                <w:sz w:val="20"/>
                <w:szCs w:val="20"/>
                <w:color w:val="auto"/>
              </w:rPr>
            </w:pPr>
            <w:r>
              <w:rPr>
                <w:rFonts w:ascii="Arial" w:cs="Arial" w:eastAsia="Arial" w:hAnsi="Arial"/>
                <w:sz w:val="18"/>
                <w:szCs w:val="18"/>
                <w:color w:val="auto"/>
              </w:rPr>
              <w:t>Total interest-earning assets</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34,234</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Interest-bearing transaction accounts</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Savings accounts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accounts</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12,526</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Time accounts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6,893</w:t>
            </w:r>
          </w:p>
        </w:tc>
      </w:tr>
      <w:tr>
        <w:trPr>
          <w:trHeight w:val="25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Subordinated debt and other borrowings</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57"/>
        </w:trPr>
        <w:tc>
          <w:tcPr>
            <w:tcW w:w="6480" w:type="dxa"/>
            <w:vAlign w:val="bottom"/>
          </w:tcPr>
          <w:p>
            <w:pPr>
              <w:ind w:left="140"/>
              <w:spacing w:after="0"/>
              <w:rPr>
                <w:sz w:val="20"/>
                <w:szCs w:val="20"/>
                <w:color w:val="auto"/>
              </w:rPr>
            </w:pPr>
            <w:r>
              <w:rPr>
                <w:rFonts w:ascii="Arial" w:cs="Arial" w:eastAsia="Arial" w:hAnsi="Arial"/>
                <w:sz w:val="18"/>
                <w:szCs w:val="18"/>
                <w:color w:val="auto"/>
              </w:rPr>
              <w:t>Total interest-bearing liabilities</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23,920</w:t>
            </w:r>
          </w:p>
        </w:tc>
      </w:tr>
      <w:tr>
        <w:trPr>
          <w:trHeight w:val="270"/>
        </w:trPr>
        <w:tc>
          <w:tcPr>
            <w:tcW w:w="6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net interest income/margin</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interest income increased by $34.2 million, or 70.05%, to $83.1 million for the six months ended June 30, 2023 from $48.9 million for the corresponding period of 2022 due to the following:</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Rates. </w:t>
      </w:r>
      <w:r>
        <w:rPr>
          <w:rFonts w:ascii="Arial" w:cs="Arial" w:eastAsia="Arial" w:hAnsi="Arial"/>
          <w:sz w:val="18"/>
          <w:szCs w:val="18"/>
          <w:color w:val="auto"/>
        </w:rPr>
        <w:t>The average yields on interest-earning assets were 5.26% and 3.85% for the six months ended June 30, 2023 and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yield period-over-period was primarily due to increased yields earned on the loan portfolio from new originations and repricing on variable rate loans, combined with increases in yields earned on interest-earning deposits with banks, coinciding with the rise in the effective Federal Funds rate from 0.07% at December 31, 2021 to 5.08% at June 30, 2023.</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Volume. </w:t>
      </w:r>
      <w:r>
        <w:rPr>
          <w:rFonts w:ascii="Arial" w:cs="Arial" w:eastAsia="Arial" w:hAnsi="Arial"/>
          <w:sz w:val="18"/>
          <w:szCs w:val="18"/>
          <w:color w:val="auto"/>
        </w:rPr>
        <w:t>Average interest-earning assets increased by approximately $623.4 million period-over-period, primarily driven by new loan originations,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to an increase of approximately $773.1 million period-over-period in average loans held for investment and sale, partially offset by a decrease of approximately $126.6 million period-over-period in average interest-earning deposits with banks.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interest expense increased by $23.9 million, or 973.15%, to $26.4 million for the six months ended June 30, 2023 from $2.5 million for the same period of 2022 due to the following:</w:t>
      </w:r>
    </w:p>
    <w:p>
      <w:pPr>
        <w:spacing w:after="0" w:line="170" w:lineRule="exact"/>
        <w:rPr>
          <w:sz w:val="20"/>
          <w:szCs w:val="20"/>
          <w:color w:val="auto"/>
        </w:rPr>
      </w:pPr>
    </w:p>
    <w:p>
      <w:pPr>
        <w:jc w:val="both"/>
        <w:ind w:left="66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Rates. </w:t>
      </w:r>
      <w:r>
        <w:rPr>
          <w:rFonts w:ascii="Arial" w:cs="Arial" w:eastAsia="Arial" w:hAnsi="Arial"/>
          <w:sz w:val="17"/>
          <w:szCs w:val="17"/>
          <w:color w:val="auto"/>
        </w:rPr>
        <w:t>The average costs of interest-bearing liabilities were 2.53% and 0.33% for the six months ended June 30, 2023 and June 30, 2022,</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increase in cost period-over-period was primarily due to increases in rates paid on all types of interest-bearing deposit accounts, with the most significant changes due to increases on time and money market accounts. Rate increases across all interest-bearing deposit account types coincided with rise in the effective Federal Funds rate from 0.07% at December 31, 2021 to 5.08% at June 30, 2023. The rate paid on the new subordinated debt issuance remained relatively consistent with prior issuances. Additionally, the cost of funds increased from 0.20% for the six months ended June 30, 2022 to 1.79% for the six months ended June 30, 2023.</w:t>
      </w:r>
    </w:p>
    <w:p>
      <w:pPr>
        <w:spacing w:after="0" w:line="177"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Volume. </w:t>
      </w:r>
      <w:r>
        <w:rPr>
          <w:rFonts w:ascii="Arial" w:cs="Arial" w:eastAsia="Arial" w:hAnsi="Arial"/>
          <w:sz w:val="17"/>
          <w:szCs w:val="17"/>
          <w:color w:val="auto"/>
        </w:rPr>
        <w:t>Average interest-bearing liabilities increased by $615.3 million, or 41.26%, period-over-period, primarily driven by increases in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on all types of interest-bearing deposit accounts, with the most significant changes due to increases in time and money market accounts, as well as an increase period-over-period in subordinated debt and other borrowings due to the issuance of $75.0 million in aggregate principal amount of subordinated notes, partially offset by repayment of $28.8 million to existing tranches of subordinated debt.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Provision for Credit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loan losses in our loan portfolio at the balance sheet date.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January 1, 2023, we adopted ASC 326, which replaced the former “incurred loss” model for recognizing credit losses with an “expected loss” model referred to as the CECL model. The CECL allowance model calculates reserves over the life of the loan and is largely driven by portfolio characteristics, economic outlook, and other key methodology assumptions. Under the CECL model, the calculated allowance for credit losses was $5.3 million higher on January 1, 2023 than the allowance under the incurred loss model. Utilizing CECL may have an impact on our allowance for credit losses going forward and resulted in a lack of comparability between the 2022 and 2023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compared to three months ended June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$1.3 million provision for credit losses in the second quarter of 2023, as compared to a $2.3 million provision for credit losses recorded for the same period of 2022. As explained above, utilizing CECL may result in a lack of comparability between the 2022 and 2023 periods. The provision recorded is primarily due to loan growth, loan product mix, and updates to the macroeconomic environment.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compared to six months ended June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a $2.2 million provision for credit losses in the first six months of 2023, as compared to a $3.2 million provision for credit losses for the same period of 2022. As explained above, utilizing CECL may result in a lack of comparability between the 2022 and 2023 periods. The provision recorded is primarily due to loan growth, loan product mix, and updates to the macroeconomic environment.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is a secondary contributor to our net income. Non-interest income consists of service charges on deposit accounts, net gain on sale of securities, gain on sale of loans, loan-related fees, FHLB stock dividends, earnings on BOLI, and other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compared to three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2"/>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30, 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7"/>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3.85 %</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Gain on sale of loans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(22.86)%</w:t>
            </w:r>
          </w:p>
        </w:tc>
      </w:tr>
      <w:tr>
        <w:trPr>
          <w:trHeight w:val="24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Loan-related fees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(48.61)%</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FHLB stock dividends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90.91 %</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on BOLI</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24.75 %</w:t>
            </w: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3,168.29 %</w:t>
            </w:r>
          </w:p>
        </w:tc>
      </w:tr>
      <w:tr>
        <w:trPr>
          <w:trHeight w:val="248"/>
        </w:trPr>
        <w:tc>
          <w:tcPr>
            <w:tcW w:w="49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The decrease in gain on sale of loans related primarily to an overall decline in the volume of loans sold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2023 compared to the three months ended June 30, 2022. During the three months ended June 30, 2023, approximately $10.9 million of loans were sold with an effective yield of 5.89%, as compared to approximately $17.9 million of loans sold with an effective yield of 4.64% during the three months ended June 30, 2022.</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i w:val="1"/>
          <w:iCs w:val="1"/>
          <w:color w:val="auto"/>
        </w:rPr>
        <w:t xml:space="preserve">Loan-related fees. </w:t>
      </w:r>
      <w:r>
        <w:rPr>
          <w:rFonts w:ascii="Arial" w:cs="Arial" w:eastAsia="Arial" w:hAnsi="Arial"/>
          <w:sz w:val="18"/>
          <w:szCs w:val="18"/>
          <w:color w:val="auto"/>
        </w:rPr>
        <w:t>The decrease in loan-related fees was primarily a result of $0.1 million of swap referral fees recognized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as compared to $0.4 million of swap referral fees recognized during the three months ended June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FHLB stock dividends. </w:t>
      </w:r>
      <w:r>
        <w:rPr>
          <w:rFonts w:ascii="Arial" w:cs="Arial" w:eastAsia="Arial" w:hAnsi="Arial"/>
          <w:sz w:val="18"/>
          <w:szCs w:val="18"/>
          <w:color w:val="auto"/>
        </w:rPr>
        <w:t>The increase in FHLB stock dividends was primarily due to increased yields on dividends between June 30, 2022 and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corresponding with the rise in the effective Federal Funds rate over the same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resulted primarily from a $1.3 million gain recorded for distributions received from venture-backed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during the three months ended June 30, 2023 which did not occur during the three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compared to six months ended June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For the six months ended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2"/>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30, 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7"/>
        </w:trPr>
        <w:tc>
          <w:tcPr>
            <w:tcW w:w="4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Service charges on deposit accounts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5.88 %</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Net gain on sale of securities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loans</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Loan-related fees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(48.48)%</w:t>
            </w:r>
          </w:p>
        </w:tc>
      </w:tr>
      <w:tr>
        <w:trPr>
          <w:trHeight w:val="23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 stock dividends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90.05 %</w:t>
            </w: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Earnings on BOLI</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19.37 %</w:t>
            </w:r>
          </w:p>
        </w:tc>
      </w:tr>
      <w:tr>
        <w:trPr>
          <w:trHeight w:val="23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260.88 %</w:t>
            </w:r>
          </w:p>
        </w:tc>
      </w:tr>
      <w:tr>
        <w:trPr>
          <w:trHeight w:val="223"/>
        </w:trPr>
        <w:tc>
          <w:tcPr>
            <w:tcW w:w="4900" w:type="dxa"/>
            <w:vAlign w:val="bottom"/>
            <w:gridSpan w:val="2"/>
          </w:tcPr>
          <w:p>
            <w:pPr>
              <w:ind w:left="14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1.65 %</w:t>
            </w:r>
          </w:p>
        </w:tc>
      </w:tr>
      <w:tr>
        <w:trPr>
          <w:trHeight w:val="21"/>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Gain on sale of loans. </w:t>
      </w:r>
      <w:r>
        <w:rPr>
          <w:rFonts w:ascii="Arial" w:cs="Arial" w:eastAsia="Arial" w:hAnsi="Arial"/>
          <w:sz w:val="18"/>
          <w:szCs w:val="18"/>
          <w:color w:val="auto"/>
        </w:rPr>
        <w:t>The decrease in gain on sale of loans related primarily to an overall decline in the volume and yields on loans sold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2023 compared to the six months ended June 30, 2022. During the six months ended June 30, 2023, approximately $23.6 million of loans were sold with an effective yield of 5.26%, as compared to approximately $25.7 million of loans sold with an effective yield of 6.80% during the six months ended June 30, 2022.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Loan-related fees</w:t>
      </w:r>
      <w:r>
        <w:rPr>
          <w:rFonts w:ascii="Arial" w:cs="Arial" w:eastAsia="Arial" w:hAnsi="Arial"/>
          <w:sz w:val="18"/>
          <w:szCs w:val="18"/>
          <w:color w:val="auto"/>
        </w:rPr>
        <w:t>. The decrease in loan-related fees primarily related to $0.1 million of swap referral fees recognized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as compared to $0.7 million recognized in the six months ended June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FHLB stock dividends. </w:t>
      </w:r>
      <w:r>
        <w:rPr>
          <w:rFonts w:ascii="Arial" w:cs="Arial" w:eastAsia="Arial" w:hAnsi="Arial"/>
          <w:sz w:val="18"/>
          <w:szCs w:val="18"/>
          <w:color w:val="auto"/>
        </w:rPr>
        <w:t>The increase in FHLB stock dividends was primarily due to increased yields on dividends between June 30, 2022 and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corresponding with the rise in the effective Federal Funds rate over the same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resulted primarily from a $1.3 million gain recorded for distributions received from venture-backed fund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during the six months ended June 30, 2023 which did not occur during the six months ended June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Over the past several years, we have invested significant resources in personnel, technology, and infrastructure. As we execute initiatives based on growth, we expect non-interest expense to grow. Non-interest expense has increased throughout the periods presented below; however, we expect our efficiency ratio will improve going forward due, in part, to our past investment in infrastructure.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460" w:type="dxa"/>
            <w:vAlign w:val="bottom"/>
            <w:gridSpan w:val="5"/>
          </w:tcPr>
          <w:p>
            <w:pPr>
              <w:spacing w:after="0"/>
              <w:rPr>
                <w:sz w:val="20"/>
                <w:szCs w:val="20"/>
                <w:color w:val="auto"/>
              </w:rPr>
            </w:pPr>
            <w:r>
              <w:rPr>
                <w:rFonts w:ascii="Arial" w:cs="Arial" w:eastAsia="Arial" w:hAnsi="Arial"/>
                <w:sz w:val="18"/>
                <w:szCs w:val="18"/>
                <w:color w:val="auto"/>
                <w:w w:val="95"/>
              </w:rPr>
              <w:t>Three months ended June 30, 2023 compared to three months ended June 30,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53"/>
        </w:trPr>
        <w:tc>
          <w:tcPr>
            <w:tcW w:w="6760" w:type="dxa"/>
            <w:vAlign w:val="bottom"/>
            <w:gridSpan w:val="7"/>
          </w:tcPr>
          <w:p>
            <w:pPr>
              <w:spacing w:after="0"/>
              <w:rPr>
                <w:sz w:val="20"/>
                <w:szCs w:val="20"/>
                <w:color w:val="auto"/>
              </w:rPr>
            </w:pPr>
            <w:r>
              <w:rPr>
                <w:rFonts w:ascii="Arial" w:cs="Arial" w:eastAsia="Arial" w:hAnsi="Arial"/>
                <w:sz w:val="18"/>
                <w:szCs w:val="18"/>
                <w:color w:val="auto"/>
                <w:w w:val="91"/>
              </w:rPr>
              <w:t>The following table details the components of non-interest expense for the periods indicated.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For the 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2"/>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7"/>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15.63 %</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Occupancy and equipment</w:t>
            </w: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7.41 %</w:t>
            </w:r>
          </w:p>
        </w:tc>
      </w:tr>
      <w:tr>
        <w:trPr>
          <w:trHeight w:val="24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Data processing and software</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37.08 %</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FDIC insurance</w:t>
            </w: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67.35 %</w:t>
            </w: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3.17 %</w:t>
            </w: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Advertising and promotional</w:t>
            </w: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51.45 %</w:t>
            </w:r>
          </w:p>
        </w:tc>
      </w:tr>
      <w:tr>
        <w:trPr>
          <w:trHeight w:val="23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Loan-related expenses</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(16.71)%</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13.24 %</w:t>
            </w:r>
          </w:p>
        </w:tc>
      </w:tr>
      <w:tr>
        <w:trPr>
          <w:trHeight w:val="257"/>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non-interest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Salaries and employee benefits. </w:t>
      </w:r>
      <w:r>
        <w:rPr>
          <w:rFonts w:ascii="Arial" w:cs="Arial" w:eastAsia="Arial" w:hAnsi="Arial"/>
          <w:sz w:val="16"/>
          <w:szCs w:val="16"/>
          <w:color w:val="auto"/>
        </w:rPr>
        <w:t>The increase in salaries and employee benefits was primarily a result of: (i) a $0.6 million increase in salaries,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and benefits as a result of a 7.56% increase in headcount and (ii) a $0.5 million decrease in loan origination costs due to lower loan production during the three months ended June 30, 2023, as compared to the three months ended June 30, 2022. These increases were partially offset by $0.2 million of lower commission expenses due to lower loan production during the three months ended June 30, 2023, as compared to the three months ended June 30, 2022.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Data processing and software. </w:t>
      </w:r>
      <w:r>
        <w:rPr>
          <w:rFonts w:ascii="Arial" w:cs="Arial" w:eastAsia="Arial" w:hAnsi="Arial"/>
          <w:sz w:val="16"/>
          <w:szCs w:val="16"/>
          <w:color w:val="auto"/>
        </w:rPr>
        <w:t>The increase in data processing and software costs was primarily due to: (i) increased usage of our digital banking platform;</w:t>
      </w:r>
    </w:p>
    <w:p>
      <w:pPr>
        <w:spacing w:after="0" w:line="46" w:lineRule="exact"/>
        <w:rPr>
          <w:sz w:val="20"/>
          <w:szCs w:val="20"/>
          <w:color w:val="auto"/>
        </w:rPr>
      </w:pPr>
    </w:p>
    <w:p>
      <w:pPr>
        <w:ind w:firstLine="8"/>
        <w:spacing w:after="0" w:line="260" w:lineRule="auto"/>
        <w:tabs>
          <w:tab w:leader="none" w:pos="2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transaction volumes related to the increased number of loan and deposit accounts; and (iii) an increased number of licenses required for new users on our loan origination and documentation system.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FDIC insurance. </w:t>
      </w:r>
      <w:r>
        <w:rPr>
          <w:rFonts w:ascii="Arial" w:cs="Arial" w:eastAsia="Arial" w:hAnsi="Arial"/>
          <w:sz w:val="18"/>
          <w:szCs w:val="18"/>
          <w:color w:val="auto"/>
        </w:rPr>
        <w:t>The increase related primarily to a final rule adopted by the FDIC to increase initial base deposit insurance assessment rates for insured</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depository institutions by two basis points, beginning with the first quarterly assessment period of 2023. FDIC insurance also increased for the three months ended June 30, 2023 compared to the three months ended June 30, 2022, due to a $482.8 million increase in the assessment base period-over-period.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Advertising and promotional. </w:t>
      </w:r>
      <w:r>
        <w:rPr>
          <w:rFonts w:ascii="Arial" w:cs="Arial" w:eastAsia="Arial" w:hAnsi="Arial"/>
          <w:sz w:val="18"/>
          <w:szCs w:val="18"/>
          <w:color w:val="auto"/>
        </w:rPr>
        <w:t>The increase in advertising and promotional costs was primarily due to a $0.2 million increase in business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in relation to an increased customer base and an increase in the number of Business Development Officers from 21 as of June 30, 2022 to 23 as of June 30,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The increase in other operating expenses was primarily due to an overall increase in travel, conference fees, and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fees during the three months June 30, 2023, as compared to the three months ended June 30,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460" w:type="dxa"/>
            <w:vAlign w:val="bottom"/>
            <w:gridSpan w:val="5"/>
          </w:tcPr>
          <w:p>
            <w:pPr>
              <w:spacing w:after="0"/>
              <w:rPr>
                <w:sz w:val="20"/>
                <w:szCs w:val="20"/>
                <w:color w:val="auto"/>
              </w:rPr>
            </w:pPr>
            <w:r>
              <w:rPr>
                <w:rFonts w:ascii="Arial" w:cs="Arial" w:eastAsia="Arial" w:hAnsi="Arial"/>
                <w:sz w:val="18"/>
                <w:szCs w:val="18"/>
                <w:color w:val="auto"/>
              </w:rPr>
              <w:t>Six months ended June 30, 2023 compared to six months ended June 30,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482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53"/>
        </w:trPr>
        <w:tc>
          <w:tcPr>
            <w:tcW w:w="6760" w:type="dxa"/>
            <w:vAlign w:val="bottom"/>
            <w:gridSpan w:val="7"/>
          </w:tcPr>
          <w:p>
            <w:pPr>
              <w:spacing w:after="0"/>
              <w:rPr>
                <w:sz w:val="20"/>
                <w:szCs w:val="20"/>
                <w:color w:val="auto"/>
              </w:rPr>
            </w:pPr>
            <w:r>
              <w:rPr>
                <w:rFonts w:ascii="Arial" w:cs="Arial" w:eastAsia="Arial" w:hAnsi="Arial"/>
                <w:sz w:val="18"/>
                <w:szCs w:val="18"/>
                <w:color w:val="auto"/>
                <w:w w:val="91"/>
              </w:rPr>
              <w:t>The following table details the components of non-interest expense for the periods indicated.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For the six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2"/>
        </w:trPr>
        <w:tc>
          <w:tcPr>
            <w:tcW w:w="490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June 30,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27"/>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16.13 %</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Occupancy and equipment</w:t>
            </w: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3.97 %</w:t>
            </w:r>
          </w:p>
        </w:tc>
      </w:tr>
      <w:tr>
        <w:trPr>
          <w:trHeight w:val="24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Data processing and software</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29.55 %</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FDIC insurance</w:t>
            </w: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98.05 %</w:t>
            </w:r>
          </w:p>
        </w:tc>
      </w:tr>
      <w:tr>
        <w:trPr>
          <w:trHeight w:val="22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Advertising and promotional</w:t>
            </w:r>
          </w:p>
        </w:tc>
        <w:tc>
          <w:tcPr>
            <w:tcW w:w="2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39.01 %</w:t>
            </w:r>
          </w:p>
        </w:tc>
      </w:tr>
      <w:tr>
        <w:trPr>
          <w:trHeight w:val="23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Loan-related expenses</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29"/>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9.98 %</w:t>
            </w:r>
          </w:p>
        </w:tc>
      </w:tr>
      <w:tr>
        <w:trPr>
          <w:trHeight w:val="257"/>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non-interest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Salaries and employee benefits. </w:t>
      </w:r>
      <w:r>
        <w:rPr>
          <w:rFonts w:ascii="Arial" w:cs="Arial" w:eastAsia="Arial" w:hAnsi="Arial"/>
          <w:sz w:val="18"/>
          <w:szCs w:val="18"/>
          <w:color w:val="auto"/>
        </w:rPr>
        <w:t>The increase in salaries and employee benefits was primarily a result of: (i) a $1.3 million increase in salaries,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benefits as a result of a 7.56% increase in headcount; (ii) a $1.1 million decrease in loan origination costs due to lower loan production period-over-period; and (iii) a $0.3 million increase in bonus expense during the six months ended June 30, 2023, as compared to the six months ended June 30, 2022. These increases were partially offset by a reduction of $0.9 million of commission expenses for the six months ended June 30, 2023, as compared to the six months ended June 30,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Data processing and software. </w:t>
      </w:r>
      <w:r>
        <w:rPr>
          <w:rFonts w:ascii="Arial" w:cs="Arial" w:eastAsia="Arial" w:hAnsi="Arial"/>
          <w:sz w:val="18"/>
          <w:szCs w:val="18"/>
          <w:color w:val="auto"/>
        </w:rPr>
        <w:t>The increase in data processing and software was primarily due to: (i) increased usage of our digital banking platform; (ii)</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transaction volumes related to the increased number of loan and deposit accounts; and (iii) an increased number of licenses required for new users on our loan origination and documentation system.</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FDIC insurance. </w:t>
      </w:r>
      <w:r>
        <w:rPr>
          <w:rFonts w:ascii="Arial" w:cs="Arial" w:eastAsia="Arial" w:hAnsi="Arial"/>
          <w:sz w:val="16"/>
          <w:szCs w:val="16"/>
          <w:color w:val="auto"/>
        </w:rPr>
        <w:t>The increase related primarily to a final rule adopted by the FDIC to increase initial base deposit insurance assessment rates for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depository institutions by two basis points, beginning with the first quarterly assessment period of 2023. FDIC insurance also increased for the six months ended June 30, 2023 compared to the six months ended June 30, 2022, due to a $482.8 million increase in the assessment base period-over-period.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Advertising and promotional. </w:t>
      </w:r>
      <w:r>
        <w:rPr>
          <w:rFonts w:ascii="Arial" w:cs="Arial" w:eastAsia="Arial" w:hAnsi="Arial"/>
          <w:sz w:val="18"/>
          <w:szCs w:val="18"/>
          <w:color w:val="auto"/>
        </w:rPr>
        <w:t>The increase in advertising and promotional costs was primarily due to a $0.3 million increase in business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in relation to an increased customer base and a 9.52% increase in the number of Business Development Officers from 21 as of June 30, 2022 to 23 as of June 30,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The increase in other operating expenses was primarily due to a $0.2 million increase in travel, conference fees, and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fees during the six months ended June 30, 2023, as compared to the six months ended June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June 30, 2023 compared to three months ended June 30, 2022</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provision for income tax was $4.4 million for the three months ended June 30, 2023, compared to $4.1 million for the three months ended June 30, 2022. The increase was primarily due to an overall increase in pre-tax income period-over-period, which was partially offset by a $0.5 million state tax benefit recorded during the three months ended June 30, 2023 relating to an overall reduction in the state tax blended rate for the Company since its transition to a C Corporation. The effective income tax rates for the three months ended June 30, 2023 and 2022 were 25.86% and 29.07%,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2023 compared to six months ended June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 for income taxes was $9.8 million for the six months ended June 30, 2023, compared to $7.7 million for the six months ended June 30, 2022. The increase was primarily due to an overall increase in pre-tax income period-over-period, which was partially offset by a $0.5 million state tax benefit recorded during the six months ended June 30, 2023</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relating to an overall reduction in the state tax blended rate for the Company since its transition to a C Corporation. The effective tax rates for the six months ended June 30, 2023 and 2022 were 27.42% and 28.09%,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SUMMARY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discussion compares our financial condition as of June 30, 2023 to our financial condition as of December 31, 2022. The following table summarizes selected components of our unaudited consolidated balance sheets as of June 30, 2023 and December 31, 2022.</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9"/>
        </w:trPr>
        <w:tc>
          <w:tcPr>
            <w:tcW w:w="78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3,227,159</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259,991</w:t>
            </w: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119,744</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2,927,411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2,791,326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2,782,004</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Subordinated notes, net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73,606</w:t>
            </w:r>
          </w:p>
        </w:tc>
        <w:tc>
          <w:tcPr>
            <w:tcW w:w="0" w:type="dxa"/>
            <w:vAlign w:val="bottom"/>
          </w:tcPr>
          <w:p>
            <w:pPr>
              <w:spacing w:after="0"/>
              <w:rPr>
                <w:sz w:val="1"/>
                <w:szCs w:val="1"/>
                <w:color w:val="auto"/>
              </w:rPr>
            </w:pPr>
          </w:p>
        </w:tc>
      </w:tr>
      <w:tr>
        <w:trPr>
          <w:trHeight w:val="23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252,825</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total assets were $3.4 billion, an increase of $175.5 million from $3.2 billion at December 31, 2022, primarily due to increases in cash and cash equivalents of $40.1 million and loans held for investment of $136.1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cash and cash equivalents were $300.1 million at June 30, 2023, an increase of $40.1 million from $260.0 million at December 31, 2022. The increase in cash and cash equivalents was primarily due to an increase in deposits of $147.7 million and net income of $25.9 million, partially offset by loan originations, net of repayments, of $128.8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securities available-for-sale and held-to-maturity amounted to $114.3 million at June 30, 2023 and $119.7 million at December 31, 2022, representing a decrease of $5.4 million period-over-period. The decrease to available-for-sale securities was primarily due to maturities, prepayments, and calls of $5.5 million, partially offset by an unrealized gain on securities of $0.7 million, with the remainder of the change due to amortization on premiums. For the three months ended June 30, 2023, other comprehensive loss was $1.0 million, primarily due to rate changes and other market conditions on securities.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presents the carrying value of our investment portfolio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1190"/>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30"/>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December 31, 2022</w:t>
            </w:r>
          </w:p>
        </w:tc>
      </w:tr>
      <w:tr>
        <w:trPr>
          <w:trHeight w:val="230"/>
        </w:trPr>
        <w:tc>
          <w:tcPr>
            <w:tcW w:w="49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Carrying Value</w:t>
            </w:r>
          </w:p>
        </w:tc>
        <w:tc>
          <w:tcPr>
            <w:tcW w:w="80" w:type="dxa"/>
            <w:vAlign w:val="bottom"/>
          </w:tcPr>
          <w:p>
            <w:pPr>
              <w:spacing w:after="0"/>
              <w:rPr>
                <w:sz w:val="19"/>
                <w:szCs w:val="19"/>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Carrying Value</w:t>
            </w:r>
          </w:p>
        </w:tc>
        <w:tc>
          <w:tcPr>
            <w:tcW w:w="100" w:type="dxa"/>
            <w:vAlign w:val="bottom"/>
          </w:tcPr>
          <w:p>
            <w:pPr>
              <w:spacing w:after="0"/>
              <w:rPr>
                <w:sz w:val="19"/>
                <w:szCs w:val="19"/>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 of Total</w:t>
            </w: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Available-for-sale (at fair value):</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7"/>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12,137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10.63 %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14,173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11.84 %</w:t>
            </w:r>
          </w:p>
        </w:tc>
      </w:tr>
      <w:tr>
        <w:trPr>
          <w:trHeight w:val="236"/>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50.82 %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51.17 %</w:t>
            </w:r>
          </w:p>
        </w:tc>
      </w:tr>
      <w:tr>
        <w:trPr>
          <w:trHeight w:val="230"/>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38,479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33.67 %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32.09 %</w:t>
            </w:r>
          </w:p>
        </w:tc>
      </w:tr>
      <w:tr>
        <w:trPr>
          <w:trHeight w:val="243"/>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0.33 %</w:t>
            </w:r>
          </w:p>
        </w:tc>
      </w:tr>
      <w:tr>
        <w:trPr>
          <w:trHeight w:val="230"/>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23"/>
        </w:trPr>
        <w:tc>
          <w:tcPr>
            <w:tcW w:w="496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available-for-sale</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110,794</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96.95 %</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115,988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96.87 %</w:t>
            </w:r>
          </w:p>
        </w:tc>
      </w:tr>
      <w:tr>
        <w:trPr>
          <w:trHeight w:val="270"/>
        </w:trPr>
        <w:tc>
          <w:tcPr>
            <w:tcW w:w="4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3"/>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Held-to-maturity (at amortized cost):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29"/>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3.05 %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3.13 %</w:t>
            </w:r>
          </w:p>
        </w:tc>
      </w:tr>
      <w:tr>
        <w:trPr>
          <w:trHeight w:val="248"/>
        </w:trPr>
        <w:tc>
          <w:tcPr>
            <w:tcW w:w="49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June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w w:val="88"/>
              </w:rPr>
              <w:t>Due in one year or less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Due after one year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Due after five years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w w:val="90"/>
              </w:rPr>
              <w:t>Due after ten years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Borders>
              <w:bottom w:val="single" w:sz="8" w:color="auto"/>
            </w:tcBorders>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through five years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3"/>
              </w:rPr>
              <w:t>through ten years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5"/>
                <w:szCs w:val="1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20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vMerge w:val="restart"/>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9"/>
        </w:trPr>
        <w:tc>
          <w:tcPr>
            <w:tcW w:w="20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Value</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Value</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254"/>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140" w:type="dxa"/>
            <w:vAlign w:val="bottom"/>
            <w:gridSpan w:val="2"/>
          </w:tcPr>
          <w:p>
            <w:pPr>
              <w:ind w:left="180"/>
              <w:spacing w:after="0"/>
              <w:rPr>
                <w:sz w:val="20"/>
                <w:szCs w:val="20"/>
                <w:color w:val="auto"/>
              </w:rPr>
            </w:pPr>
            <w:r>
              <w:rPr>
                <w:rFonts w:ascii="Arial" w:cs="Arial" w:eastAsia="Arial" w:hAnsi="Arial"/>
                <w:sz w:val="18"/>
                <w:szCs w:val="18"/>
                <w:color w:val="auto"/>
              </w:rPr>
              <w:t>U.S. government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agencies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3.07 %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4.62 %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8,871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5.15 %</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4.89 %</w:t>
            </w:r>
          </w:p>
        </w:tc>
        <w:tc>
          <w:tcPr>
            <w:tcW w:w="0" w:type="dxa"/>
            <w:vAlign w:val="bottom"/>
          </w:tcPr>
          <w:p>
            <w:pPr>
              <w:spacing w:after="0"/>
              <w:rPr>
                <w:sz w:val="1"/>
                <w:szCs w:val="1"/>
                <w:color w:val="auto"/>
              </w:rPr>
            </w:pPr>
          </w:p>
        </w:tc>
      </w:tr>
      <w:tr>
        <w:trPr>
          <w:trHeight w:val="222"/>
        </w:trPr>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Mortgage-backed</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57,420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58,079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15"/>
        </w:trPr>
        <w:tc>
          <w:tcPr>
            <w:tcW w:w="2140" w:type="dxa"/>
            <w:vAlign w:val="bottom"/>
            <w:gridSpan w:val="2"/>
          </w:tcPr>
          <w:p>
            <w:pPr>
              <w:ind w:left="200"/>
              <w:spacing w:after="0"/>
              <w:rPr>
                <w:sz w:val="20"/>
                <w:szCs w:val="20"/>
                <w:color w:val="auto"/>
              </w:rPr>
            </w:pPr>
            <w:r>
              <w:rPr>
                <w:rFonts w:ascii="Arial" w:cs="Arial" w:eastAsia="Arial" w:hAnsi="Arial"/>
                <w:sz w:val="18"/>
                <w:szCs w:val="18"/>
                <w:color w:val="auto"/>
                <w:w w:val="96"/>
              </w:rPr>
              <w:t>Obligations of states and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political subdivisions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33,275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1.76 %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22"/>
        </w:trPr>
        <w:tc>
          <w:tcPr>
            <w:tcW w:w="2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Collateralized mortgage</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63"/>
        </w:trPr>
        <w:tc>
          <w:tcPr>
            <w:tcW w:w="2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57"/>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Total available-for-sale</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110,794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Held-to-maturity:</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140" w:type="dxa"/>
            <w:vAlign w:val="bottom"/>
            <w:gridSpan w:val="2"/>
          </w:tcPr>
          <w:p>
            <w:pPr>
              <w:ind w:left="200"/>
              <w:spacing w:after="0"/>
              <w:rPr>
                <w:sz w:val="20"/>
                <w:szCs w:val="20"/>
                <w:color w:val="auto"/>
              </w:rPr>
            </w:pPr>
            <w:r>
              <w:rPr>
                <w:rFonts w:ascii="Arial" w:cs="Arial" w:eastAsia="Arial" w:hAnsi="Arial"/>
                <w:sz w:val="18"/>
                <w:szCs w:val="18"/>
                <w:color w:val="auto"/>
                <w:w w:val="96"/>
              </w:rPr>
              <w:t>Obligations of states and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political subdivisions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76"/>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100,401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114,280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The following table presents the carrying value of our securities by their stated maturities, as well as the weighted average yields for each maturity range, as of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w w:val="88"/>
              </w:rPr>
              <w:t>Due in one year or less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Due after one year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Due after five years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right"/>
              <w:ind w:right="50"/>
              <w:spacing w:after="0"/>
              <w:rPr>
                <w:sz w:val="20"/>
                <w:szCs w:val="20"/>
                <w:color w:val="auto"/>
              </w:rPr>
            </w:pPr>
            <w:r>
              <w:rPr>
                <w:rFonts w:ascii="Arial" w:cs="Arial" w:eastAsia="Arial" w:hAnsi="Arial"/>
                <w:sz w:val="18"/>
                <w:szCs w:val="18"/>
                <w:b w:val="1"/>
                <w:bCs w:val="1"/>
                <w:color w:val="auto"/>
                <w:w w:val="90"/>
              </w:rPr>
              <w:t>Due after ten years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Borders>
              <w:bottom w:val="single" w:sz="8" w:color="auto"/>
            </w:tcBorders>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9"/>
              </w:rPr>
              <w:t>through five years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3"/>
              </w:rPr>
              <w:t>through ten years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5"/>
                <w:szCs w:val="15"/>
                <w:color w:val="auto"/>
              </w:rPr>
            </w:pPr>
          </w:p>
        </w:tc>
        <w:tc>
          <w:tcPr>
            <w:tcW w:w="86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5"/>
                <w:szCs w:val="1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Carrying</w:t>
            </w:r>
          </w:p>
        </w:tc>
        <w:tc>
          <w:tcPr>
            <w:tcW w:w="80" w:type="dxa"/>
            <w:vAlign w:val="bottom"/>
          </w:tcPr>
          <w:p>
            <w:pPr>
              <w:spacing w:after="0"/>
              <w:rPr>
                <w:sz w:val="15"/>
                <w:szCs w:val="15"/>
                <w:color w:val="auto"/>
              </w:rPr>
            </w:pPr>
          </w:p>
        </w:tc>
        <w:tc>
          <w:tcPr>
            <w:tcW w:w="88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6"/>
        </w:trPr>
        <w:tc>
          <w:tcPr>
            <w:tcW w:w="214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9"/>
        </w:trPr>
        <w:tc>
          <w:tcPr>
            <w:tcW w:w="21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Value</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Yield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227"/>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Available-for-sale:</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U.S. government</w:t>
            </w: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849</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1.98 %</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2,625</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3.61 %</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10,699</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2.90 %</w:t>
            </w:r>
          </w:p>
        </w:tc>
        <w:tc>
          <w:tcPr>
            <w:tcW w:w="200" w:type="dxa"/>
            <w:vAlign w:val="bottom"/>
            <w:gridSpan w:val="2"/>
            <w:vMerge w:val="restart"/>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14,173</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37"/>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agencies</w:t>
            </w:r>
          </w:p>
        </w:tc>
        <w:tc>
          <w:tcPr>
            <w:tcW w:w="16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Mortgage-backed</w:t>
            </w: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61,269</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61,271</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140" w:type="dxa"/>
            <w:vAlign w:val="bottom"/>
            <w:gridSpan w:val="2"/>
          </w:tcPr>
          <w:p>
            <w:pPr>
              <w:ind w:left="180"/>
              <w:spacing w:after="0" w:line="189" w:lineRule="exact"/>
              <w:rPr>
                <w:sz w:val="20"/>
                <w:szCs w:val="20"/>
                <w:color w:val="auto"/>
              </w:rPr>
            </w:pPr>
            <w:r>
              <w:rPr>
                <w:rFonts w:ascii="Arial" w:cs="Arial" w:eastAsia="Arial" w:hAnsi="Arial"/>
                <w:sz w:val="18"/>
                <w:szCs w:val="18"/>
                <w:color w:val="auto"/>
                <w:w w:val="97"/>
              </w:rPr>
              <w:t>Obligations of states and</w:t>
            </w: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501</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2.80 %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4,761</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1.63 %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33,164</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1.76 %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38,426</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0"/>
        </w:trPr>
        <w:tc>
          <w:tcPr>
            <w:tcW w:w="2140" w:type="dxa"/>
            <w:vAlign w:val="bottom"/>
            <w:gridSpan w:val="2"/>
          </w:tcPr>
          <w:p>
            <w:pPr>
              <w:ind w:left="360"/>
              <w:spacing w:after="0"/>
              <w:rPr>
                <w:sz w:val="20"/>
                <w:szCs w:val="20"/>
                <w:color w:val="auto"/>
              </w:rPr>
            </w:pPr>
            <w:r>
              <w:rPr>
                <w:rFonts w:ascii="Arial" w:cs="Arial" w:eastAsia="Arial" w:hAnsi="Arial"/>
                <w:sz w:val="18"/>
                <w:szCs w:val="18"/>
                <w:color w:val="auto"/>
              </w:rPr>
              <w:t>political subdivisions</w:t>
            </w:r>
          </w:p>
        </w:tc>
        <w:tc>
          <w:tcPr>
            <w:tcW w:w="16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Collateralized mortgage</w:t>
            </w: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43"/>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obligations</w:t>
            </w:r>
          </w:p>
        </w:tc>
        <w:tc>
          <w:tcPr>
            <w:tcW w:w="16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56"/>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Total available-for-sale</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115,988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Held-to-maturity:</w:t>
            </w: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140" w:type="dxa"/>
            <w:vAlign w:val="bottom"/>
            <w:gridSpan w:val="2"/>
          </w:tcPr>
          <w:p>
            <w:pPr>
              <w:ind w:left="180"/>
              <w:spacing w:after="0" w:line="189" w:lineRule="exact"/>
              <w:rPr>
                <w:sz w:val="20"/>
                <w:szCs w:val="20"/>
                <w:color w:val="auto"/>
              </w:rPr>
            </w:pPr>
            <w:r>
              <w:rPr>
                <w:rFonts w:ascii="Arial" w:cs="Arial" w:eastAsia="Arial" w:hAnsi="Arial"/>
                <w:sz w:val="18"/>
                <w:szCs w:val="18"/>
                <w:color w:val="auto"/>
                <w:w w:val="97"/>
              </w:rPr>
              <w:t>Obligations of states and</w:t>
            </w:r>
          </w:p>
        </w:tc>
        <w:tc>
          <w:tcPr>
            <w:tcW w:w="1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1,470</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854</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3,756</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political subdivisions</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119,744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As of June 30, 2023 and December 31, 2022, our total loans amounted to $2.9 billion and $2.8 billion, respectively. The following table presents the balance and associated percentage of each major product type within our portfolio as of the dates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June 30, 2023</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Loans</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of Loans</w:t>
            </w: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2,512,741</w:t>
            </w:r>
          </w:p>
        </w:tc>
        <w:tc>
          <w:tcPr>
            <w:tcW w:w="2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85.51 %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85.44 %</w:t>
            </w:r>
          </w:p>
        </w:tc>
        <w:tc>
          <w:tcPr>
            <w:tcW w:w="0" w:type="dxa"/>
            <w:vAlign w:val="bottom"/>
          </w:tcPr>
          <w:p>
            <w:pPr>
              <w:spacing w:after="0"/>
              <w:rPr>
                <w:sz w:val="1"/>
                <w:szCs w:val="1"/>
                <w:color w:val="auto"/>
              </w:rPr>
            </w:pPr>
          </w:p>
        </w:tc>
      </w:tr>
      <w:tr>
        <w:trPr>
          <w:trHeight w:val="25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15,199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0.52 %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0.27 %</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Commercial construction</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5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13,913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0.47 %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6,693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0.24 %</w:t>
            </w:r>
          </w:p>
        </w:tc>
        <w:tc>
          <w:tcPr>
            <w:tcW w:w="0" w:type="dxa"/>
            <w:vAlign w:val="bottom"/>
          </w:tcPr>
          <w:p>
            <w:pPr>
              <w:spacing w:after="0"/>
              <w:rPr>
                <w:sz w:val="1"/>
                <w:szCs w:val="1"/>
                <w:color w:val="auto"/>
              </w:rPr>
            </w:pPr>
          </w:p>
        </w:tc>
      </w:tr>
      <w:tr>
        <w:trPr>
          <w:trHeight w:val="263"/>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0" w:type="dxa"/>
            <w:vAlign w:val="bottom"/>
          </w:tcPr>
          <w:p>
            <w:pPr>
              <w:spacing w:after="0"/>
              <w:rPr>
                <w:sz w:val="1"/>
                <w:szCs w:val="1"/>
                <w:color w:val="auto"/>
              </w:rPr>
            </w:pPr>
          </w:p>
        </w:tc>
      </w:tr>
      <w:tr>
        <w:trPr>
          <w:trHeight w:val="25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51,349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52,478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63"/>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158,959</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5.41 %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165,186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Unsecured</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31,455</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1.07 %</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5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 gross</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99.71 %</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2,793,466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99.66 %</w:t>
            </w:r>
          </w:p>
        </w:tc>
        <w:tc>
          <w:tcPr>
            <w:tcW w:w="0" w:type="dxa"/>
            <w:vAlign w:val="bottom"/>
          </w:tcPr>
          <w:p>
            <w:pPr>
              <w:spacing w:after="0"/>
              <w:rPr>
                <w:sz w:val="1"/>
                <w:szCs w:val="1"/>
                <w:color w:val="auto"/>
              </w:rPr>
            </w:pPr>
          </w:p>
        </w:tc>
      </w:tr>
      <w:tr>
        <w:trPr>
          <w:trHeight w:val="270"/>
        </w:trPr>
        <w:tc>
          <w:tcPr>
            <w:tcW w:w="4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0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8,559</w:t>
            </w:r>
          </w:p>
        </w:tc>
        <w:tc>
          <w:tcPr>
            <w:tcW w:w="8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0.29 %</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8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2,938,380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2,802,882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(2,410)</w:t>
            </w: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tcBorders>
              <w:bottom w:val="single" w:sz="8" w:color="CCEEFF"/>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loans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2,935,970</w:t>
            </w:r>
          </w:p>
        </w:tc>
        <w:tc>
          <w:tcPr>
            <w:tcW w:w="2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2,800,742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The following tables present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$2.0 million are reviewed annually, at which time an internal assessment of collateral values is completed.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2"/>
              </w:rPr>
              <w:t>Loan Balance</w:t>
            </w:r>
          </w:p>
        </w:tc>
        <w:tc>
          <w:tcPr>
            <w:tcW w:w="100" w:type="dxa"/>
            <w:vAlign w:val="bottom"/>
          </w:tcPr>
          <w:p>
            <w:pPr>
              <w:spacing w:after="0"/>
              <w:rPr>
                <w:sz w:val="17"/>
                <w:szCs w:val="17"/>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 of Commercial</w:t>
            </w:r>
          </w:p>
        </w:tc>
        <w:tc>
          <w:tcPr>
            <w:tcW w:w="80" w:type="dxa"/>
            <w:vAlign w:val="bottom"/>
          </w:tcPr>
          <w:p>
            <w:pPr>
              <w:spacing w:after="0"/>
              <w:rPr>
                <w:sz w:val="17"/>
                <w:szCs w:val="17"/>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Collateral Value</w:t>
            </w:r>
          </w:p>
        </w:tc>
        <w:tc>
          <w:tcPr>
            <w:tcW w:w="120" w:type="dxa"/>
            <w:vAlign w:val="bottom"/>
          </w:tcPr>
          <w:p>
            <w:pPr>
              <w:spacing w:after="0"/>
              <w:rPr>
                <w:sz w:val="17"/>
                <w:szCs w:val="17"/>
                <w:color w:val="auto"/>
              </w:rPr>
            </w:pPr>
          </w:p>
        </w:tc>
        <w:tc>
          <w:tcPr>
            <w:tcW w:w="15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Minimum LTV</w:t>
            </w:r>
          </w:p>
        </w:tc>
        <w:tc>
          <w:tcPr>
            <w:tcW w:w="100" w:type="dxa"/>
            <w:vAlign w:val="bottom"/>
          </w:tcPr>
          <w:p>
            <w:pPr>
              <w:spacing w:after="0"/>
              <w:rPr>
                <w:sz w:val="17"/>
                <w:szCs w:val="17"/>
                <w:color w:val="auto"/>
              </w:rPr>
            </w:pPr>
          </w:p>
        </w:tc>
        <w:tc>
          <w:tcPr>
            <w:tcW w:w="15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Maximum LTV</w:t>
            </w:r>
          </w:p>
        </w:tc>
        <w:tc>
          <w:tcPr>
            <w:tcW w:w="0" w:type="dxa"/>
            <w:vAlign w:val="bottom"/>
          </w:tcPr>
          <w:p>
            <w:pPr>
              <w:spacing w:after="0"/>
              <w:rPr>
                <w:sz w:val="1"/>
                <w:szCs w:val="1"/>
                <w:color w:val="auto"/>
              </w:rPr>
            </w:pPr>
          </w:p>
        </w:tc>
      </w:tr>
      <w:tr>
        <w:trPr>
          <w:trHeight w:val="239"/>
        </w:trPr>
        <w:tc>
          <w:tcPr>
            <w:tcW w:w="31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Real Estate</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Manufactured home community</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746,665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29.72 %</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1,299,605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16.95 %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74.41 %</w:t>
            </w: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RV Park</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318,464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12.67 %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548,501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18.47 %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267,518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10.65 %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500,294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13.93 %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74.67 %</w:t>
            </w: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203,035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8.08 %</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411,205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174,518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6.95 %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417,111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9.19 %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Faith-based</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170,987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443,383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74.92 %</w:t>
            </w: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Mini storage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158,539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6.31 %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322,574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16.71 %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70.00 %</w:t>
            </w: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290,399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73.97 %</w:t>
            </w:r>
          </w:p>
        </w:tc>
        <w:tc>
          <w:tcPr>
            <w:tcW w:w="0" w:type="dxa"/>
            <w:vAlign w:val="bottom"/>
          </w:tcPr>
          <w:p>
            <w:pPr>
              <w:spacing w:after="0"/>
              <w:rPr>
                <w:sz w:val="1"/>
                <w:szCs w:val="1"/>
                <w:color w:val="auto"/>
              </w:rPr>
            </w:pPr>
          </w:p>
        </w:tc>
      </w:tr>
      <w:tr>
        <w:trPr>
          <w:trHeight w:val="27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types</w:t>
            </w:r>
            <w:r>
              <w:rPr>
                <w:rFonts w:ascii="Arial" w:cs="Arial" w:eastAsia="Arial" w:hAnsi="Arial"/>
                <w:sz w:val="23"/>
                <w:szCs w:val="23"/>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339,452</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13.50 %</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703,344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4.00 %</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152.64 %</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2,512,741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4,936,416</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Manufactured home community</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673,891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28.14 %</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1,174,642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17.10 %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78.19 %</w:t>
            </w: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RV Park</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292,886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77.89 %</w:t>
            </w: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Retail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264,599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11.05 %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490,291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16.48 %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73.93 %</w:t>
            </w:r>
          </w:p>
        </w:tc>
        <w:tc>
          <w:tcPr>
            <w:tcW w:w="0" w:type="dxa"/>
            <w:vAlign w:val="bottom"/>
          </w:tcPr>
          <w:p>
            <w:pPr>
              <w:spacing w:after="0"/>
              <w:rPr>
                <w:sz w:val="1"/>
                <w:szCs w:val="1"/>
                <w:color w:val="auto"/>
              </w:rPr>
            </w:pPr>
          </w:p>
        </w:tc>
      </w:tr>
      <w:tr>
        <w:trPr>
          <w:trHeight w:val="25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202,203</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459,695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14.19 %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166,403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6.95 %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366,291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10.77 %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75.00 %</w:t>
            </w: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 storage</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158,650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70.04 %</w:t>
            </w:r>
          </w:p>
        </w:tc>
        <w:tc>
          <w:tcPr>
            <w:tcW w:w="0" w:type="dxa"/>
            <w:vAlign w:val="bottom"/>
          </w:tcPr>
          <w:p>
            <w:pPr>
              <w:spacing w:after="0"/>
              <w:rPr>
                <w:sz w:val="1"/>
                <w:szCs w:val="1"/>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Faith-based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146,740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6.13 %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383,321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3.19 %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73.55 %</w:t>
            </w:r>
          </w:p>
        </w:tc>
        <w:tc>
          <w:tcPr>
            <w:tcW w:w="0" w:type="dxa"/>
            <w:vAlign w:val="bottom"/>
          </w:tcPr>
          <w:p>
            <w:pPr>
              <w:spacing w:after="0"/>
              <w:rPr>
                <w:sz w:val="1"/>
                <w:szCs w:val="1"/>
                <w:color w:val="auto"/>
              </w:rPr>
            </w:pP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145,899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6.09 %</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310,248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74.68 %</w:t>
            </w:r>
          </w:p>
        </w:tc>
        <w:tc>
          <w:tcPr>
            <w:tcW w:w="0" w:type="dxa"/>
            <w:vAlign w:val="bottom"/>
          </w:tcPr>
          <w:p>
            <w:pPr>
              <w:spacing w:after="0"/>
              <w:rPr>
                <w:sz w:val="1"/>
                <w:szCs w:val="1"/>
                <w:color w:val="auto"/>
              </w:rPr>
            </w:pPr>
          </w:p>
        </w:tc>
      </w:tr>
      <w:tr>
        <w:trPr>
          <w:trHeight w:val="27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types</w:t>
            </w:r>
            <w:r>
              <w:rPr>
                <w:rFonts w:ascii="Arial" w:cs="Arial" w:eastAsia="Arial" w:hAnsi="Arial"/>
                <w:sz w:val="23"/>
                <w:szCs w:val="23"/>
                <w:color w:val="auto"/>
                <w:vertAlign w:val="superscript"/>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343,403</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14.34 %</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704,984</w:t>
            </w:r>
          </w:p>
        </w:tc>
        <w:tc>
          <w:tcPr>
            <w:tcW w:w="120" w:type="dxa"/>
            <w:vAlign w:val="bottom"/>
            <w:tcBorders>
              <w:bottom w:val="single" w:sz="8" w:color="CCEEFF"/>
            </w:tcBorders>
          </w:tcPr>
          <w:p>
            <w:pPr>
              <w:spacing w:after="0"/>
              <w:rPr>
                <w:sz w:val="23"/>
                <w:szCs w:val="23"/>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152.96 %</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ind w:left="180"/>
              <w:spacing w:after="0" w:line="250"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4,685,333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340" w:hanging="332"/>
        <w:spacing w:after="0" w:line="234"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Types of collateral in the “all other types” category are those that individually make up less than 5.00% commercial real estate concentration and include hospitality properties, auto dealerships, car washes, assisted living communities, country clubs, gas stations/convenience stores, medical offices, special purpose properties, mortuaries, restaurants, and schools.</w:t>
      </w:r>
    </w:p>
    <w:p>
      <w:pPr>
        <w:spacing w:after="0" w:line="18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Minimum LTV and Maximum LTV not shown for aggregated totals, as such values are meaningful only when presented by specific category.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several years, we have experienced significant growth in our loan portfolio, although the relative composition of the portfolio has not changed significantly. Our primary focus remains commercial real estate lending (including commercial, commercial land and development, and commercial construction), which constitutes 89.79% of loans held for investment at June 30, 2023. Commercial secured lending represents 5.43% of loans held for investment at June 30, 2023.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3" w:name="page54"/>
    <w:bookmarkEnd w:id="53"/>
    <w:p>
      <w:pPr>
        <w:jc w:val="both"/>
        <w:spacing w:after="0" w:line="257" w:lineRule="auto"/>
        <w:rPr>
          <w:sz w:val="20"/>
          <w:szCs w:val="20"/>
          <w:color w:val="auto"/>
        </w:rPr>
      </w:pPr>
      <w:r>
        <w:rPr>
          <w:rFonts w:ascii="Arial" w:cs="Arial" w:eastAsia="Arial" w:hAnsi="Arial"/>
          <w:sz w:val="18"/>
          <w:szCs w:val="18"/>
          <w:color w:val="auto"/>
        </w:rPr>
        <w:t>We recognize that our commercial real estate loan concentration is significant within our balance sheet. Commercial real estate loan balances as a percentage of risk-based capital were 675.66% and 680.34% as of June 30, 2023 and December 31, 2022, respectively. We have established internal concentration limits in the loan portfolio for commercial real estate loans by sector (e.g., manufactured home communities, self-storage, hospitality, etc.). All loan sectors were within our established limits as of June 30, 2023. Additionally, our loans are geographically concentrated with borrowers and collateral properties primarily in California.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Due in 1 year 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Due after 1 year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Due after 5 years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Due after 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6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less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through 5 years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through 15 years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39,367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206,609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2,201,094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65,671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2,512,741</w:t>
            </w:r>
          </w:p>
        </w:tc>
        <w:tc>
          <w:tcPr>
            <w:tcW w:w="0" w:type="dxa"/>
            <w:vAlign w:val="bottom"/>
          </w:tcPr>
          <w:p>
            <w:pPr>
              <w:spacing w:after="0"/>
              <w:rPr>
                <w:sz w:val="1"/>
                <w:szCs w:val="1"/>
                <w:color w:val="auto"/>
              </w:rPr>
            </w:pPr>
          </w:p>
        </w:tc>
      </w:tr>
      <w:tr>
        <w:trPr>
          <w:trHeight w:val="263"/>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15,199</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30,941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51,900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100,514</w:t>
            </w: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0" w:type="dxa"/>
            <w:vAlign w:val="bottom"/>
          </w:tcPr>
          <w:p>
            <w:pPr>
              <w:spacing w:after="0"/>
              <w:rPr>
                <w:sz w:val="1"/>
                <w:szCs w:val="1"/>
                <w:color w:val="auto"/>
              </w:rPr>
            </w:pPr>
          </w:p>
        </w:tc>
      </w:tr>
      <w:tr>
        <w:trPr>
          <w:trHeight w:val="250"/>
        </w:trPr>
        <w:tc>
          <w:tcPr>
            <w:tcW w:w="364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22,501</w:t>
            </w:r>
          </w:p>
        </w:tc>
        <w:tc>
          <w:tcPr>
            <w:tcW w:w="0" w:type="dxa"/>
            <w:vAlign w:val="bottom"/>
          </w:tcPr>
          <w:p>
            <w:pPr>
              <w:spacing w:after="0"/>
              <w:rPr>
                <w:sz w:val="1"/>
                <w:szCs w:val="1"/>
                <w:color w:val="auto"/>
              </w:rPr>
            </w:pPr>
          </w:p>
        </w:tc>
      </w:tr>
      <w:tr>
        <w:trPr>
          <w:trHeight w:val="263"/>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51,349</w:t>
            </w:r>
          </w:p>
        </w:tc>
        <w:tc>
          <w:tcPr>
            <w:tcW w:w="0" w:type="dxa"/>
            <w:vAlign w:val="bottom"/>
          </w:tcPr>
          <w:p>
            <w:pPr>
              <w:spacing w:after="0"/>
              <w:rPr>
                <w:sz w:val="1"/>
                <w:szCs w:val="1"/>
                <w:color w:val="auto"/>
              </w:rPr>
            </w:pPr>
          </w:p>
        </w:tc>
      </w:tr>
      <w:tr>
        <w:trPr>
          <w:trHeight w:val="250"/>
        </w:trPr>
        <w:tc>
          <w:tcPr>
            <w:tcW w:w="364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92,714</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167,518</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23,190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56"/>
        </w:trPr>
        <w:tc>
          <w:tcPr>
            <w:tcW w:w="3640" w:type="dxa"/>
            <w:vAlign w:val="bottom"/>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115,919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311,631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2,443,768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67,062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2,938,380</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contractual maturities of our loan portfolio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Due in 1 year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b w:val="1"/>
                <w:bCs w:val="1"/>
                <w:color w:val="auto"/>
                <w:w w:val="91"/>
              </w:rPr>
              <w:t>Due after 1 year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Due after 5 years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Due after 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less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90"/>
              </w:rPr>
              <w:t>through 5 years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through 15 years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227,519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2,083,818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63,931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2,394,674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50"/>
        </w:trPr>
        <w:tc>
          <w:tcPr>
            <w:tcW w:w="368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37,510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49,202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88,669</w:t>
            </w:r>
          </w:p>
        </w:tc>
        <w:tc>
          <w:tcPr>
            <w:tcW w:w="0" w:type="dxa"/>
            <w:vAlign w:val="bottom"/>
          </w:tcPr>
          <w:p>
            <w:pPr>
              <w:spacing w:after="0"/>
              <w:rPr>
                <w:sz w:val="1"/>
                <w:szCs w:val="1"/>
                <w:color w:val="auto"/>
              </w:rPr>
            </w:pPr>
          </w:p>
        </w:tc>
      </w:tr>
      <w:tr>
        <w:trPr>
          <w:trHeight w:val="263"/>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50"/>
        </w:trPr>
        <w:tc>
          <w:tcPr>
            <w:tcW w:w="36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24,230</w:t>
            </w:r>
          </w:p>
        </w:tc>
        <w:tc>
          <w:tcPr>
            <w:tcW w:w="0" w:type="dxa"/>
            <w:vAlign w:val="bottom"/>
          </w:tcPr>
          <w:p>
            <w:pPr>
              <w:spacing w:after="0"/>
              <w:rPr>
                <w:sz w:val="1"/>
                <w:szCs w:val="1"/>
                <w:color w:val="auto"/>
              </w:rPr>
            </w:pPr>
          </w:p>
        </w:tc>
      </w:tr>
      <w:tr>
        <w:trPr>
          <w:trHeight w:val="257"/>
        </w:trPr>
        <w:tc>
          <w:tcPr>
            <w:tcW w:w="3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88,418</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174,602</w:t>
            </w:r>
          </w:p>
        </w:tc>
        <w:tc>
          <w:tcPr>
            <w:tcW w:w="0" w:type="dxa"/>
            <w:vAlign w:val="bottom"/>
          </w:tcPr>
          <w:p>
            <w:pPr>
              <w:spacing w:after="0"/>
              <w:rPr>
                <w:sz w:val="1"/>
                <w:szCs w:val="1"/>
                <w:color w:val="auto"/>
              </w:rPr>
            </w:pPr>
          </w:p>
        </w:tc>
      </w:tr>
      <w:tr>
        <w:trPr>
          <w:trHeight w:val="250"/>
        </w:trPr>
        <w:tc>
          <w:tcPr>
            <w:tcW w:w="368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6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50"/>
        </w:trPr>
        <w:tc>
          <w:tcPr>
            <w:tcW w:w="3680" w:type="dxa"/>
            <w:vAlign w:val="bottom"/>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352,580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2,319,712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68,152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2,802,882</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95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as of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0"/>
              </w:rPr>
              <w:t>Fixed Interest Rates</w:t>
            </w:r>
          </w:p>
        </w:tc>
        <w:tc>
          <w:tcPr>
            <w:tcW w:w="1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Floating or Adjustable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Rates</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552,420</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1,960,321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Commercial land and development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5,092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48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99,109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21,170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Farmland</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45,378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Secured</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37,302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130,216</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48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15,772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7,418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color w:val="auto"/>
              </w:rPr>
              <w:t>Consumer and other</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659,595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2,278,785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-1362075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33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2,512,741</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15,199</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100,514</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13,913</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22,501</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51,349</w:t>
      </w:r>
    </w:p>
    <w:p>
      <w:pPr>
        <w:spacing w:after="0" w:line="30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167,518</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23,190</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31,455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23495</wp:posOffset>
            </wp:positionV>
            <wp:extent cx="1157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2,938,380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23495</wp:posOffset>
            </wp:positionV>
            <wp:extent cx="1157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48895</wp:posOffset>
            </wp:positionV>
            <wp:extent cx="1157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540" w:space="600"/>
            <w:col w:w="1100"/>
          </w:cols>
          <w:pgMar w:left="320" w:top="1151" w:right="3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sensitivity to interest rate changes of our loan portfolio as of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0"/>
              </w:rPr>
              <w:t>Fixed Interest Rates</w:t>
            </w:r>
          </w:p>
        </w:tc>
        <w:tc>
          <w:tcPr>
            <w:tcW w:w="1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Floating or Adjustable</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Rates</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552,206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1,842,468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2,394,674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87,264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88,669</w:t>
            </w:r>
          </w:p>
        </w:tc>
        <w:tc>
          <w:tcPr>
            <w:tcW w:w="0" w:type="dxa"/>
            <w:vAlign w:val="bottom"/>
          </w:tcPr>
          <w:p>
            <w:pPr>
              <w:spacing w:after="0"/>
              <w:rPr>
                <w:sz w:val="1"/>
                <w:szCs w:val="1"/>
                <w:color w:val="auto"/>
              </w:rPr>
            </w:pPr>
          </w:p>
        </w:tc>
      </w:tr>
      <w:tr>
        <w:trPr>
          <w:trHeight w:val="26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24,230</w:t>
            </w: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Farmland</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52,478</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174,602</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Unsecured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16,767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6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649,114</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2,153,768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2,802,882</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w:t>
      </w:r>
    </w:p>
    <w:p>
      <w:pPr>
        <w:sectPr>
          <w:pgSz w:w="11900" w:h="16838" w:orient="portrait"/>
          <w:cols w:equalWidth="0" w:num="1">
            <w:col w:w="11240"/>
          </w:cols>
          <w:pgMar w:left="320" w:top="1151"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June 30, 2023, the Company sold 46 and 101 SBA 7(a) loans, respectively, with government guaranteed portions totaling $10.9 million and $23.6 million, respectively. The Company received gross proceeds of $11.5 million and $24.8 million on the loans sold during the three and six months ended June 30, 2023, respectively, resulting in the recognition of net gains on sale of $0.6 million and $1.2 million, respectively, during the same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details of our nonperforming and restructured assets and certain other related information as of the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As of</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Non-accrual loans: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80" w:type="dxa"/>
            <w:vAlign w:val="bottom"/>
            <w:gridSpan w:val="2"/>
          </w:tcPr>
          <w:p>
            <w:pPr>
              <w:ind w:left="140"/>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21"/>
                <w:szCs w:val="21"/>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Secured</w:t>
            </w: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non-accrual loans</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35"/>
        </w:trPr>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Loans past due 90 days or more and still accruing:</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Total loans past due and still accruing</w:t>
            </w: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nonperforming loans</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 estate owned</w:t>
            </w:r>
          </w:p>
        </w:tc>
        <w:tc>
          <w:tcPr>
            <w:tcW w:w="32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Total nonperforming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287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Performing LMs (not included above)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6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 to period end nonperforming loans</w:t>
            </w: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11,839.25 %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7,026.98 %</w:t>
            </w:r>
          </w:p>
        </w:tc>
        <w:tc>
          <w:tcPr>
            <w:tcW w:w="0" w:type="dxa"/>
            <w:vAlign w:val="bottom"/>
          </w:tcPr>
          <w:p>
            <w:pPr>
              <w:spacing w:after="0"/>
              <w:rPr>
                <w:sz w:val="1"/>
                <w:szCs w:val="1"/>
                <w:color w:val="auto"/>
              </w:rPr>
            </w:pPr>
          </w:p>
        </w:tc>
      </w:tr>
      <w:tr>
        <w:trPr>
          <w:trHeight w:val="26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Nonperforming loans to loans held for investment</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50"/>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Nonperforming assets to total assets</w:t>
            </w: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5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Nonperforming loans plus performing LMs to loans held for investment</w:t>
            </w:r>
          </w:p>
        </w:tc>
        <w:tc>
          <w:tcPr>
            <w:tcW w:w="3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7"/>
        </w:trPr>
        <w:tc>
          <w:tcPr>
            <w:tcW w:w="6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color w:val="auto"/>
        </w:rPr>
        <w:t>The ratio of nonperforming loans to loans held for investment remained consistent at 0.01% as of December 31, 2022 and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banking industry defines loans graded substandard or doubtful as “classified” loans. The following table shows our levels of classified loans as of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Pass</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Watch</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Substandard</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3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2,495,583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2,512,741</w:t>
            </w:r>
          </w:p>
        </w:tc>
      </w:tr>
      <w:tr>
        <w:trPr>
          <w:trHeight w:val="257"/>
        </w:trPr>
        <w:tc>
          <w:tcPr>
            <w:tcW w:w="3500" w:type="dxa"/>
            <w:vAlign w:val="bottom"/>
          </w:tcPr>
          <w:p>
            <w:pPr>
              <w:ind w:left="180"/>
              <w:spacing w:after="0"/>
              <w:rPr>
                <w:sz w:val="20"/>
                <w:szCs w:val="20"/>
                <w:color w:val="auto"/>
              </w:rPr>
            </w:pPr>
            <w:r>
              <w:rPr>
                <w:rFonts w:ascii="Arial" w:cs="Arial" w:eastAsia="Arial" w:hAnsi="Arial"/>
                <w:sz w:val="18"/>
                <w:szCs w:val="18"/>
                <w:color w:val="auto"/>
              </w:rPr>
              <w:t>Commercial land and development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15,199</w:t>
            </w:r>
          </w:p>
        </w:tc>
      </w:tr>
      <w:tr>
        <w:trPr>
          <w:trHeight w:val="256"/>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100,514</w:t>
            </w:r>
          </w:p>
        </w:tc>
      </w:tr>
      <w:tr>
        <w:trPr>
          <w:trHeight w:val="257"/>
        </w:trPr>
        <w:tc>
          <w:tcPr>
            <w:tcW w:w="35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13,913</w:t>
            </w:r>
          </w:p>
        </w:tc>
      </w:tr>
      <w:tr>
        <w:trPr>
          <w:trHeight w:val="270"/>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22,501</w:t>
            </w:r>
          </w:p>
        </w:tc>
      </w:tr>
      <w:tr>
        <w:trPr>
          <w:trHeight w:val="250"/>
        </w:trPr>
        <w:tc>
          <w:tcPr>
            <w:tcW w:w="3500" w:type="dxa"/>
            <w:vAlign w:val="bottom"/>
          </w:tcPr>
          <w:p>
            <w:pPr>
              <w:ind w:left="180"/>
              <w:spacing w:after="0"/>
              <w:rPr>
                <w:sz w:val="20"/>
                <w:szCs w:val="20"/>
                <w:color w:val="auto"/>
              </w:rPr>
            </w:pPr>
            <w:r>
              <w:rPr>
                <w:rFonts w:ascii="Arial" w:cs="Arial" w:eastAsia="Arial" w:hAnsi="Arial"/>
                <w:sz w:val="18"/>
                <w:szCs w:val="18"/>
                <w:color w:val="auto"/>
              </w:rPr>
              <w:t>Farmland</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51,349</w:t>
            </w:r>
          </w:p>
        </w:tc>
      </w:tr>
      <w:tr>
        <w:trPr>
          <w:trHeight w:val="26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500" w:type="dxa"/>
            <w:vAlign w:val="bottom"/>
          </w:tcPr>
          <w:p>
            <w:pPr>
              <w:ind w:left="180"/>
              <w:spacing w:after="0"/>
              <w:rPr>
                <w:sz w:val="20"/>
                <w:szCs w:val="20"/>
                <w:color w:val="auto"/>
              </w:rPr>
            </w:pPr>
            <w:r>
              <w:rPr>
                <w:rFonts w:ascii="Arial" w:cs="Arial" w:eastAsia="Arial" w:hAnsi="Arial"/>
                <w:sz w:val="18"/>
                <w:szCs w:val="18"/>
                <w:color w:val="auto"/>
              </w:rPr>
              <w:t>Secured</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157,812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158,959</w:t>
            </w:r>
          </w:p>
        </w:tc>
      </w:tr>
      <w:tr>
        <w:trPr>
          <w:trHeight w:val="257"/>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Unsecured</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23,190</w:t>
            </w:r>
          </w:p>
        </w:tc>
      </w:tr>
      <w:tr>
        <w:trPr>
          <w:trHeight w:val="256"/>
        </w:trPr>
        <w:tc>
          <w:tcPr>
            <w:tcW w:w="3500" w:type="dxa"/>
            <w:vAlign w:val="bottom"/>
          </w:tcPr>
          <w:p>
            <w:pPr>
              <w:ind w:left="2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31,455</w:t>
            </w:r>
          </w:p>
        </w:tc>
      </w:tr>
      <w:tr>
        <w:trPr>
          <w:trHeight w:val="28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2,905,420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2,929,821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5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2,379,766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2,394,674</w:t>
            </w:r>
          </w:p>
        </w:tc>
      </w:tr>
      <w:tr>
        <w:trPr>
          <w:trHeight w:val="250"/>
        </w:trPr>
        <w:tc>
          <w:tcPr>
            <w:tcW w:w="3500" w:type="dxa"/>
            <w:vAlign w:val="bottom"/>
          </w:tcPr>
          <w:p>
            <w:pPr>
              <w:ind w:left="180"/>
              <w:spacing w:after="0"/>
              <w:rPr>
                <w:sz w:val="20"/>
                <w:szCs w:val="20"/>
                <w:color w:val="auto"/>
              </w:rPr>
            </w:pPr>
            <w:r>
              <w:rPr>
                <w:rFonts w:ascii="Arial" w:cs="Arial" w:eastAsia="Arial" w:hAnsi="Arial"/>
                <w:sz w:val="18"/>
                <w:szCs w:val="18"/>
                <w:color w:val="auto"/>
              </w:rPr>
              <w:t>Commercial land and development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7,477</w:t>
            </w:r>
          </w:p>
        </w:tc>
      </w:tr>
      <w:tr>
        <w:trPr>
          <w:trHeight w:val="257"/>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88,669</w:t>
            </w:r>
          </w:p>
        </w:tc>
      </w:tr>
      <w:tr>
        <w:trPr>
          <w:trHeight w:val="250"/>
        </w:trPr>
        <w:tc>
          <w:tcPr>
            <w:tcW w:w="35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6,693</w:t>
            </w:r>
          </w:p>
        </w:tc>
      </w:tr>
      <w:tr>
        <w:trPr>
          <w:trHeight w:val="26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r>
      <w:tr>
        <w:trPr>
          <w:trHeight w:val="250"/>
        </w:trPr>
        <w:tc>
          <w:tcPr>
            <w:tcW w:w="3500" w:type="dxa"/>
            <w:vAlign w:val="bottom"/>
          </w:tcPr>
          <w:p>
            <w:pPr>
              <w:ind w:left="180"/>
              <w:spacing w:after="0"/>
              <w:rPr>
                <w:sz w:val="20"/>
                <w:szCs w:val="20"/>
                <w:color w:val="auto"/>
              </w:rPr>
            </w:pPr>
            <w:r>
              <w:rPr>
                <w:rFonts w:ascii="Arial" w:cs="Arial" w:eastAsia="Arial" w:hAnsi="Arial"/>
                <w:sz w:val="18"/>
                <w:szCs w:val="18"/>
                <w:color w:val="auto"/>
              </w:rPr>
              <w:t>Farmland</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52,478</w:t>
            </w:r>
          </w:p>
        </w:tc>
      </w:tr>
      <w:tr>
        <w:trPr>
          <w:trHeight w:val="26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3"/>
        </w:trPr>
        <w:tc>
          <w:tcPr>
            <w:tcW w:w="3500" w:type="dxa"/>
            <w:vAlign w:val="bottom"/>
          </w:tcPr>
          <w:p>
            <w:pPr>
              <w:ind w:left="180"/>
              <w:spacing w:after="0"/>
              <w:rPr>
                <w:sz w:val="20"/>
                <w:szCs w:val="20"/>
                <w:color w:val="auto"/>
              </w:rPr>
            </w:pPr>
            <w:r>
              <w:rPr>
                <w:rFonts w:ascii="Arial" w:cs="Arial" w:eastAsia="Arial" w:hAnsi="Arial"/>
                <w:sz w:val="18"/>
                <w:szCs w:val="18"/>
                <w:color w:val="auto"/>
              </w:rPr>
              <w:t>Secured</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163,879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165,186</w:t>
            </w:r>
          </w:p>
        </w:tc>
      </w:tr>
      <w:tr>
        <w:trPr>
          <w:trHeight w:val="263"/>
        </w:trPr>
        <w:tc>
          <w:tcPr>
            <w:tcW w:w="3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Unsecured</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r>
      <w:tr>
        <w:trPr>
          <w:trHeight w:val="256"/>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28,628</w:t>
            </w:r>
          </w:p>
        </w:tc>
      </w:tr>
      <w:tr>
        <w:trPr>
          <w:trHeight w:val="27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2,771,150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2,793,466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designated as watch and substandard, which are not considered adversely classified, increased to $24.4 million at June 30, 2023 from $22.3 million at December 31, 2022. There were no loans with doubtful risk grades at June 30, 2023 or December 31,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Allowance for Credit Losses -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credit losses - loans is established through a provision for credit losses charged to operations. Provisions are charged against the allowance for credit losses - loans when management believes that the collectability of the principal is unlikely. Subsequent recoveries of previously charged-off amounts, if any, are credited to the allowance for credit losses - loans.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 loans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2023, the Company’s allowance for credit losses - loans was $34.0 million, as compared to $28.4 million at December 31, 2022. The $5.6 million increase in the allowance is due to a $5.3 million adjustment recorded in connection with the adoption of ASC 326 and a $1.8 million provision for credit losses recorded during the six months ended June 30, 2023, partially offset by net charge-offs of $1.5 million during the same period.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the entire allowance for credit losses - loans is available to absorb losses from any and all loans, the following table represents management’s allocation of our allowance for credit losses by loan category, and the percentage of the allowance for credit losses in each category,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December 31, 2022</w:t>
            </w:r>
          </w:p>
        </w:tc>
      </w:tr>
      <w:tr>
        <w:trPr>
          <w:trHeight w:val="25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2"/>
                <w:szCs w:val="22"/>
                <w:color w:val="auto"/>
              </w:rPr>
            </w:pPr>
          </w:p>
        </w:tc>
        <w:tc>
          <w:tcPr>
            <w:tcW w:w="1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of Total</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of Total</w:t>
            </w:r>
          </w:p>
        </w:tc>
      </w:tr>
      <w:tr>
        <w:trPr>
          <w:trHeight w:val="243"/>
        </w:trPr>
        <w:tc>
          <w:tcPr>
            <w:tcW w:w="5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50"/>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27,553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81.08 %</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19,216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67.69 %</w:t>
            </w:r>
          </w:p>
        </w:tc>
      </w:tr>
      <w:tr>
        <w:trPr>
          <w:trHeight w:val="263"/>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land and development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0.54 %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0.19 %</w:t>
            </w:r>
          </w:p>
        </w:tc>
      </w:tr>
      <w:tr>
        <w:trPr>
          <w:trHeight w:val="25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3.57 %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2.27 %</w:t>
            </w:r>
          </w:p>
        </w:tc>
      </w:tr>
      <w:tr>
        <w:trPr>
          <w:trHeight w:val="257"/>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0.17 %</w:t>
            </w:r>
          </w:p>
        </w:tc>
      </w:tr>
      <w:tr>
        <w:trPr>
          <w:trHeight w:val="263"/>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0.45 %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0.62 %</w:t>
            </w:r>
          </w:p>
        </w:tc>
      </w:tr>
      <w:tr>
        <w:trPr>
          <w:trHeight w:val="263"/>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Farmland</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0.69 %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50"/>
        </w:trPr>
        <w:tc>
          <w:tcPr>
            <w:tcW w:w="536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Secured</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25.00 %</w:t>
            </w:r>
          </w:p>
        </w:tc>
      </w:tr>
      <w:tr>
        <w:trPr>
          <w:trHeight w:val="25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Unsecured</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0.61 %</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0.41 %</w:t>
            </w:r>
          </w:p>
        </w:tc>
      </w:tr>
      <w:tr>
        <w:trPr>
          <w:trHeight w:val="257"/>
        </w:trPr>
        <w:tc>
          <w:tcPr>
            <w:tcW w:w="5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 and other</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63"/>
        </w:trPr>
        <w:tc>
          <w:tcPr>
            <w:tcW w:w="5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Unallocated</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0.16 %</w:t>
            </w:r>
          </w:p>
        </w:tc>
      </w:tr>
      <w:tr>
        <w:trPr>
          <w:trHeight w:val="277"/>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allowance for credit losses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ratio of allowance for credit losses to total loans held for investment was 1.16% at June 30, 2023, as compared to 1.02% at December 31, 2022. The ratio of nonperforming loans to total loans held for investment remained consistent at 0.01% at both June 30, 2023 and December 31,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 following table provides information on the activity within the allowance for credit losses - loans as of and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6"/>
              </w:rPr>
              <w:t>As of and for the three months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June 30, 2022</w:t>
            </w: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Activity</w:t>
            </w:r>
          </w:p>
        </w:tc>
        <w:tc>
          <w:tcPr>
            <w:tcW w:w="100" w:type="dxa"/>
            <w:vAlign w:val="bottom"/>
          </w:tcPr>
          <w:p>
            <w:pPr>
              <w:spacing w:after="0"/>
              <w:rPr>
                <w:sz w:val="16"/>
                <w:szCs w:val="16"/>
                <w:color w:val="auto"/>
              </w:rPr>
            </w:pPr>
          </w:p>
        </w:tc>
        <w:tc>
          <w:tcPr>
            <w:tcW w:w="164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0"/>
              </w:rPr>
              <w:t>% of Average Loans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Activity</w:t>
            </w:r>
          </w:p>
        </w:tc>
        <w:tc>
          <w:tcPr>
            <w:tcW w:w="100" w:type="dxa"/>
            <w:vAlign w:val="bottom"/>
          </w:tcPr>
          <w:p>
            <w:pPr>
              <w:spacing w:after="0"/>
              <w:rPr>
                <w:sz w:val="16"/>
                <w:szCs w:val="16"/>
                <w:color w:val="auto"/>
              </w:rPr>
            </w:pPr>
          </w:p>
        </w:tc>
        <w:tc>
          <w:tcPr>
            <w:tcW w:w="164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1"/>
              </w:rPr>
              <w:t>% of Average Loans</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Held for Investment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Held for Investment</w:t>
            </w:r>
          </w:p>
        </w:tc>
        <w:tc>
          <w:tcPr>
            <w:tcW w:w="0" w:type="dxa"/>
            <w:vAlign w:val="bottom"/>
          </w:tcPr>
          <w:p>
            <w:pPr>
              <w:spacing w:after="0"/>
              <w:rPr>
                <w:sz w:val="1"/>
                <w:szCs w:val="1"/>
                <w:color w:val="auto"/>
              </w:rPr>
            </w:pPr>
          </w:p>
        </w:tc>
      </w:tr>
      <w:tr>
        <w:trPr>
          <w:trHeight w:val="25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2,904,194</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2,217,426</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34,172</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23,904</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(charge-offs) recoveries: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(1,077)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PPP</w:t>
            </w:r>
          </w:p>
        </w:tc>
        <w:tc>
          <w:tcPr>
            <w:tcW w:w="280" w:type="dxa"/>
            <w:vAlign w:val="bottom"/>
          </w:tcPr>
          <w:p>
            <w:pPr>
              <w:spacing w:after="0"/>
              <w:rPr>
                <w:sz w:val="21"/>
                <w:szCs w:val="21"/>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Net charge-offs</w:t>
            </w:r>
          </w:p>
        </w:tc>
        <w:tc>
          <w:tcPr>
            <w:tcW w:w="28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(1,108)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(368)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4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33,984</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25,786</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Loans held for investment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2,927,411</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2,380,511</w:t>
            </w: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540" w:type="dxa"/>
            <w:vAlign w:val="bottom"/>
            <w:tcBorders>
              <w:top w:val="single" w:sz="8" w:color="CCEEFF"/>
            </w:tcBorders>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Allowance for credit losses - loans to loans held for</w:t>
            </w: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investment</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9"/>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31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w w:val="99"/>
              </w:rPr>
              <w:t>As of and for the six months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June 30, 2022</w:t>
            </w: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Activity</w:t>
            </w:r>
          </w:p>
        </w:tc>
        <w:tc>
          <w:tcPr>
            <w:tcW w:w="100" w:type="dxa"/>
            <w:vAlign w:val="bottom"/>
          </w:tcPr>
          <w:p>
            <w:pPr>
              <w:spacing w:after="0"/>
              <w:rPr>
                <w:sz w:val="16"/>
                <w:szCs w:val="16"/>
                <w:color w:val="auto"/>
              </w:rPr>
            </w:pPr>
          </w:p>
        </w:tc>
        <w:tc>
          <w:tcPr>
            <w:tcW w:w="164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0"/>
              </w:rPr>
              <w:t>% of Average Loans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Activity</w:t>
            </w:r>
          </w:p>
        </w:tc>
        <w:tc>
          <w:tcPr>
            <w:tcW w:w="100" w:type="dxa"/>
            <w:vAlign w:val="bottom"/>
          </w:tcPr>
          <w:p>
            <w:pPr>
              <w:spacing w:after="0"/>
              <w:rPr>
                <w:sz w:val="16"/>
                <w:szCs w:val="16"/>
                <w:color w:val="auto"/>
              </w:rPr>
            </w:pPr>
          </w:p>
        </w:tc>
        <w:tc>
          <w:tcPr>
            <w:tcW w:w="164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91"/>
              </w:rPr>
              <w:t>% of Average Loans</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Held for Investment</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Held for Investment</w:t>
            </w:r>
          </w:p>
        </w:tc>
        <w:tc>
          <w:tcPr>
            <w:tcW w:w="0" w:type="dxa"/>
            <w:vAlign w:val="bottom"/>
          </w:tcPr>
          <w:p>
            <w:pPr>
              <w:spacing w:after="0"/>
              <w:rPr>
                <w:sz w:val="1"/>
                <w:szCs w:val="1"/>
                <w:color w:val="auto"/>
              </w:rPr>
            </w:pPr>
          </w:p>
        </w:tc>
      </w:tr>
      <w:tr>
        <w:trPr>
          <w:trHeight w:val="25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2,865,323</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2,093,891</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28,389</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23,243</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Effect of adoption of ASC 326</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Net (charge-offs) recoveries: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(1,472)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(497)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PPP</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charge-offs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(1,487)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6"/>
        </w:trPr>
        <w:tc>
          <w:tcPr>
            <w:tcW w:w="4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Allowance for credit losses - loans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33,984</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25,786</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Loans held for investment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2,927,411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2,380,511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Allowance for credit losses - loans to loans held for</w:t>
            </w: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investment</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 loans to loans held for investment increased from 1.08% as of June 30, 2022 to 1.16% as of June 30, 2023. Net charge-offs as a percent of average loans held for investment increased from 0.02% to 0.04% for the three months ended June 30, 2022 and June 30, 2023, respectively. Net charge-offs as a percent of average loans held for investment increased from 0.03% to 0.05% for the six months ended June 30, 2022 and June 30, 2023,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six months of 2023, total liabilities increased by $159.2 million from $3.0 billion as of December 31, 2022 to $3.1 billion as of June 30, 2023. This increase was primarily due to an increase in total deposits of $147.7 million, comprised of an increase of $285.3 million in interest-bearing deposits, partially offset by a decrease of $137.5 million in non-interest-bearing deposits.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Representing 93.50% of our total liabilities as of June 30, 2023, deposits are our primary source of funding for our business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Total deposits increased by $147.7 million, or 5.31%, to $2.9 billion at June 30, 2023 from $2.8 billion at December 31, 2022. Deposit increases were primarily attributable to an increase in the number of new relationships, as well as normal fluctuations in some of our larger accounts. Non-interest-bearing deposits decreased by $137.5 million from December 31, 2022 to $833.7 million at June 30, 2023, representing 28.46% of total deposits at that date, as compared to 34.91% of total deposits at December 31, 2022. Our loan to deposit ratio was 100.21% at June 30, 2023, as compared to 100.67% at December 31, 2022. We intend to continue to operate our business with close monitoring of the loan to deposit ratio.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following tables summarize our deposit composition by average deposits and average rates paid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For the three months ended</w:t>
            </w: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June 30, 2023</w:t>
            </w: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vMerge w:val="restart"/>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Arial" w:cs="Arial" w:eastAsia="Arial" w:hAnsi="Arial"/>
                <w:sz w:val="18"/>
                <w:szCs w:val="18"/>
                <w:b w:val="1"/>
                <w:bCs w:val="1"/>
                <w:color w:val="auto"/>
                <w:w w:val="97"/>
              </w:rPr>
              <w:t>Average Rate</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w w:val="95"/>
              </w:rPr>
              <w:t>Average Rate</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0" w:type="dxa"/>
            <w:vAlign w:val="bottom"/>
          </w:tcPr>
          <w:p>
            <w:pPr>
              <w:spacing w:after="0"/>
              <w:rPr>
                <w:sz w:val="1"/>
                <w:szCs w:val="1"/>
                <w:color w:val="auto"/>
              </w:rPr>
            </w:pPr>
          </w:p>
        </w:tc>
      </w:tr>
      <w:tr>
        <w:trPr>
          <w:trHeight w:val="239"/>
        </w:trPr>
        <w:tc>
          <w:tcPr>
            <w:tcW w:w="29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Paid</w:t>
            </w:r>
          </w:p>
        </w:tc>
        <w:tc>
          <w:tcPr>
            <w:tcW w:w="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Deposits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Paid</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Deposits</w:t>
            </w:r>
          </w:p>
        </w:tc>
        <w:tc>
          <w:tcPr>
            <w:tcW w:w="0" w:type="dxa"/>
            <w:vAlign w:val="bottom"/>
          </w:tcPr>
          <w:p>
            <w:pPr>
              <w:spacing w:after="0"/>
              <w:rPr>
                <w:sz w:val="1"/>
                <w:szCs w:val="1"/>
                <w:color w:val="auto"/>
              </w:rPr>
            </w:pPr>
          </w:p>
        </w:tc>
      </w:tr>
      <w:tr>
        <w:trPr>
          <w:trHeight w:val="254"/>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10.32 %</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1,422,875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48.85 %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1,078,233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0.27 %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43.51 %</w:t>
            </w:r>
          </w:p>
        </w:tc>
        <w:tc>
          <w:tcPr>
            <w:tcW w:w="0" w:type="dxa"/>
            <w:vAlign w:val="bottom"/>
          </w:tcPr>
          <w:p>
            <w:pPr>
              <w:spacing w:after="0"/>
              <w:rPr>
                <w:sz w:val="1"/>
                <w:szCs w:val="1"/>
                <w:color w:val="auto"/>
              </w:rPr>
            </w:pPr>
          </w:p>
        </w:tc>
      </w:tr>
      <w:tr>
        <w:trPr>
          <w:trHeight w:val="26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7.06 %</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Demand accounts</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828,748</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969,053</w:t>
            </w:r>
          </w:p>
        </w:tc>
        <w:tc>
          <w:tcPr>
            <w:tcW w:w="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39.11 %</w:t>
            </w:r>
          </w:p>
        </w:tc>
        <w:tc>
          <w:tcPr>
            <w:tcW w:w="0" w:type="dxa"/>
            <w:vAlign w:val="bottom"/>
          </w:tcPr>
          <w:p>
            <w:pPr>
              <w:spacing w:after="0"/>
              <w:rPr>
                <w:sz w:val="1"/>
                <w:szCs w:val="1"/>
                <w:color w:val="auto"/>
              </w:rPr>
            </w:pPr>
          </w:p>
        </w:tc>
      </w:tr>
      <w:tr>
        <w:trPr>
          <w:trHeight w:val="277"/>
        </w:trPr>
        <w:tc>
          <w:tcPr>
            <w:tcW w:w="3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2,912,891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2,477,942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0.17 %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For the six months ended</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June 30, 2023</w:t>
            </w:r>
          </w:p>
        </w:tc>
        <w:tc>
          <w:tcPr>
            <w:tcW w:w="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2"/>
              </w:rPr>
              <w:t>June 30, 2022</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b w:val="1"/>
                <w:bCs w:val="1"/>
                <w:color w:val="auto"/>
                <w:w w:val="97"/>
              </w:rPr>
              <w:t>Average Rate</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Average</w:t>
            </w:r>
          </w:p>
        </w:tc>
        <w:tc>
          <w:tcPr>
            <w:tcW w:w="80" w:type="dxa"/>
            <w:vAlign w:val="bottom"/>
          </w:tcPr>
          <w:p>
            <w:pPr>
              <w:spacing w:after="0"/>
              <w:rPr>
                <w:sz w:val="18"/>
                <w:szCs w:val="18"/>
                <w:color w:val="auto"/>
              </w:rPr>
            </w:pPr>
          </w:p>
        </w:tc>
        <w:tc>
          <w:tcPr>
            <w:tcW w:w="1220" w:type="dxa"/>
            <w:vAlign w:val="bottom"/>
          </w:tcPr>
          <w:p>
            <w:pPr>
              <w:ind w:left="100"/>
              <w:spacing w:after="0"/>
              <w:rPr>
                <w:sz w:val="20"/>
                <w:szCs w:val="20"/>
                <w:color w:val="auto"/>
              </w:rPr>
            </w:pPr>
            <w:r>
              <w:rPr>
                <w:rFonts w:ascii="Arial" w:cs="Arial" w:eastAsia="Arial" w:hAnsi="Arial"/>
                <w:sz w:val="18"/>
                <w:szCs w:val="18"/>
                <w:b w:val="1"/>
                <w:bCs w:val="1"/>
                <w:color w:val="auto"/>
                <w:w w:val="95"/>
              </w:rPr>
              <w:t>Average Rate</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0" w:type="dxa"/>
            <w:vAlign w:val="bottom"/>
          </w:tcPr>
          <w:p>
            <w:pPr>
              <w:spacing w:after="0"/>
              <w:rPr>
                <w:sz w:val="1"/>
                <w:szCs w:val="1"/>
                <w:color w:val="auto"/>
              </w:rPr>
            </w:pPr>
          </w:p>
        </w:tc>
      </w:tr>
      <w:tr>
        <w:trPr>
          <w:trHeight w:val="24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Paid</w:t>
            </w:r>
          </w:p>
        </w:tc>
        <w:tc>
          <w:tcPr>
            <w:tcW w:w="8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Deposits</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Paid</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Deposits</w:t>
            </w:r>
          </w:p>
        </w:tc>
        <w:tc>
          <w:tcPr>
            <w:tcW w:w="0" w:type="dxa"/>
            <w:vAlign w:val="bottom"/>
          </w:tcPr>
          <w:p>
            <w:pPr>
              <w:spacing w:after="0"/>
              <w:rPr>
                <w:sz w:val="1"/>
                <w:szCs w:val="1"/>
                <w:color w:val="auto"/>
              </w:rPr>
            </w:pPr>
          </w:p>
        </w:tc>
      </w:tr>
      <w:tr>
        <w:trPr>
          <w:trHeight w:val="25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0.76 %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11.58 %</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265,962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11.05 %</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1,335,469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2.24 %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46.56 %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1,044,854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0.21 %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43.39 %</w:t>
            </w: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Time accounts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336,044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4.33 %</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11.71 %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151,454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0.43 %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6.29 %</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865,004</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945,511</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39.27 %</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2,407,781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0.13 %</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Uninsured and uncollateralized deposits totaled $1.0 billion and $1.2 billion at June 30, 2023 and December 31, 2022, respectively.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our 36 largest deposit relationships, each accounting for more than $10.0 million, totaled $1.5 billion, or 49.56% of our total deposits. The average age on deposit relationships of more than $5.0 million was approximately 9 years. As of December 31, 2022, our 40 largest deposit relationships, each accounting for more than $10.0 million, totaled $1.5 billion, or 52.15%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2022</w:t>
            </w:r>
          </w:p>
        </w:tc>
      </w:tr>
      <w:tr>
        <w:trPr>
          <w:trHeight w:val="25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Municipalities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601,968</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Non-profits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221,397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195,996</w:t>
            </w:r>
          </w:p>
        </w:tc>
      </w:tr>
      <w:tr>
        <w:trPr>
          <w:trHeight w:val="25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527,921</w:t>
            </w:r>
          </w:p>
        </w:tc>
      </w:tr>
      <w:tr>
        <w:trPr>
          <w:trHeight w:val="250"/>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Brokered deposits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109,985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124,993</w:t>
            </w:r>
          </w:p>
        </w:tc>
      </w:tr>
      <w:tr>
        <w:trPr>
          <w:trHeight w:val="277"/>
        </w:trPr>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1,452,110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1,450,878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largest single deposit relationship at June 30, 2023 related to a non-profit association that supports hospitals and health systems. The balances for this customer were $210.0 million, or approximately 7.17% of total deposits, as of that date. At December 31, 2022, our largest single deposit relationship related to a government agency and had balances of $180.0 million, or 6.47% of total deposits as of that date.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sets forth the maturity of time deposits as of June 30,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1"/>
                <w:szCs w:val="21"/>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250,000 or Greater</w:t>
            </w:r>
          </w:p>
        </w:tc>
        <w:tc>
          <w:tcPr>
            <w:tcW w:w="100" w:type="dxa"/>
            <w:vAlign w:val="bottom"/>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Less than $250,000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1"/>
                <w:szCs w:val="21"/>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Uninsured Portion</w:t>
            </w:r>
          </w:p>
        </w:tc>
      </w:tr>
      <w:tr>
        <w:trPr>
          <w:trHeight w:val="25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maturity:</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3"/>
        </w:trPr>
        <w:tc>
          <w:tcPr>
            <w:tcW w:w="4400" w:type="dxa"/>
            <w:vAlign w:val="bottom"/>
          </w:tcPr>
          <w:p>
            <w:pPr>
              <w:ind w:left="180"/>
              <w:spacing w:after="0"/>
              <w:rPr>
                <w:sz w:val="20"/>
                <w:szCs w:val="20"/>
                <w:color w:val="auto"/>
              </w:rPr>
            </w:pPr>
            <w:r>
              <w:rPr>
                <w:rFonts w:ascii="Arial" w:cs="Arial" w:eastAsia="Arial" w:hAnsi="Arial"/>
                <w:sz w:val="18"/>
                <w:szCs w:val="18"/>
                <w:color w:val="auto"/>
              </w:rPr>
              <w:t>Three months or less</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56,591</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110,646</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167,237</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52,591</w:t>
            </w:r>
          </w:p>
        </w:tc>
      </w:tr>
      <w:tr>
        <w:trPr>
          <w:trHeight w:val="263"/>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 three through six months</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128,776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132,279</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127,026</w:t>
            </w:r>
          </w:p>
        </w:tc>
      </w:tr>
      <w:tr>
        <w:trPr>
          <w:trHeight w:val="256"/>
        </w:trPr>
        <w:tc>
          <w:tcPr>
            <w:tcW w:w="4400" w:type="dxa"/>
            <w:vAlign w:val="bottom"/>
          </w:tcPr>
          <w:p>
            <w:pPr>
              <w:ind w:left="180"/>
              <w:spacing w:after="0"/>
              <w:rPr>
                <w:sz w:val="20"/>
                <w:szCs w:val="20"/>
                <w:color w:val="auto"/>
              </w:rPr>
            </w:pPr>
            <w:r>
              <w:rPr>
                <w:rFonts w:ascii="Arial" w:cs="Arial" w:eastAsia="Arial" w:hAnsi="Arial"/>
                <w:sz w:val="18"/>
                <w:szCs w:val="18"/>
                <w:color w:val="auto"/>
              </w:rPr>
              <w:t>Over six through twelve months</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37,631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54,110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35,131</w:t>
            </w:r>
          </w:p>
        </w:tc>
      </w:tr>
      <w:tr>
        <w:trPr>
          <w:trHeight w:val="250"/>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 twelve months</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24,274</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20,875</w:t>
            </w:r>
          </w:p>
        </w:tc>
      </w:tr>
      <w:tr>
        <w:trPr>
          <w:trHeight w:val="257"/>
        </w:trPr>
        <w:tc>
          <w:tcPr>
            <w:tcW w:w="4400" w:type="dxa"/>
            <w:vAlign w:val="bottom"/>
          </w:tcPr>
          <w:p>
            <w:pPr>
              <w:ind w:left="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246,123</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131,777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377,900</w:t>
            </w:r>
          </w:p>
        </w:tc>
        <w:tc>
          <w:tcPr>
            <w:tcW w:w="64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235,623</w:t>
            </w:r>
          </w:p>
        </w:tc>
      </w:tr>
      <w:tr>
        <w:trPr>
          <w:trHeight w:val="21"/>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FHLB Advances and Other Borrowings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utilize short-term collateralized FHLB borrowings to maintain adequate liquidity. There were borrowings of $100.0 million outstanding as of June 30, 2023 and as of December 31, 2022.</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2022, we issued subordinated notes of $75.0 million. This debt was issued to investors in private placement transactions. See Note 6,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 The following table is a summary of our outstanding subordinated notes as of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Issuance Date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Amount of Notes</w:t>
            </w:r>
          </w:p>
        </w:tc>
        <w:tc>
          <w:tcPr>
            <w:tcW w:w="10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Prepayment Right</w:t>
            </w:r>
          </w:p>
        </w:tc>
        <w:tc>
          <w:tcPr>
            <w:tcW w:w="12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Maturity Date</w:t>
            </w:r>
          </w:p>
        </w:tc>
      </w:tr>
      <w:tr>
        <w:trPr>
          <w:trHeight w:val="25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Subordinated notes</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2022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August 17, 2027</w:t>
            </w: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2343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Fixed at 6.00% through September 1, 2027, then three-month Term SOFR plus 329.0 basis points (8.59% as of June 30, 2023) through maturity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totaled $269.1 million at June 30, 2023 and $252.8 million at December 31, 2022. The increase in shareholders’ equity was primarily attributable to net income recognized of $25.9 million and a $0.5 million increase in accumulated other comprehensive income, partially offset by a decrease of $4.5 million to retained earnings, net of tax effect, relating to the adoption of ASC 326 on January 1, 2023 and $6.0 million in cash dividends paid during the six months ended June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Management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2" w:name="page63"/>
    <w:bookmarkEnd w:id="62"/>
    <w:p>
      <w:pPr>
        <w:jc w:val="both"/>
        <w:spacing w:after="0" w:line="267" w:lineRule="auto"/>
        <w:rPr>
          <w:sz w:val="20"/>
          <w:szCs w:val="20"/>
          <w:color w:val="auto"/>
        </w:rPr>
      </w:pPr>
      <w:r>
        <w:rPr>
          <w:rFonts w:ascii="Arial" w:cs="Arial" w:eastAsia="Arial" w:hAnsi="Arial"/>
          <w:sz w:val="17"/>
          <w:szCs w:val="17"/>
          <w:color w:val="auto"/>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the sale of loans. Less commonly used sources of funding include borrowings from the Federal Reserve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and the securities being offered will be provided at the time of the offering. Proceeds from any future offerings are expected to be used for corporate purposes or other purposes to be disclosed at the time of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June 30, 2023, management believes the above-mentioned sources will provide adequate liquidity during the next twelve months for the Bank to meet its operating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we had cash outflows of $128.8 million in loan originations and advances, net of principal collected, and $32.1 million in loans originated for sale.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June 30, 2023, total off-balance sheet commitments totaled $450.3 million. We expect to fund these commitments to the extent utilized primarily through the repayment of existing loans, deposit growth, and liquid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Deposits are our primary source of funding for our business operations, and the cost of deposits has a significant impact on our net interest income and net interest margin.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deposits are primarily made up of money market, interest checking, time deposits,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we had cash inflows related to an increase in deposits of $147.7 million, primarily as a result of an increase in the number of new relationships and fluctuations in existing accounts.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 months following June 30, 2023, approximately $353.6 million of time deposits are expected to mature. These deposits may not renew due to general competition.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cash and cash equivalents represented 10.24% of total 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investment securities totaled $114.3 million at June 30, 2023. Mortgage-backed securities and obligations of states and political subdivisions comprised 50.82% and 33.67%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$7.5 million from our securities over the twelve months following June 30, 2023. In future periods, we expect to maintain approximately the same level of cash flows from our securities. Depending on market yield and our liquidity, we may purchase securities as a use of cash in our interest-earning asset portfolio.</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2023, we had cash proceeds from sales, maturities, calls, and prepayments of securities of $5.5 million. Additionally, at June 30, 2023, securities available-for-sale totaled $110.8 million, of which $109.9 million has been pledged as collateral for borrowings and other commitments.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FHLB Financing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Bank is a shareholder of the FHLB, which enables the Bank to have access to lower-cost FHLB financing when necessary. At June 30, 2023, the Bank had outstanding borrowings of $100.0 million and a total financing availability of $342.6 million, net of letters of credit issued of $606.5 million.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Reserve Discount Window and Correspondent Bank Lines of Credit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unused and available amounts for borrowing from the Federal Reserve Discount Window and correspondent bank lines of credit were $72.8 million and $175.0 million,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8"/>
          <w:szCs w:val="18"/>
          <w:u w:val="single" w:color="auto"/>
          <w:color w:val="auto"/>
        </w:rPr>
        <w:t>Total Liquidity</w:t>
      </w:r>
    </w:p>
    <w:p>
      <w:pPr>
        <w:spacing w:after="0" w:line="225"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Total liquidity (consisting of cash and cash equivalents and unused and immediately available borrowing capacity as set forth below) was approximately $890.6 million as of June 30, 2023.</w:t>
      </w:r>
    </w:p>
    <w:p>
      <w:pPr>
        <w:sectPr>
          <w:pgSz w:w="11900" w:h="16838" w:orient="portrait"/>
          <w:cols w:equalWidth="0" w:num="1">
            <w:col w:w="11260"/>
          </w:cols>
          <w:pgMar w:left="30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FHLB advances</w:t>
      </w:r>
    </w:p>
    <w:p>
      <w:pPr>
        <w:spacing w:after="0" w:line="36" w:lineRule="exact"/>
        <w:rPr>
          <w:sz w:val="20"/>
          <w:szCs w:val="20"/>
          <w:color w:val="auto"/>
        </w:rPr>
      </w:pPr>
    </w:p>
    <w:p>
      <w:pPr>
        <w:jc w:val="both"/>
        <w:ind w:right="1340"/>
        <w:spacing w:after="0" w:line="334" w:lineRule="auto"/>
        <w:rPr>
          <w:sz w:val="20"/>
          <w:szCs w:val="20"/>
          <w:color w:val="auto"/>
        </w:rPr>
      </w:pPr>
      <w:r>
        <w:rPr>
          <w:rFonts w:ascii="Arial" w:cs="Arial" w:eastAsia="Arial" w:hAnsi="Arial"/>
          <w:sz w:val="16"/>
          <w:szCs w:val="16"/>
          <w:color w:val="auto"/>
        </w:rPr>
        <w:t>Federal Reserve Discount Window Correspondent bank lines of credit Cash and cash equivalents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Future Contractual Obligations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June 30,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4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8"/>
              </w:rPr>
              <w:t>Line of Credit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2"/>
              </w:rPr>
              <w:t>Letters of Credit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Borrowings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Available</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1,049,106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606,500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342,606</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72,842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72,842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43"/>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300,123</w:t>
            </w: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1,296,948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606,500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890,571</w:t>
            </w:r>
          </w:p>
        </w:tc>
        <w:tc>
          <w:tcPr>
            <w:tcW w:w="0" w:type="dxa"/>
            <w:vAlign w:val="bottom"/>
          </w:tcPr>
          <w:p>
            <w:pPr>
              <w:spacing w:after="0"/>
              <w:rPr>
                <w:sz w:val="1"/>
                <w:szCs w:val="1"/>
                <w:color w:val="auto"/>
              </w:rPr>
            </w:pPr>
          </w:p>
        </w:tc>
      </w:tr>
      <w:tr>
        <w:trPr>
          <w:trHeight w:val="27"/>
        </w:trPr>
        <w:tc>
          <w:tcPr>
            <w:tcW w:w="18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-814070</wp:posOffset>
            </wp:positionV>
            <wp:extent cx="712343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-505460</wp:posOffset>
            </wp:positionV>
            <wp:extent cx="712343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-196850</wp:posOffset>
            </wp:positionV>
            <wp:extent cx="712343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3860" w:space="720"/>
            <w:col w:w="6680"/>
          </w:cols>
          <w:pgMar w:left="300" w:top="1151" w:right="339" w:bottom="1440" w:gutter="0" w:footer="0" w:header="0"/>
          <w:type w:val="continuous"/>
        </w:sectPr>
      </w:pPr>
    </w:p>
    <w:p>
      <w:pPr>
        <w:spacing w:after="0" w:line="25"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Our estimated future contractual obligations as of June 30, 2023 include both current and long-term obligations. Under our operating leases, we have an operating lease liability of $5.3 million. We have a current obligation of $299.5 million and a long-term obligation of $78.4 million related to time deposits, as discussed in Note 5, Interest-Bearing Deposits. We have net subordinated notes of $73.7 million, all of which are long-term obligations. We also have contractual obligations on unfunded loan commitments and standby letters of credit totaling $450.3 million.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paid dividends to its shareholders totaling $3.5 million during the three months ended June 30, 2023.</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2023 at a rate of $0.20 per share, our average total dividend paid each quarter would be approximately $3.5 million based on the number of currently outstanding shares if there are no increases or decreases in the number of shares, and given that unvested RSAs share equally in dividends with outstanding common stock.</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Impact of Inflation</w:t>
      </w:r>
    </w:p>
    <w:p>
      <w:pPr>
        <w:spacing w:after="0" w:line="225"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151"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spacing w:after="0"/>
              <w:rPr>
                <w:sz w:val="20"/>
                <w:szCs w:val="20"/>
                <w:color w:val="auto"/>
              </w:rPr>
            </w:pPr>
            <w:r>
              <w:rPr>
                <w:rFonts w:ascii="Arial" w:cs="Arial" w:eastAsia="Arial" w:hAnsi="Arial"/>
                <w:sz w:val="18"/>
                <w:szCs w:val="18"/>
                <w:i w:val="1"/>
                <w:iCs w:val="1"/>
                <w:color w:val="auto"/>
              </w:rPr>
              <w:t>Historical Information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The following table summarizes our consolidated cash flow activities: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3"/>
        </w:trPr>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58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27"/>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14,289</w:t>
            </w: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(127,184)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(431,197)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304,013</w:t>
            </w:r>
          </w:p>
        </w:tc>
      </w:tr>
      <w:tr>
        <w:trPr>
          <w:trHeight w:val="243"/>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(123,599)</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increased by $14.3 million for the six months ended June 30, 2023 as compared to the six months ended June 30, 2022. Cash provided by operating activities is subject to variability period-over-period as a result of timing differences, including with respect to the collection of receivables and payments of interest expense, accounts payable, and bonuses.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decreased by $304.0 million for the six months ended June 30, 2023 as compared to the six months ended June 30, 2022, primarily due to decreased loan origination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decreased by $123.6 million for the six months ended June 30, 2023 as compared to the six months ended June 30, 2022, primarily due to decreased deposit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Historically, as a bank holding company with less than $3.0 billion in total consolidated assets and that met certain other criteria, we had been operating under the Small Bank Holding Company Policy Statement, which provides an exemption from the Federal Reserve’s generally applicable risk-based capital ratio and leverage ratio requirements. Having passed this threshold as of September 30, 2022, we are no longer subject to this policy statement and our capital adequacy is evaluated relative to the Federal Reserve’s generally applicable capital requirements. Additionally, as of June 30, 2023, the Company’s consolidated assets are in excess of $3.0 billion, and as a consequence, beginning in March 2024, the Company will no longer prepare and file financial reports with the Federal Reserve as a small bank holding company and will be subject to capital ratio requirements for bank holding companies.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June 30, 2023, both Bancorp and the Bank were in compliance with all applicable regulatory capital requirements, and the Bank qualified as “well-capitalized” under the prompt corrective action framework.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6" w:name="page67"/>
    <w:bookmarkEnd w:id="66"/>
    <w:p>
      <w:pPr>
        <w:jc w:val="both"/>
        <w:spacing w:after="0" w:line="259" w:lineRule="auto"/>
        <w:rPr>
          <w:sz w:val="20"/>
          <w:szCs w:val="20"/>
          <w:color w:val="auto"/>
        </w:rPr>
      </w:pPr>
      <w:r>
        <w:rPr>
          <w:rFonts w:ascii="Arial" w:cs="Arial" w:eastAsia="Arial" w:hAnsi="Arial"/>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capital adequacy ratios as of June 30, 2023 and December 31, 2022 for Bancorp and the Bank are presented in the following tables. As of June 30, 2023 and December 31, 2022, Bancorp’s Tier 2 capital included subordinated debt, which was not included at the Bank level. Eligible amounts of subordinated debt included in Tier 2 capital will be phased out by 20% per year beginning five years before the maturity date of the notes.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Ratio to be Well-Capitalized</w:t>
            </w:r>
          </w:p>
        </w:tc>
      </w:tr>
      <w:tr>
        <w:trPr>
          <w:trHeight w:val="213"/>
        </w:trPr>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w w:val="92"/>
              </w:rPr>
              <w:t>Required for Capital Adequacy</w:t>
            </w:r>
          </w:p>
        </w:tc>
        <w:tc>
          <w:tcPr>
            <w:tcW w:w="100" w:type="dxa"/>
            <w:vAlign w:val="bottom"/>
          </w:tcPr>
          <w:p>
            <w:pPr>
              <w:spacing w:after="0"/>
              <w:rPr>
                <w:sz w:val="18"/>
                <w:szCs w:val="18"/>
                <w:color w:val="auto"/>
              </w:rPr>
            </w:pPr>
          </w:p>
        </w:tc>
        <w:tc>
          <w:tcPr>
            <w:tcW w:w="2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under Prompt Corrective</w:t>
            </w:r>
          </w:p>
        </w:tc>
      </w:tr>
      <w:tr>
        <w:trPr>
          <w:trHeight w:val="251"/>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Bancorp</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b w:val="1"/>
                <w:bCs w:val="1"/>
                <w:color w:val="auto"/>
              </w:rPr>
              <w:t>Actual Ratio</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7"/>
          </w:tcPr>
          <w:p>
            <w:pPr>
              <w:jc w:val="right"/>
              <w:ind w:right="860"/>
              <w:spacing w:after="0" w:line="251" w:lineRule="exact"/>
              <w:rPr>
                <w:sz w:val="20"/>
                <w:szCs w:val="20"/>
                <w:color w:val="auto"/>
              </w:rPr>
            </w:pPr>
            <w:r>
              <w:rPr>
                <w:rFonts w:ascii="Arial" w:cs="Arial" w:eastAsia="Arial" w:hAnsi="Arial"/>
                <w:sz w:val="18"/>
                <w:szCs w:val="18"/>
                <w:b w:val="1"/>
                <w:bCs w:val="1"/>
                <w:color w:val="auto"/>
              </w:rPr>
              <w:t>Purposes</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7"/>
              </w:rPr>
              <w:t>Action Provisions</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Ratio</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4"/>
          </w:tcPr>
          <w:p>
            <w:pPr>
              <w:ind w:left="140"/>
              <w:spacing w:after="0"/>
              <w:rPr>
                <w:sz w:val="20"/>
                <w:szCs w:val="20"/>
                <w:color w:val="auto"/>
              </w:rPr>
            </w:pPr>
            <w:r>
              <w:rPr>
                <w:rFonts w:ascii="Arial" w:cs="Arial" w:eastAsia="Arial" w:hAnsi="Arial"/>
                <w:sz w:val="18"/>
                <w:szCs w:val="18"/>
                <w:b w:val="1"/>
                <w:bCs w:val="1"/>
                <w:color w:val="auto"/>
              </w:rPr>
              <w:t>Amount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Ratio</w:t>
            </w:r>
          </w:p>
        </w:tc>
        <w:tc>
          <w:tcPr>
            <w:tcW w:w="100" w:type="dxa"/>
            <w:vAlign w:val="bottom"/>
          </w:tcPr>
          <w:p>
            <w:pPr>
              <w:spacing w:after="0"/>
              <w:rPr>
                <w:sz w:val="21"/>
                <w:szCs w:val="21"/>
                <w:color w:val="auto"/>
              </w:rPr>
            </w:pPr>
          </w:p>
        </w:tc>
        <w:tc>
          <w:tcPr>
            <w:tcW w:w="1220" w:type="dxa"/>
            <w:vAlign w:val="bottom"/>
            <w:gridSpan w:val="3"/>
          </w:tcPr>
          <w:p>
            <w:pPr>
              <w:ind w:left="3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1"/>
                <w:szCs w:val="21"/>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Ratio</w:t>
            </w:r>
          </w:p>
        </w:tc>
      </w:tr>
      <w:tr>
        <w:trPr>
          <w:trHeight w:val="244"/>
        </w:trPr>
        <w:tc>
          <w:tcPr>
            <w:tcW w:w="35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389,020</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12.43 %</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250,375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283,180</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9.05 %</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187,744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5"/>
        </w:trPr>
        <w:tc>
          <w:tcPr>
            <w:tcW w:w="3560" w:type="dxa"/>
            <w:vAlign w:val="bottom"/>
            <w:gridSpan w:val="2"/>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283,180</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9.05 %</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140,808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0"/>
                <w:szCs w:val="20"/>
                <w:color w:val="auto"/>
              </w:rPr>
            </w:pP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283,180</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8.66 %</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130,799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366,113</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12.46 %</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235,065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263,993</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8.99 %</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176,191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4"/>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263,993</w:t>
            </w:r>
          </w:p>
        </w:tc>
        <w:tc>
          <w:tcPr>
            <w:tcW w:w="13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8.99 %</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132,144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263,993</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8.60 %</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122,788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1220" w:type="dxa"/>
            <w:vAlign w:val="bottom"/>
            <w:gridSpan w:val="3"/>
          </w:tcPr>
          <w:p>
            <w:pPr>
              <w:ind w:left="8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576"/>
        </w:trPr>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Ratio to be Well-Capitalized</w:t>
            </w:r>
          </w:p>
        </w:tc>
      </w:tr>
      <w:tr>
        <w:trPr>
          <w:trHeight w:val="203"/>
        </w:trPr>
        <w:tc>
          <w:tcPr>
            <w:tcW w:w="3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9"/>
          </w:tcPr>
          <w:p>
            <w:pPr>
              <w:ind w:left="20"/>
              <w:spacing w:after="0" w:line="202" w:lineRule="exact"/>
              <w:rPr>
                <w:sz w:val="20"/>
                <w:szCs w:val="20"/>
                <w:color w:val="auto"/>
              </w:rPr>
            </w:pPr>
            <w:r>
              <w:rPr>
                <w:rFonts w:ascii="Arial" w:cs="Arial" w:eastAsia="Arial" w:hAnsi="Arial"/>
                <w:sz w:val="18"/>
                <w:szCs w:val="18"/>
                <w:b w:val="1"/>
                <w:bCs w:val="1"/>
                <w:color w:val="auto"/>
                <w:w w:val="96"/>
              </w:rPr>
              <w:t>Required for Capital Adequacy</w:t>
            </w:r>
          </w:p>
        </w:tc>
        <w:tc>
          <w:tcPr>
            <w:tcW w:w="100" w:type="dxa"/>
            <w:vAlign w:val="bottom"/>
          </w:tcPr>
          <w:p>
            <w:pPr>
              <w:spacing w:after="0"/>
              <w:rPr>
                <w:sz w:val="17"/>
                <w:szCs w:val="17"/>
                <w:color w:val="auto"/>
              </w:rPr>
            </w:pPr>
          </w:p>
        </w:tc>
        <w:tc>
          <w:tcPr>
            <w:tcW w:w="2380" w:type="dxa"/>
            <w:vAlign w:val="bottom"/>
            <w:gridSpan w:val="5"/>
          </w:tcPr>
          <w:p>
            <w:pPr>
              <w:jc w:val="center"/>
              <w:ind w:right="30"/>
              <w:spacing w:after="0" w:line="202" w:lineRule="exact"/>
              <w:rPr>
                <w:sz w:val="20"/>
                <w:szCs w:val="20"/>
                <w:color w:val="auto"/>
              </w:rPr>
            </w:pPr>
            <w:r>
              <w:rPr>
                <w:rFonts w:ascii="Arial" w:cs="Arial" w:eastAsia="Arial" w:hAnsi="Arial"/>
                <w:sz w:val="18"/>
                <w:szCs w:val="18"/>
                <w:b w:val="1"/>
                <w:bCs w:val="1"/>
                <w:color w:val="auto"/>
                <w:w w:val="91"/>
              </w:rPr>
              <w:t>under Prompt Corrective</w:t>
            </w:r>
          </w:p>
        </w:tc>
      </w:tr>
      <w:tr>
        <w:trPr>
          <w:trHeight w:val="241"/>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Ratios for the Bank</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b w:val="1"/>
                <w:bCs w:val="1"/>
                <w:color w:val="auto"/>
              </w:rPr>
              <w:t>Actual Ratio</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w w:val="87"/>
              </w:rPr>
              <w:t>Purposes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ind w:right="10"/>
              <w:spacing w:after="0"/>
              <w:rPr>
                <w:sz w:val="20"/>
                <w:szCs w:val="20"/>
                <w:color w:val="auto"/>
              </w:rPr>
            </w:pPr>
            <w:r>
              <w:rPr>
                <w:rFonts w:ascii="Arial" w:cs="Arial" w:eastAsia="Arial" w:hAnsi="Arial"/>
                <w:sz w:val="18"/>
                <w:szCs w:val="18"/>
                <w:b w:val="1"/>
                <w:bCs w:val="1"/>
                <w:color w:val="auto"/>
                <w:w w:val="88"/>
              </w:rPr>
              <w:t>Action Provisions</w:t>
            </w:r>
          </w:p>
        </w:tc>
      </w:tr>
      <w:tr>
        <w:trPr>
          <w:trHeight w:val="264"/>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Ratio</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gridSpan w:val="2"/>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Ratio</w:t>
            </w:r>
          </w:p>
        </w:tc>
      </w:tr>
      <w:tr>
        <w:trPr>
          <w:trHeight w:val="256"/>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377,490</w:t>
            </w:r>
          </w:p>
        </w:tc>
        <w:tc>
          <w:tcPr>
            <w:tcW w:w="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12.08 %</w:t>
            </w:r>
          </w:p>
        </w:tc>
        <w:tc>
          <w:tcPr>
            <w:tcW w:w="80" w:type="dxa"/>
            <w:vAlign w:val="bottom"/>
          </w:tcPr>
          <w:p>
            <w:pPr>
              <w:spacing w:after="0"/>
              <w:rPr>
                <w:sz w:val="21"/>
                <w:szCs w:val="21"/>
                <w:color w:val="auto"/>
              </w:rPr>
            </w:pPr>
          </w:p>
        </w:tc>
        <w:tc>
          <w:tcPr>
            <w:tcW w:w="2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249,993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312,492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345,327</w:t>
            </w:r>
          </w:p>
        </w:tc>
        <w:tc>
          <w:tcPr>
            <w:tcW w:w="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11.05 %</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187,508</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250,010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r>
      <w:tr>
        <w:trPr>
          <w:trHeight w:val="215"/>
        </w:trPr>
        <w:tc>
          <w:tcPr>
            <w:tcW w:w="3560" w:type="dxa"/>
            <w:vAlign w:val="bottom"/>
            <w:gridSpan w:val="2"/>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345,327</w:t>
            </w: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11.05 %</w:t>
            </w:r>
          </w:p>
        </w:tc>
        <w:tc>
          <w:tcPr>
            <w:tcW w:w="80" w:type="dxa"/>
            <w:vAlign w:val="bottom"/>
          </w:tcPr>
          <w:p>
            <w:pPr>
              <w:spacing w:after="0"/>
              <w:rPr>
                <w:sz w:val="20"/>
                <w:szCs w:val="20"/>
                <w:color w:val="auto"/>
              </w:rPr>
            </w:pPr>
          </w:p>
        </w:tc>
        <w:tc>
          <w:tcPr>
            <w:tcW w:w="2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140,631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203,133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6.50 %</w:t>
            </w:r>
          </w:p>
        </w:tc>
      </w:tr>
      <w:tr>
        <w:trPr>
          <w:trHeight w:val="257"/>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345,327</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10.58 %</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130,558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163,198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356,301</w:t>
            </w:r>
          </w:p>
        </w:tc>
        <w:tc>
          <w:tcPr>
            <w:tcW w:w="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12.14 %</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50"/>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capital (to risk-weighted assets)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327,788</w:t>
            </w:r>
          </w:p>
        </w:tc>
        <w:tc>
          <w:tcPr>
            <w:tcW w:w="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11.17 %</w:t>
            </w:r>
          </w:p>
        </w:tc>
        <w:tc>
          <w:tcPr>
            <w:tcW w:w="80" w:type="dxa"/>
            <w:vAlign w:val="bottom"/>
          </w:tcPr>
          <w:p>
            <w:pPr>
              <w:spacing w:after="0"/>
              <w:rPr>
                <w:sz w:val="21"/>
                <w:szCs w:val="21"/>
                <w:color w:val="auto"/>
              </w:rPr>
            </w:pPr>
          </w:p>
        </w:tc>
        <w:tc>
          <w:tcPr>
            <w:tcW w:w="2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176,072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234,763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8.00 %</w:t>
            </w:r>
          </w:p>
        </w:tc>
      </w:tr>
      <w:tr>
        <w:trPr>
          <w:trHeight w:val="222"/>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Common equity tier 1 capital (to risk-weighted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327,788</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11.17 %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132,054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190,745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6.50 %</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Tier 1 leverage</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327,788</w:t>
            </w:r>
          </w:p>
        </w:tc>
        <w:tc>
          <w:tcPr>
            <w:tcW w:w="8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10.69 %</w:t>
            </w:r>
          </w:p>
        </w:tc>
        <w:tc>
          <w:tcPr>
            <w:tcW w:w="80" w:type="dxa"/>
            <w:vAlign w:val="bottom"/>
          </w:tcPr>
          <w:p>
            <w:pPr>
              <w:spacing w:after="0"/>
              <w:rPr>
                <w:sz w:val="21"/>
                <w:szCs w:val="21"/>
                <w:color w:val="auto"/>
              </w:rPr>
            </w:pPr>
          </w:p>
        </w:tc>
        <w:tc>
          <w:tcPr>
            <w:tcW w:w="2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122,652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153,315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5.00 %</w:t>
            </w:r>
          </w:p>
        </w:tc>
      </w:tr>
    </w:tbl>
    <w:p>
      <w:pPr>
        <w:spacing w:after="0" w:line="26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listed capital adequacy ratios exclude capital conservation buffers.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of the financial measures discussed herein are non-GAAP financial measures. In accordance with SEC rules, we classify a financial measure as being a non-GAAP financial measure if that financial measure excludes or includes</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67" w:name="page68"/>
    <w:bookmarkEnd w:id="67"/>
    <w:p>
      <w:pPr>
        <w:jc w:val="both"/>
        <w:spacing w:after="0" w:line="263" w:lineRule="auto"/>
        <w:rPr>
          <w:sz w:val="20"/>
          <w:szCs w:val="20"/>
          <w:color w:val="auto"/>
        </w:rPr>
      </w:pPr>
      <w:r>
        <w:rPr>
          <w:rFonts w:ascii="Arial" w:cs="Arial" w:eastAsia="Arial" w:hAnsi="Arial"/>
          <w:sz w:val="18"/>
          <w:szCs w:val="18"/>
          <w:color w:val="auto"/>
        </w:rPr>
        <w:t>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and Regulatory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Regulatory Reform in Response to Recent Bank Failures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recent failures of Silicon Valley Bank (Santa Clara, California), Signature Bank (New York, New York), and First Republic Bank (San Francisco, California) in March and May, 2023, may lead to regulatory changes and initiatives that could impact the Company. For example, President Biden has encouraged the federal banking agencies to adopt various reforms, including the completion of an incentive compensation rule for bank executives pursuant to Section 956 of the Dodd-Frank Act, in response to these bank failures. On April 28, 2023, the Federal Reserve and the FDIC issued reports on the failures of Silicon Valley Bank and Signature Bank, respectively, identifying potential causes that the federal banking agencies may seek to address through changes to their supervisory and regulatory policies. Additionally, agency officials, including the Vice Chair for Supervision of the Board of Governors of the Federal Reserve System, have called for changes to the manner in which banks’ capital, interest rate, and liquidity risks are supervised and regulated. The extent of final actions to be taken by the regulatory agencies in response to these bank failures, including the potential changes discussed by the Vice Chair or highlighted in the Federal Reserve and FDIC reports, remains unclear.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Term Funding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Reserve created the Bank Term Funding Program (the “BTFP”) in response to recent concerns over liquidity in the banking sector. This program provides funding to eligible depository institutions to help ensure that banks can meet the needs of all depositors. The BTFP offers one-year loans to banks pledging any collateral eligible for purchase by the Federal Reserve Banks in open market operations, such as U.S. Treasury securities, U.S. agency securities, and U.S. agency mortgage-backed securities. At June 30, 2023, the Company had neither used nor established borrowing capacity with the BTFP.</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Small Business Lending Data Collection Rule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30, 2023, the Consumer Financial Protection Bureau finalized a rule under Section 1071 of the Dodd-Frank Act requiring lenders to collect and report data regarding small business lending activity. The Company is evaluating the impact of the new rule.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rule is scheduled to take effect on August 29, 2023, and requires compliance by October 1, 2024, April 1, 2025, or January 1, 2026, depending on the number of covered small business loans that a covered lender originates.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Risk Management Guidance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6, 2023, the FDIC, the Federal Reserve, and the OCC issued final guidance providing sound principles that support a risk-based approach to third-party risk management. The Company is evaluating the impact of this guidance on its practices.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Glossary of Acronyms, Abbreviations, and Terms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Annual</w:t>
            </w:r>
          </w:p>
        </w:tc>
        <w:tc>
          <w:tcPr>
            <w:tcW w:w="41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5"/>
              </w:rPr>
              <w:t>Company’s Annual Report on Form 10-K for the year</w:t>
            </w:r>
          </w:p>
        </w:tc>
        <w:tc>
          <w:tcPr>
            <w:tcW w:w="156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Report on Form</w:t>
            </w:r>
          </w:p>
        </w:tc>
        <w:tc>
          <w:tcPr>
            <w:tcW w:w="4180" w:type="dxa"/>
            <w:vAlign w:val="bottom"/>
            <w:vMerge w:val="continue"/>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4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10-K</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ended December 31, 2022</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Federal Reserve</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Board of Governors of the Federal Reserve System</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ACL</w:t>
            </w:r>
          </w:p>
        </w:tc>
        <w:tc>
          <w:tcPr>
            <w:tcW w:w="418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1560" w:type="dxa"/>
            <w:vAlign w:val="bottom"/>
          </w:tcPr>
          <w:p>
            <w:pPr>
              <w:ind w:left="280"/>
              <w:spacing w:after="0"/>
              <w:rPr>
                <w:sz w:val="20"/>
                <w:szCs w:val="20"/>
                <w:color w:val="auto"/>
              </w:rPr>
            </w:pPr>
            <w:r>
              <w:rPr>
                <w:rFonts w:ascii="Arial" w:cs="Arial" w:eastAsia="Arial" w:hAnsi="Arial"/>
                <w:sz w:val="18"/>
                <w:szCs w:val="18"/>
                <w:color w:val="auto"/>
              </w:rPr>
              <w:t>GAAP</w:t>
            </w:r>
          </w:p>
        </w:tc>
        <w:tc>
          <w:tcPr>
            <w:tcW w:w="4180" w:type="dxa"/>
            <w:vAlign w:val="bottom"/>
          </w:tcPr>
          <w:p>
            <w:pPr>
              <w:ind w:left="140"/>
              <w:spacing w:after="0"/>
              <w:rPr>
                <w:sz w:val="20"/>
                <w:szCs w:val="20"/>
                <w:color w:val="auto"/>
              </w:rPr>
            </w:pPr>
            <w:r>
              <w:rPr>
                <w:rFonts w:ascii="Arial" w:cs="Arial" w:eastAsia="Arial" w:hAnsi="Arial"/>
                <w:sz w:val="18"/>
                <w:szCs w:val="18"/>
                <w:color w:val="auto"/>
                <w:w w:val="94"/>
              </w:rPr>
              <w:t>Generally Accepted Accounting Principles in the U.S.</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Accounting Standards Codification</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GNMA</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National Mortgage Association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ASU</w:t>
            </w:r>
          </w:p>
        </w:tc>
        <w:tc>
          <w:tcPr>
            <w:tcW w:w="4180" w:type="dxa"/>
            <w:vAlign w:val="bottom"/>
          </w:tcPr>
          <w:p>
            <w:pPr>
              <w:ind w:left="120"/>
              <w:spacing w:after="0"/>
              <w:rPr>
                <w:sz w:val="20"/>
                <w:szCs w:val="20"/>
                <w:color w:val="auto"/>
              </w:rPr>
            </w:pPr>
            <w:r>
              <w:rPr>
                <w:rFonts w:ascii="Arial" w:cs="Arial" w:eastAsia="Arial" w:hAnsi="Arial"/>
                <w:sz w:val="18"/>
                <w:szCs w:val="18"/>
                <w:color w:val="auto"/>
              </w:rPr>
              <w:t>Accounting Standards Update</w:t>
            </w:r>
          </w:p>
        </w:tc>
        <w:tc>
          <w:tcPr>
            <w:tcW w:w="1560" w:type="dxa"/>
            <w:vAlign w:val="bottom"/>
          </w:tcPr>
          <w:p>
            <w:pPr>
              <w:ind w:left="280"/>
              <w:spacing w:after="0"/>
              <w:rPr>
                <w:sz w:val="20"/>
                <w:szCs w:val="20"/>
                <w:color w:val="auto"/>
              </w:rPr>
            </w:pPr>
            <w:r>
              <w:rPr>
                <w:rFonts w:ascii="Arial" w:cs="Arial" w:eastAsia="Arial" w:hAnsi="Arial"/>
                <w:sz w:val="18"/>
                <w:szCs w:val="18"/>
                <w:color w:val="auto"/>
              </w:rPr>
              <w:t>GSE</w:t>
            </w:r>
          </w:p>
        </w:tc>
        <w:tc>
          <w:tcPr>
            <w:tcW w:w="4180" w:type="dxa"/>
            <w:vAlign w:val="bottom"/>
          </w:tcPr>
          <w:p>
            <w:pPr>
              <w:ind w:left="140"/>
              <w:spacing w:after="0"/>
              <w:rPr>
                <w:sz w:val="20"/>
                <w:szCs w:val="20"/>
                <w:color w:val="auto"/>
              </w:rPr>
            </w:pPr>
            <w:r>
              <w:rPr>
                <w:rFonts w:ascii="Arial" w:cs="Arial" w:eastAsia="Arial" w:hAnsi="Arial"/>
                <w:sz w:val="18"/>
                <w:szCs w:val="18"/>
                <w:color w:val="auto"/>
              </w:rPr>
              <w:t>Government Sponsored Entity</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AFS</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ICS</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Insured Cash Sweep®</w:t>
            </w:r>
          </w:p>
        </w:tc>
        <w:tc>
          <w:tcPr>
            <w:tcW w:w="0" w:type="dxa"/>
            <w:vAlign w:val="bottom"/>
          </w:tcPr>
          <w:p>
            <w:pPr>
              <w:spacing w:after="0"/>
              <w:rPr>
                <w:sz w:val="1"/>
                <w:szCs w:val="1"/>
                <w:color w:val="auto"/>
              </w:rPr>
            </w:pPr>
          </w:p>
        </w:tc>
      </w:tr>
      <w:tr>
        <w:trPr>
          <w:trHeight w:val="237"/>
        </w:trPr>
        <w:tc>
          <w:tcPr>
            <w:tcW w:w="1320" w:type="dxa"/>
            <w:vAlign w:val="bottom"/>
          </w:tcPr>
          <w:p>
            <w:pPr>
              <w:ind w:left="20"/>
              <w:spacing w:after="0"/>
              <w:rPr>
                <w:sz w:val="20"/>
                <w:szCs w:val="20"/>
                <w:color w:val="auto"/>
              </w:rPr>
            </w:pPr>
            <w:r>
              <w:rPr>
                <w:rFonts w:ascii="Arial" w:cs="Arial" w:eastAsia="Arial" w:hAnsi="Arial"/>
                <w:sz w:val="18"/>
                <w:szCs w:val="18"/>
                <w:color w:val="auto"/>
              </w:rPr>
              <w:t>Bancorp</w:t>
            </w:r>
          </w:p>
        </w:tc>
        <w:tc>
          <w:tcPr>
            <w:tcW w:w="4180" w:type="dxa"/>
            <w:vAlign w:val="bottom"/>
          </w:tcPr>
          <w:p>
            <w:pPr>
              <w:ind w:left="120"/>
              <w:spacing w:after="0"/>
              <w:rPr>
                <w:sz w:val="20"/>
                <w:szCs w:val="20"/>
                <w:color w:val="auto"/>
              </w:rPr>
            </w:pPr>
            <w:r>
              <w:rPr>
                <w:rFonts w:ascii="Arial" w:cs="Arial" w:eastAsia="Arial" w:hAnsi="Arial"/>
                <w:sz w:val="18"/>
                <w:szCs w:val="18"/>
                <w:color w:val="auto"/>
              </w:rPr>
              <w:t>Five Star Bancorp and its subsidiary</w:t>
            </w:r>
          </w:p>
        </w:tc>
        <w:tc>
          <w:tcPr>
            <w:tcW w:w="1560" w:type="dxa"/>
            <w:vAlign w:val="bottom"/>
          </w:tcPr>
          <w:p>
            <w:pPr>
              <w:ind w:left="280"/>
              <w:spacing w:after="0"/>
              <w:rPr>
                <w:sz w:val="20"/>
                <w:szCs w:val="20"/>
                <w:color w:val="auto"/>
              </w:rPr>
            </w:pPr>
            <w:r>
              <w:rPr>
                <w:rFonts w:ascii="Arial" w:cs="Arial" w:eastAsia="Arial" w:hAnsi="Arial"/>
                <w:sz w:val="18"/>
                <w:szCs w:val="18"/>
                <w:color w:val="auto"/>
              </w:rPr>
              <w:t>IPO</w:t>
            </w:r>
          </w:p>
        </w:tc>
        <w:tc>
          <w:tcPr>
            <w:tcW w:w="4180" w:type="dxa"/>
            <w:vAlign w:val="bottom"/>
          </w:tcPr>
          <w:p>
            <w:pPr>
              <w:ind w:left="140"/>
              <w:spacing w:after="0"/>
              <w:rPr>
                <w:sz w:val="20"/>
                <w:szCs w:val="20"/>
                <w:color w:val="auto"/>
              </w:rPr>
            </w:pPr>
            <w:r>
              <w:rPr>
                <w:rFonts w:ascii="Arial" w:cs="Arial" w:eastAsia="Arial" w:hAnsi="Arial"/>
                <w:sz w:val="18"/>
                <w:szCs w:val="18"/>
                <w:color w:val="auto"/>
              </w:rPr>
              <w:t>Initial Public Offering</w:t>
            </w:r>
          </w:p>
        </w:tc>
        <w:tc>
          <w:tcPr>
            <w:tcW w:w="0" w:type="dxa"/>
            <w:vAlign w:val="bottom"/>
          </w:tcPr>
          <w:p>
            <w:pPr>
              <w:spacing w:after="0"/>
              <w:rPr>
                <w:sz w:val="1"/>
                <w:szCs w:val="1"/>
                <w:color w:val="auto"/>
              </w:rPr>
            </w:pPr>
          </w:p>
        </w:tc>
      </w:tr>
      <w:tr>
        <w:trPr>
          <w:trHeight w:val="182"/>
        </w:trPr>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Bank</w:t>
            </w:r>
          </w:p>
        </w:tc>
        <w:tc>
          <w:tcPr>
            <w:tcW w:w="41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Five Star Bank</w:t>
            </w:r>
          </w:p>
        </w:tc>
        <w:tc>
          <w:tcPr>
            <w:tcW w:w="156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LM</w:t>
            </w:r>
          </w:p>
        </w:tc>
        <w:tc>
          <w:tcPr>
            <w:tcW w:w="41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5"/>
              </w:rPr>
              <w:t>Loan  modification  made  to  borrower  experiencing</w:t>
            </w:r>
          </w:p>
        </w:tc>
        <w:tc>
          <w:tcPr>
            <w:tcW w:w="0" w:type="dxa"/>
            <w:vAlign w:val="bottom"/>
          </w:tcPr>
          <w:p>
            <w:pPr>
              <w:spacing w:after="0"/>
              <w:rPr>
                <w:sz w:val="1"/>
                <w:szCs w:val="1"/>
                <w:color w:val="auto"/>
              </w:rPr>
            </w:pPr>
          </w:p>
        </w:tc>
      </w:tr>
      <w:tr>
        <w:trPr>
          <w:trHeight w:val="229"/>
        </w:trPr>
        <w:tc>
          <w:tcPr>
            <w:tcW w:w="1320" w:type="dxa"/>
            <w:vAlign w:val="bottom"/>
            <w:vMerge w:val="continue"/>
            <w:shd w:val="clear" w:color="auto" w:fill="CCEEFF"/>
          </w:tcPr>
          <w:p>
            <w:pPr>
              <w:spacing w:after="0"/>
              <w:rPr>
                <w:sz w:val="19"/>
                <w:szCs w:val="19"/>
                <w:color w:val="auto"/>
              </w:rPr>
            </w:pPr>
          </w:p>
        </w:tc>
        <w:tc>
          <w:tcPr>
            <w:tcW w:w="418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difficulty</w:t>
            </w:r>
          </w:p>
        </w:tc>
        <w:tc>
          <w:tcPr>
            <w:tcW w:w="0" w:type="dxa"/>
            <w:vAlign w:val="bottom"/>
          </w:tcPr>
          <w:p>
            <w:pPr>
              <w:spacing w:after="0"/>
              <w:rPr>
                <w:sz w:val="1"/>
                <w:szCs w:val="1"/>
                <w:color w:val="auto"/>
              </w:rPr>
            </w:pPr>
          </w:p>
        </w:tc>
      </w:tr>
      <w:tr>
        <w:trPr>
          <w:trHeight w:val="188"/>
        </w:trPr>
        <w:tc>
          <w:tcPr>
            <w:tcW w:w="1320" w:type="dxa"/>
            <w:vAlign w:val="bottom"/>
          </w:tcPr>
          <w:p>
            <w:pPr>
              <w:spacing w:after="0"/>
              <w:rPr>
                <w:sz w:val="16"/>
                <w:szCs w:val="16"/>
                <w:color w:val="auto"/>
              </w:rPr>
            </w:pPr>
          </w:p>
        </w:tc>
        <w:tc>
          <w:tcPr>
            <w:tcW w:w="4180" w:type="dxa"/>
            <w:vAlign w:val="bottom"/>
          </w:tcPr>
          <w:p>
            <w:pPr>
              <w:ind w:left="120"/>
              <w:spacing w:after="0" w:line="189" w:lineRule="exact"/>
              <w:rPr>
                <w:sz w:val="20"/>
                <w:szCs w:val="20"/>
                <w:color w:val="auto"/>
              </w:rPr>
            </w:pPr>
            <w:r>
              <w:rPr>
                <w:rFonts w:ascii="Arial" w:cs="Arial" w:eastAsia="Arial" w:hAnsi="Arial"/>
                <w:sz w:val="18"/>
                <w:szCs w:val="18"/>
                <w:color w:val="auto"/>
                <w:w w:val="99"/>
              </w:rPr>
              <w:t>A  capital  framework  and  rules  for  U.S.  banking</w:t>
            </w:r>
          </w:p>
        </w:tc>
        <w:tc>
          <w:tcPr>
            <w:tcW w:w="15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Basel III</w:t>
            </w:r>
          </w:p>
        </w:tc>
        <w:tc>
          <w:tcPr>
            <w:tcW w:w="4180" w:type="dxa"/>
            <w:vAlign w:val="bottom"/>
          </w:tcPr>
          <w:p>
            <w:pPr>
              <w:ind w:left="120"/>
              <w:spacing w:after="0"/>
              <w:rPr>
                <w:sz w:val="20"/>
                <w:szCs w:val="20"/>
                <w:color w:val="auto"/>
              </w:rPr>
            </w:pPr>
            <w:r>
              <w:rPr>
                <w:rFonts w:ascii="Arial" w:cs="Arial" w:eastAsia="Arial" w:hAnsi="Arial"/>
                <w:sz w:val="18"/>
                <w:szCs w:val="18"/>
                <w:color w:val="auto"/>
              </w:rPr>
              <w:t>organizations</w:t>
            </w:r>
          </w:p>
        </w:tc>
        <w:tc>
          <w:tcPr>
            <w:tcW w:w="1560" w:type="dxa"/>
            <w:vAlign w:val="bottom"/>
          </w:tcPr>
          <w:p>
            <w:pPr>
              <w:ind w:left="280"/>
              <w:spacing w:after="0"/>
              <w:rPr>
                <w:sz w:val="20"/>
                <w:szCs w:val="20"/>
                <w:color w:val="auto"/>
              </w:rPr>
            </w:pPr>
            <w:r>
              <w:rPr>
                <w:rFonts w:ascii="Arial" w:cs="Arial" w:eastAsia="Arial" w:hAnsi="Arial"/>
                <w:sz w:val="18"/>
                <w:szCs w:val="18"/>
                <w:color w:val="auto"/>
              </w:rPr>
              <w:t>NI</w:t>
            </w:r>
          </w:p>
        </w:tc>
        <w:tc>
          <w:tcPr>
            <w:tcW w:w="41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BOLI</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Bank-Owned Life Insurance</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NIM</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Interest Margin</w:t>
            </w:r>
          </w:p>
        </w:tc>
        <w:tc>
          <w:tcPr>
            <w:tcW w:w="0" w:type="dxa"/>
            <w:vAlign w:val="bottom"/>
          </w:tcPr>
          <w:p>
            <w:pPr>
              <w:spacing w:after="0"/>
              <w:rPr>
                <w:sz w:val="1"/>
                <w:szCs w:val="1"/>
                <w:color w:val="auto"/>
              </w:rPr>
            </w:pPr>
          </w:p>
        </w:tc>
      </w:tr>
      <w:tr>
        <w:trPr>
          <w:trHeight w:val="237"/>
        </w:trPr>
        <w:tc>
          <w:tcPr>
            <w:tcW w:w="1320" w:type="dxa"/>
            <w:vAlign w:val="bottom"/>
          </w:tcPr>
          <w:p>
            <w:pPr>
              <w:ind w:left="20"/>
              <w:spacing w:after="0"/>
              <w:rPr>
                <w:sz w:val="20"/>
                <w:szCs w:val="20"/>
                <w:color w:val="auto"/>
              </w:rPr>
            </w:pPr>
            <w:r>
              <w:rPr>
                <w:rFonts w:ascii="Arial" w:cs="Arial" w:eastAsia="Arial" w:hAnsi="Arial"/>
                <w:sz w:val="18"/>
                <w:szCs w:val="18"/>
                <w:color w:val="auto"/>
              </w:rPr>
              <w:t>CDARS</w:t>
            </w:r>
          </w:p>
        </w:tc>
        <w:tc>
          <w:tcPr>
            <w:tcW w:w="4180" w:type="dxa"/>
            <w:vAlign w:val="bottom"/>
          </w:tcPr>
          <w:p>
            <w:pPr>
              <w:ind w:left="120"/>
              <w:spacing w:after="0"/>
              <w:rPr>
                <w:sz w:val="20"/>
                <w:szCs w:val="20"/>
                <w:color w:val="auto"/>
              </w:rPr>
            </w:pPr>
            <w:r>
              <w:rPr>
                <w:rFonts w:ascii="Arial" w:cs="Arial" w:eastAsia="Arial" w:hAnsi="Arial"/>
                <w:sz w:val="18"/>
                <w:szCs w:val="18"/>
                <w:color w:val="auto"/>
              </w:rPr>
              <w:t>Certificate of Deposit Account Registry Service®</w:t>
            </w:r>
          </w:p>
        </w:tc>
        <w:tc>
          <w:tcPr>
            <w:tcW w:w="1560" w:type="dxa"/>
            <w:vAlign w:val="bottom"/>
          </w:tcPr>
          <w:p>
            <w:pPr>
              <w:ind w:left="280"/>
              <w:spacing w:after="0"/>
              <w:rPr>
                <w:sz w:val="20"/>
                <w:szCs w:val="20"/>
                <w:color w:val="auto"/>
              </w:rPr>
            </w:pPr>
            <w:r>
              <w:rPr>
                <w:rFonts w:ascii="Arial" w:cs="Arial" w:eastAsia="Arial" w:hAnsi="Arial"/>
                <w:sz w:val="18"/>
                <w:szCs w:val="18"/>
                <w:color w:val="auto"/>
              </w:rPr>
              <w:t>OCC</w:t>
            </w:r>
          </w:p>
        </w:tc>
        <w:tc>
          <w:tcPr>
            <w:tcW w:w="4180" w:type="dxa"/>
            <w:vAlign w:val="bottom"/>
          </w:tcPr>
          <w:p>
            <w:pPr>
              <w:ind w:left="140"/>
              <w:spacing w:after="0"/>
              <w:rPr>
                <w:sz w:val="20"/>
                <w:szCs w:val="20"/>
                <w:color w:val="auto"/>
              </w:rPr>
            </w:pPr>
            <w:r>
              <w:rPr>
                <w:rFonts w:ascii="Arial" w:cs="Arial" w:eastAsia="Arial" w:hAnsi="Arial"/>
                <w:sz w:val="18"/>
                <w:szCs w:val="18"/>
                <w:color w:val="auto"/>
              </w:rPr>
              <w:t>The Office of the Comptroller of the Currency</w:t>
            </w:r>
          </w:p>
        </w:tc>
        <w:tc>
          <w:tcPr>
            <w:tcW w:w="0" w:type="dxa"/>
            <w:vAlign w:val="bottom"/>
          </w:tcPr>
          <w:p>
            <w:pPr>
              <w:spacing w:after="0"/>
              <w:rPr>
                <w:sz w:val="1"/>
                <w:szCs w:val="1"/>
                <w:color w:val="auto"/>
              </w:rPr>
            </w:pPr>
          </w:p>
        </w:tc>
      </w:tr>
      <w:tr>
        <w:trPr>
          <w:trHeight w:val="182"/>
        </w:trPr>
        <w:tc>
          <w:tcPr>
            <w:tcW w:w="1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CECL</w:t>
            </w:r>
          </w:p>
        </w:tc>
        <w:tc>
          <w:tcPr>
            <w:tcW w:w="418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w w:val="96"/>
              </w:rPr>
              <w:t>Current expected credit loss model for recognition of</w:t>
            </w:r>
          </w:p>
        </w:tc>
        <w:tc>
          <w:tcPr>
            <w:tcW w:w="156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OCI</w:t>
            </w:r>
          </w:p>
        </w:tc>
        <w:tc>
          <w:tcPr>
            <w:tcW w:w="4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0" w:type="dxa"/>
            <w:vAlign w:val="bottom"/>
          </w:tcPr>
          <w:p>
            <w:pPr>
              <w:spacing w:after="0"/>
              <w:rPr>
                <w:sz w:val="1"/>
                <w:szCs w:val="1"/>
                <w:color w:val="auto"/>
              </w:rPr>
            </w:pPr>
          </w:p>
        </w:tc>
      </w:tr>
      <w:tr>
        <w:trPr>
          <w:trHeight w:val="229"/>
        </w:trPr>
        <w:tc>
          <w:tcPr>
            <w:tcW w:w="1320" w:type="dxa"/>
            <w:vAlign w:val="bottom"/>
            <w:vMerge w:val="continue"/>
            <w:shd w:val="clear" w:color="auto" w:fill="CCEEFF"/>
          </w:tcPr>
          <w:p>
            <w:pPr>
              <w:spacing w:after="0"/>
              <w:rPr>
                <w:sz w:val="19"/>
                <w:szCs w:val="19"/>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losses under ASC 326</w:t>
            </w:r>
          </w:p>
        </w:tc>
        <w:tc>
          <w:tcPr>
            <w:tcW w:w="1560" w:type="dxa"/>
            <w:vAlign w:val="bottom"/>
            <w:vMerge w:val="continue"/>
            <w:shd w:val="clear" w:color="auto" w:fill="CCEEFF"/>
          </w:tcPr>
          <w:p>
            <w:pPr>
              <w:spacing w:after="0"/>
              <w:rPr>
                <w:sz w:val="19"/>
                <w:szCs w:val="19"/>
                <w:color w:val="auto"/>
              </w:rPr>
            </w:pPr>
          </w:p>
        </w:tc>
        <w:tc>
          <w:tcPr>
            <w:tcW w:w="4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20" w:type="dxa"/>
            <w:vAlign w:val="bottom"/>
          </w:tcPr>
          <w:p>
            <w:pPr>
              <w:ind w:left="20"/>
              <w:spacing w:after="0"/>
              <w:rPr>
                <w:sz w:val="20"/>
                <w:szCs w:val="20"/>
                <w:color w:val="auto"/>
              </w:rPr>
            </w:pPr>
            <w:r>
              <w:rPr>
                <w:rFonts w:ascii="Arial" w:cs="Arial" w:eastAsia="Arial" w:hAnsi="Arial"/>
                <w:sz w:val="18"/>
                <w:szCs w:val="18"/>
                <w:color w:val="auto"/>
              </w:rPr>
              <w:t>C&amp;I</w:t>
            </w:r>
          </w:p>
        </w:tc>
        <w:tc>
          <w:tcPr>
            <w:tcW w:w="4180" w:type="dxa"/>
            <w:vAlign w:val="bottom"/>
          </w:tcPr>
          <w:p>
            <w:pPr>
              <w:ind w:left="120"/>
              <w:spacing w:after="0"/>
              <w:rPr>
                <w:sz w:val="20"/>
                <w:szCs w:val="20"/>
                <w:color w:val="auto"/>
              </w:rPr>
            </w:pPr>
            <w:r>
              <w:rPr>
                <w:rFonts w:ascii="Arial" w:cs="Arial" w:eastAsia="Arial" w:hAnsi="Arial"/>
                <w:sz w:val="18"/>
                <w:szCs w:val="18"/>
                <w:color w:val="auto"/>
              </w:rPr>
              <w:t>Commercial &amp; Industrial</w:t>
            </w:r>
          </w:p>
        </w:tc>
        <w:tc>
          <w:tcPr>
            <w:tcW w:w="1560" w:type="dxa"/>
            <w:vAlign w:val="bottom"/>
          </w:tcPr>
          <w:p>
            <w:pPr>
              <w:ind w:left="280"/>
              <w:spacing w:after="0"/>
              <w:rPr>
                <w:sz w:val="20"/>
                <w:szCs w:val="20"/>
                <w:color w:val="auto"/>
              </w:rPr>
            </w:pPr>
            <w:r>
              <w:rPr>
                <w:rFonts w:ascii="Arial" w:cs="Arial" w:eastAsia="Arial" w:hAnsi="Arial"/>
                <w:sz w:val="18"/>
                <w:szCs w:val="18"/>
                <w:color w:val="auto"/>
              </w:rPr>
              <w:t>PPP</w:t>
            </w:r>
          </w:p>
        </w:tc>
        <w:tc>
          <w:tcPr>
            <w:tcW w:w="4180" w:type="dxa"/>
            <w:vAlign w:val="bottom"/>
          </w:tcPr>
          <w:p>
            <w:pPr>
              <w:ind w:left="140"/>
              <w:spacing w:after="0"/>
              <w:rPr>
                <w:sz w:val="20"/>
                <w:szCs w:val="20"/>
                <w:color w:val="auto"/>
              </w:rPr>
            </w:pPr>
            <w:r>
              <w:rPr>
                <w:rFonts w:ascii="Arial" w:cs="Arial" w:eastAsia="Arial" w:hAnsi="Arial"/>
                <w:sz w:val="18"/>
                <w:szCs w:val="18"/>
                <w:color w:val="auto"/>
              </w:rPr>
              <w:t>Paycheck Protection Program</w:t>
            </w:r>
          </w:p>
        </w:tc>
        <w:tc>
          <w:tcPr>
            <w:tcW w:w="0" w:type="dxa"/>
            <w:vAlign w:val="bottom"/>
          </w:tcPr>
          <w:p>
            <w:pPr>
              <w:spacing w:after="0"/>
              <w:rPr>
                <w:sz w:val="1"/>
                <w:szCs w:val="1"/>
                <w:color w:val="auto"/>
              </w:rPr>
            </w:pPr>
          </w:p>
        </w:tc>
      </w:tr>
      <w:tr>
        <w:trPr>
          <w:trHeight w:val="236"/>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Real Estate</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ROAA</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 on Average Assets, annualized</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EPS</w:t>
            </w:r>
          </w:p>
        </w:tc>
        <w:tc>
          <w:tcPr>
            <w:tcW w:w="4180" w:type="dxa"/>
            <w:vAlign w:val="bottom"/>
          </w:tcPr>
          <w:p>
            <w:pPr>
              <w:ind w:left="120"/>
              <w:spacing w:after="0"/>
              <w:rPr>
                <w:sz w:val="20"/>
                <w:szCs w:val="20"/>
                <w:color w:val="auto"/>
              </w:rPr>
            </w:pPr>
            <w:r>
              <w:rPr>
                <w:rFonts w:ascii="Arial" w:cs="Arial" w:eastAsia="Arial" w:hAnsi="Arial"/>
                <w:sz w:val="18"/>
                <w:szCs w:val="18"/>
                <w:color w:val="auto"/>
              </w:rPr>
              <w:t>Earnings per Share</w:t>
            </w:r>
          </w:p>
        </w:tc>
        <w:tc>
          <w:tcPr>
            <w:tcW w:w="1560" w:type="dxa"/>
            <w:vAlign w:val="bottom"/>
          </w:tcPr>
          <w:p>
            <w:pPr>
              <w:ind w:left="280"/>
              <w:spacing w:after="0"/>
              <w:rPr>
                <w:sz w:val="20"/>
                <w:szCs w:val="20"/>
                <w:color w:val="auto"/>
              </w:rPr>
            </w:pPr>
            <w:r>
              <w:rPr>
                <w:rFonts w:ascii="Arial" w:cs="Arial" w:eastAsia="Arial" w:hAnsi="Arial"/>
                <w:sz w:val="18"/>
                <w:szCs w:val="18"/>
                <w:color w:val="auto"/>
              </w:rPr>
              <w:t>ROAE</w:t>
            </w:r>
          </w:p>
        </w:tc>
        <w:tc>
          <w:tcPr>
            <w:tcW w:w="4180" w:type="dxa"/>
            <w:vAlign w:val="bottom"/>
          </w:tcPr>
          <w:p>
            <w:pPr>
              <w:ind w:left="140"/>
              <w:spacing w:after="0"/>
              <w:rPr>
                <w:sz w:val="20"/>
                <w:szCs w:val="20"/>
                <w:color w:val="auto"/>
              </w:rPr>
            </w:pPr>
            <w:r>
              <w:rPr>
                <w:rFonts w:ascii="Arial" w:cs="Arial" w:eastAsia="Arial" w:hAnsi="Arial"/>
                <w:sz w:val="18"/>
                <w:szCs w:val="18"/>
                <w:color w:val="auto"/>
              </w:rPr>
              <w:t>Return on Average Equity, annualized</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Financial Accounting Standards Board</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ROUA</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FDIC</w:t>
            </w:r>
          </w:p>
        </w:tc>
        <w:tc>
          <w:tcPr>
            <w:tcW w:w="4180" w:type="dxa"/>
            <w:vAlign w:val="bottom"/>
          </w:tcPr>
          <w:p>
            <w:pPr>
              <w:ind w:left="120"/>
              <w:spacing w:after="0"/>
              <w:rPr>
                <w:sz w:val="20"/>
                <w:szCs w:val="20"/>
                <w:color w:val="auto"/>
              </w:rPr>
            </w:pPr>
            <w:r>
              <w:rPr>
                <w:rFonts w:ascii="Arial" w:cs="Arial" w:eastAsia="Arial" w:hAnsi="Arial"/>
                <w:sz w:val="18"/>
                <w:szCs w:val="18"/>
                <w:color w:val="auto"/>
              </w:rPr>
              <w:t>Federal Deposit Insurance Corporation</w:t>
            </w:r>
          </w:p>
        </w:tc>
        <w:tc>
          <w:tcPr>
            <w:tcW w:w="1560" w:type="dxa"/>
            <w:vAlign w:val="bottom"/>
          </w:tcPr>
          <w:p>
            <w:pPr>
              <w:ind w:left="280"/>
              <w:spacing w:after="0"/>
              <w:rPr>
                <w:sz w:val="20"/>
                <w:szCs w:val="20"/>
                <w:color w:val="auto"/>
              </w:rPr>
            </w:pPr>
            <w:r>
              <w:rPr>
                <w:rFonts w:ascii="Arial" w:cs="Arial" w:eastAsia="Arial" w:hAnsi="Arial"/>
                <w:sz w:val="18"/>
                <w:szCs w:val="18"/>
                <w:color w:val="auto"/>
              </w:rPr>
              <w:t>SBA</w:t>
            </w:r>
          </w:p>
        </w:tc>
        <w:tc>
          <w:tcPr>
            <w:tcW w:w="4180" w:type="dxa"/>
            <w:vAlign w:val="bottom"/>
          </w:tcPr>
          <w:p>
            <w:pPr>
              <w:ind w:left="140"/>
              <w:spacing w:after="0"/>
              <w:rPr>
                <w:sz w:val="20"/>
                <w:szCs w:val="20"/>
                <w:color w:val="auto"/>
              </w:rPr>
            </w:pPr>
            <w:r>
              <w:rPr>
                <w:rFonts w:ascii="Arial" w:cs="Arial" w:eastAsia="Arial" w:hAnsi="Arial"/>
                <w:sz w:val="18"/>
                <w:szCs w:val="18"/>
                <w:color w:val="auto"/>
              </w:rPr>
              <w:t>U.S. Small Business Administration</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Home Loan Bank of San Francisco</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237"/>
        </w:trPr>
        <w:tc>
          <w:tcPr>
            <w:tcW w:w="1320" w:type="dxa"/>
            <w:vAlign w:val="bottom"/>
          </w:tcPr>
          <w:p>
            <w:pPr>
              <w:ind w:left="20"/>
              <w:spacing w:after="0"/>
              <w:rPr>
                <w:sz w:val="20"/>
                <w:szCs w:val="20"/>
                <w:color w:val="auto"/>
              </w:rPr>
            </w:pPr>
            <w:r>
              <w:rPr>
                <w:rFonts w:ascii="Arial" w:cs="Arial" w:eastAsia="Arial" w:hAnsi="Arial"/>
                <w:sz w:val="18"/>
                <w:szCs w:val="18"/>
                <w:color w:val="auto"/>
              </w:rPr>
              <w:t>FHLMC</w:t>
            </w:r>
          </w:p>
        </w:tc>
        <w:tc>
          <w:tcPr>
            <w:tcW w:w="4180" w:type="dxa"/>
            <w:vAlign w:val="bottom"/>
          </w:tcPr>
          <w:p>
            <w:pPr>
              <w:ind w:left="120"/>
              <w:spacing w:after="0"/>
              <w:rPr>
                <w:sz w:val="20"/>
                <w:szCs w:val="20"/>
                <w:color w:val="auto"/>
              </w:rPr>
            </w:pPr>
            <w:r>
              <w:rPr>
                <w:rFonts w:ascii="Arial" w:cs="Arial" w:eastAsia="Arial" w:hAnsi="Arial"/>
                <w:sz w:val="18"/>
                <w:szCs w:val="18"/>
                <w:color w:val="auto"/>
              </w:rPr>
              <w:t>Federal Home Loan Mortgage Corporation</w:t>
            </w:r>
          </w:p>
        </w:tc>
        <w:tc>
          <w:tcPr>
            <w:tcW w:w="1560" w:type="dxa"/>
            <w:vAlign w:val="bottom"/>
          </w:tcPr>
          <w:p>
            <w:pPr>
              <w:ind w:left="280"/>
              <w:spacing w:after="0"/>
              <w:rPr>
                <w:sz w:val="20"/>
                <w:szCs w:val="20"/>
                <w:color w:val="auto"/>
              </w:rPr>
            </w:pPr>
            <w:r>
              <w:rPr>
                <w:rFonts w:ascii="Arial" w:cs="Arial" w:eastAsia="Arial" w:hAnsi="Arial"/>
                <w:sz w:val="18"/>
                <w:szCs w:val="18"/>
                <w:color w:val="auto"/>
              </w:rPr>
              <w:t>SOFR</w:t>
            </w:r>
          </w:p>
        </w:tc>
        <w:tc>
          <w:tcPr>
            <w:tcW w:w="4180" w:type="dxa"/>
            <w:vAlign w:val="bottom"/>
          </w:tcPr>
          <w:p>
            <w:pPr>
              <w:ind w:left="140"/>
              <w:spacing w:after="0"/>
              <w:rPr>
                <w:sz w:val="20"/>
                <w:szCs w:val="20"/>
                <w:color w:val="auto"/>
              </w:rPr>
            </w:pPr>
            <w:r>
              <w:rPr>
                <w:rFonts w:ascii="Arial" w:cs="Arial" w:eastAsia="Arial" w:hAnsi="Arial"/>
                <w:sz w:val="18"/>
                <w:szCs w:val="18"/>
                <w:color w:val="auto"/>
              </w:rPr>
              <w:t>Secured Overnight Financing Rate</w:t>
            </w:r>
          </w:p>
        </w:tc>
        <w:tc>
          <w:tcPr>
            <w:tcW w:w="0" w:type="dxa"/>
            <w:vAlign w:val="bottom"/>
          </w:tcPr>
          <w:p>
            <w:pPr>
              <w:spacing w:after="0"/>
              <w:rPr>
                <w:sz w:val="1"/>
                <w:szCs w:val="1"/>
                <w:color w:val="auto"/>
              </w:rPr>
            </w:pPr>
          </w:p>
        </w:tc>
      </w:tr>
      <w:tr>
        <w:trPr>
          <w:trHeight w:val="236"/>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FNMA</w:t>
            </w: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 National Mortgage Association</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TDR</w:t>
            </w: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Troubled Debt Restructuring</w:t>
            </w:r>
          </w:p>
        </w:tc>
        <w:tc>
          <w:tcPr>
            <w:tcW w:w="0" w:type="dxa"/>
            <w:vAlign w:val="bottom"/>
          </w:tcPr>
          <w:p>
            <w:pPr>
              <w:spacing w:after="0"/>
              <w:rPr>
                <w:sz w:val="1"/>
                <w:szCs w:val="1"/>
                <w:color w:val="auto"/>
              </w:rPr>
            </w:pPr>
          </w:p>
        </w:tc>
      </w:tr>
      <w:tr>
        <w:trPr>
          <w:trHeight w:val="898"/>
        </w:trPr>
        <w:tc>
          <w:tcPr>
            <w:tcW w:w="1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560" w:type="dxa"/>
            <w:vAlign w:val="bottom"/>
          </w:tcPr>
          <w:p>
            <w:pPr>
              <w:ind w:left="40"/>
              <w:spacing w:after="0"/>
              <w:rPr>
                <w:sz w:val="20"/>
                <w:szCs w:val="20"/>
                <w:color w:val="auto"/>
              </w:rPr>
            </w:pPr>
            <w:r>
              <w:rPr>
                <w:rFonts w:ascii="Arial" w:cs="Arial" w:eastAsia="Arial" w:hAnsi="Arial"/>
                <w:sz w:val="16"/>
                <w:szCs w:val="16"/>
                <w:color w:val="auto"/>
              </w:rPr>
              <w:t>67</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3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as of June 30, 2023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 2023, the Company adopted ASC 326. As a result, the Company made changes to and incorporated new policies, processes, and controls over the estimation of the allowance for credit losses. There were changes implemented to account for the additional complexity of the credit loss models, review of economic forecasts, and other assumptions used in the estimation process. These changes were not undertaken in response to any identified deficiency in the Company’s internal control over financial reporting. There have been no other changes in the Company’s internal control.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under Item 1A of the Company’s 2022 Annual Report on Form 10-K, previously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 xml:space="preserve">Unregistered Sales of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 xml:space="preserve">Issuer Purchases of Equity Securities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180" w:type="dxa"/>
            <w:vAlign w:val="bottom"/>
          </w:tcPr>
          <w:p>
            <w:pPr>
              <w:spacing w:after="0"/>
              <w:rPr>
                <w:sz w:val="20"/>
                <w:szCs w:val="20"/>
                <w:color w:val="auto"/>
              </w:rPr>
            </w:pPr>
          </w:p>
        </w:tc>
      </w:tr>
      <w:tr>
        <w:trPr>
          <w:trHeight w:val="211"/>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1"/>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Exhibit Description</w:t>
            </w: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203"/>
        </w:trPr>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4860" w:type="dxa"/>
            <w:vAlign w:val="bottom"/>
            <w:gridSpan w:val="5"/>
          </w:tcPr>
          <w:p>
            <w:pPr>
              <w:spacing w:after="0" w:line="202" w:lineRule="exact"/>
              <w:rPr>
                <w:sz w:val="20"/>
                <w:szCs w:val="20"/>
                <w:color w:val="auto"/>
              </w:rPr>
            </w:pPr>
            <w:r>
              <w:rPr>
                <w:rFonts w:ascii="Arial" w:cs="Arial" w:eastAsia="Arial" w:hAnsi="Arial"/>
                <w:sz w:val="18"/>
                <w:szCs w:val="18"/>
                <w:color w:val="0000FF"/>
              </w:rPr>
              <w:t>Certification of Chief Executive Officer pursuant to Rule 13a-</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3"/>
        </w:trPr>
        <w:tc>
          <w:tcPr>
            <w:tcW w:w="104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4"/>
              </w:rPr>
              <w:t>14(a)/15d-14(a),  as  adopted  pursuant  to  Section  302  of  the</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4860" w:type="dxa"/>
            <w:vAlign w:val="bottom"/>
            <w:gridSpan w:val="5"/>
          </w:tcPr>
          <w:p>
            <w:pPr>
              <w:spacing w:after="0" w:line="196" w:lineRule="exact"/>
              <w:rPr>
                <w:sz w:val="20"/>
                <w:szCs w:val="20"/>
                <w:color w:val="auto"/>
              </w:rPr>
            </w:pPr>
            <w:r>
              <w:rPr>
                <w:rFonts w:ascii="Arial" w:cs="Arial" w:eastAsia="Arial" w:hAnsi="Arial"/>
                <w:sz w:val="18"/>
                <w:szCs w:val="18"/>
                <w:color w:val="0000FF"/>
              </w:rPr>
              <w:t>Sarbanes-Oxley Act of 2002</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860" w:type="dxa"/>
            <w:vAlign w:val="bottom"/>
            <w:gridSpan w:val="5"/>
          </w:tcPr>
          <w:p>
            <w:pPr>
              <w:spacing w:after="0"/>
              <w:rPr>
                <w:sz w:val="20"/>
                <w:szCs w:val="20"/>
                <w:color w:val="auto"/>
              </w:rPr>
            </w:pPr>
            <w:r>
              <w:rPr>
                <w:rFonts w:ascii="Arial" w:cs="Arial" w:eastAsia="Arial" w:hAnsi="Arial"/>
                <w:sz w:val="18"/>
                <w:szCs w:val="18"/>
                <w:color w:val="0000FF"/>
              </w:rPr>
              <w:t>Certification of Chief Financial Officer pursuant to Rule 13a-</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4"/>
              </w:rPr>
              <w:t>14(a)/15d-14(a),  as  adopted  pursuant  to  Section  302  of  the</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4860" w:type="dxa"/>
            <w:vAlign w:val="bottom"/>
            <w:gridSpan w:val="5"/>
          </w:tcPr>
          <w:p>
            <w:pPr>
              <w:spacing w:after="0" w:line="196" w:lineRule="exact"/>
              <w:rPr>
                <w:sz w:val="20"/>
                <w:szCs w:val="20"/>
                <w:color w:val="auto"/>
              </w:rPr>
            </w:pPr>
            <w:r>
              <w:rPr>
                <w:rFonts w:ascii="Arial" w:cs="Arial" w:eastAsia="Arial" w:hAnsi="Arial"/>
                <w:sz w:val="18"/>
                <w:szCs w:val="18"/>
                <w:color w:val="0000FF"/>
              </w:rPr>
              <w:t>Sarbanes-Oxley Act of 2002</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4860" w:type="dxa"/>
            <w:vAlign w:val="bottom"/>
            <w:gridSpan w:val="5"/>
          </w:tcPr>
          <w:p>
            <w:pPr>
              <w:spacing w:after="0"/>
              <w:rPr>
                <w:sz w:val="20"/>
                <w:szCs w:val="20"/>
                <w:color w:val="auto"/>
              </w:rPr>
            </w:pPr>
            <w:r>
              <w:rPr>
                <w:rFonts w:ascii="Arial" w:cs="Arial" w:eastAsia="Arial" w:hAnsi="Arial"/>
                <w:sz w:val="18"/>
                <w:szCs w:val="18"/>
                <w:color w:val="0000FF"/>
              </w:rPr>
              <w:t>Certification of Chief Executive Officer pursuant to 18 U.S.C.</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89"/>
              </w:rPr>
              <w:t>Section 1350, as adopted pursuant to Section 906 of the Sarbanes-</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2"/>
              </w:rPr>
              <w:t>Oxley Act of 2002</w:t>
            </w:r>
          </w:p>
        </w:tc>
        <w:tc>
          <w:tcPr>
            <w:tcW w:w="35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36"/>
        </w:trPr>
        <w:tc>
          <w:tcPr>
            <w:tcW w:w="104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4860" w:type="dxa"/>
            <w:vAlign w:val="bottom"/>
            <w:gridSpan w:val="5"/>
          </w:tcPr>
          <w:p>
            <w:pPr>
              <w:spacing w:after="0"/>
              <w:rPr>
                <w:sz w:val="20"/>
                <w:szCs w:val="20"/>
                <w:color w:val="auto"/>
              </w:rPr>
            </w:pPr>
            <w:r>
              <w:rPr>
                <w:rFonts w:ascii="Arial" w:cs="Arial" w:eastAsia="Arial" w:hAnsi="Arial"/>
                <w:sz w:val="18"/>
                <w:szCs w:val="18"/>
                <w:color w:val="0000FF"/>
              </w:rPr>
              <w:t>Certification of Chief Financial Officer pursuant to 18 U.S.C.</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484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4"/>
              </w:rPr>
              <w:t>Section 1350, as adopted by Section 906 of the Sarbanes-Oxley</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4860" w:type="dxa"/>
            <w:vAlign w:val="bottom"/>
            <w:gridSpan w:val="5"/>
          </w:tcPr>
          <w:p>
            <w:pPr>
              <w:spacing w:after="0" w:line="196" w:lineRule="exact"/>
              <w:rPr>
                <w:sz w:val="20"/>
                <w:szCs w:val="20"/>
                <w:color w:val="auto"/>
              </w:rPr>
            </w:pPr>
            <w:r>
              <w:rPr>
                <w:rFonts w:ascii="Arial" w:cs="Arial" w:eastAsia="Arial" w:hAnsi="Arial"/>
                <w:sz w:val="18"/>
                <w:szCs w:val="18"/>
                <w:color w:val="0000FF"/>
              </w:rPr>
              <w:t>Act of 2002</w:t>
            </w: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97"/>
              </w:rPr>
              <w:t>Filed</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4860" w:type="dxa"/>
            <w:vAlign w:val="bottom"/>
            <w:gridSpan w:val="5"/>
          </w:tcPr>
          <w:p>
            <w:pPr>
              <w:spacing w:after="0"/>
              <w:rPr>
                <w:sz w:val="20"/>
                <w:szCs w:val="20"/>
                <w:color w:val="auto"/>
              </w:rPr>
            </w:pPr>
            <w:r>
              <w:rPr>
                <w:rFonts w:ascii="Arial" w:cs="Arial" w:eastAsia="Arial" w:hAnsi="Arial"/>
                <w:sz w:val="18"/>
                <w:szCs w:val="18"/>
                <w:color w:val="auto"/>
              </w:rPr>
              <w:t>Inline XBRL Interactive Data</w:t>
            </w: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Filed</w:t>
            </w:r>
          </w:p>
        </w:tc>
      </w:tr>
      <w:tr>
        <w:trPr>
          <w:trHeight w:val="229"/>
        </w:trPr>
        <w:tc>
          <w:tcPr>
            <w:tcW w:w="104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4860" w:type="dxa"/>
            <w:vAlign w:val="bottom"/>
            <w:gridSpan w:val="5"/>
          </w:tcPr>
          <w:p>
            <w:pPr>
              <w:spacing w:after="0"/>
              <w:rPr>
                <w:sz w:val="20"/>
                <w:szCs w:val="20"/>
                <w:color w:val="auto"/>
              </w:rPr>
            </w:pPr>
            <w:r>
              <w:rPr>
                <w:rFonts w:ascii="Arial" w:cs="Arial" w:eastAsia="Arial" w:hAnsi="Arial"/>
                <w:sz w:val="18"/>
                <w:szCs w:val="18"/>
                <w:color w:val="auto"/>
                <w:w w:val="99"/>
              </w:rPr>
              <w:t>Cover Page Interactive Data File (embedded within the Inline</w:t>
            </w: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4860" w:type="dxa"/>
            <w:vAlign w:val="bottom"/>
            <w:gridSpan w:val="5"/>
          </w:tcPr>
          <w:p>
            <w:pPr>
              <w:spacing w:after="0"/>
              <w:rPr>
                <w:sz w:val="20"/>
                <w:szCs w:val="20"/>
                <w:color w:val="auto"/>
              </w:rPr>
            </w:pPr>
            <w:r>
              <w:rPr>
                <w:rFonts w:ascii="Arial" w:cs="Arial" w:eastAsia="Arial" w:hAnsi="Arial"/>
                <w:sz w:val="18"/>
                <w:szCs w:val="18"/>
                <w:color w:val="auto"/>
              </w:rPr>
              <w:t>XBRL document in Exhibit 101)</w:t>
            </w: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Five Star Bancorp</w:t>
            </w:r>
          </w:p>
        </w:tc>
      </w:tr>
      <w:tr>
        <w:trPr>
          <w:trHeight w:val="257"/>
        </w:trPr>
        <w:tc>
          <w:tcPr>
            <w:tcW w:w="3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27"/>
        </w:trPr>
        <w:tc>
          <w:tcPr>
            <w:tcW w:w="3500" w:type="dxa"/>
            <w:vAlign w:val="bottom"/>
          </w:tcPr>
          <w:p>
            <w:pPr>
              <w:jc w:val="center"/>
              <w:spacing w:after="0"/>
              <w:rPr>
                <w:sz w:val="20"/>
                <w:szCs w:val="20"/>
                <w:color w:val="auto"/>
              </w:rPr>
            </w:pPr>
            <w:r>
              <w:rPr>
                <w:rFonts w:ascii="Arial" w:cs="Arial" w:eastAsia="Arial" w:hAnsi="Arial"/>
                <w:sz w:val="18"/>
                <w:szCs w:val="18"/>
                <w:color w:val="auto"/>
                <w:w w:val="90"/>
              </w:rPr>
              <w:t>August 9, 2023</w:t>
            </w:r>
          </w:p>
        </w:tc>
        <w:tc>
          <w:tcPr>
            <w:tcW w:w="18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i w:val="1"/>
                <w:iCs w:val="1"/>
                <w:color w:val="auto"/>
              </w:rPr>
              <w:t>/s/ James E. Beckwith</w:t>
            </w:r>
          </w:p>
        </w:tc>
      </w:tr>
      <w:tr>
        <w:trPr>
          <w:trHeight w:val="27"/>
        </w:trPr>
        <w:tc>
          <w:tcPr>
            <w:tcW w:w="350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86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James E. Beckwith</w:t>
            </w:r>
          </w:p>
        </w:tc>
      </w:tr>
      <w:tr>
        <w:trPr>
          <w:trHeight w:val="257"/>
        </w:trPr>
        <w:tc>
          <w:tcPr>
            <w:tcW w:w="3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President &amp;</w:t>
            </w:r>
          </w:p>
        </w:tc>
      </w:tr>
      <w:tr>
        <w:trPr>
          <w:trHeight w:val="257"/>
        </w:trPr>
        <w:tc>
          <w:tcPr>
            <w:tcW w:w="3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57"/>
        </w:trPr>
        <w:tc>
          <w:tcPr>
            <w:tcW w:w="3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26"/>
        </w:trPr>
        <w:tc>
          <w:tcPr>
            <w:tcW w:w="3500" w:type="dxa"/>
            <w:vAlign w:val="bottom"/>
          </w:tcPr>
          <w:p>
            <w:pPr>
              <w:jc w:val="center"/>
              <w:spacing w:after="0"/>
              <w:rPr>
                <w:sz w:val="20"/>
                <w:szCs w:val="20"/>
                <w:color w:val="auto"/>
              </w:rPr>
            </w:pPr>
            <w:r>
              <w:rPr>
                <w:rFonts w:ascii="Arial" w:cs="Arial" w:eastAsia="Arial" w:hAnsi="Arial"/>
                <w:sz w:val="18"/>
                <w:szCs w:val="18"/>
                <w:color w:val="auto"/>
                <w:w w:val="90"/>
              </w:rPr>
              <w:t>August 9, 2023</w:t>
            </w:r>
          </w:p>
        </w:tc>
        <w:tc>
          <w:tcPr>
            <w:tcW w:w="1860" w:type="dxa"/>
            <w:vAlign w:val="bottom"/>
          </w:tcPr>
          <w:p>
            <w:pPr>
              <w:spacing w:after="0"/>
              <w:rPr>
                <w:sz w:val="24"/>
                <w:szCs w:val="24"/>
                <w:color w:val="auto"/>
              </w:rPr>
            </w:pPr>
          </w:p>
        </w:tc>
        <w:tc>
          <w:tcPr>
            <w:tcW w:w="4140" w:type="dxa"/>
            <w:vAlign w:val="bottom"/>
          </w:tcPr>
          <w:p>
            <w:pPr>
              <w:ind w:left="20"/>
              <w:spacing w:after="0"/>
              <w:rPr>
                <w:sz w:val="20"/>
                <w:szCs w:val="20"/>
                <w:color w:val="auto"/>
              </w:rPr>
            </w:pPr>
            <w:r>
              <w:rPr>
                <w:rFonts w:ascii="Arial" w:cs="Arial" w:eastAsia="Arial" w:hAnsi="Arial"/>
                <w:sz w:val="18"/>
                <w:szCs w:val="18"/>
                <w:i w:val="1"/>
                <w:iCs w:val="1"/>
                <w:color w:val="auto"/>
              </w:rPr>
              <w:t>/s/ Heather C. Luck</w:t>
            </w:r>
          </w:p>
        </w:tc>
      </w:tr>
      <w:tr>
        <w:trPr>
          <w:trHeight w:val="27"/>
        </w:trPr>
        <w:tc>
          <w:tcPr>
            <w:tcW w:w="350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86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Heather C. Luck</w:t>
            </w:r>
          </w:p>
        </w:tc>
      </w:tr>
      <w:tr>
        <w:trPr>
          <w:trHeight w:val="256"/>
        </w:trPr>
        <w:tc>
          <w:tcPr>
            <w:tcW w:w="3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Senior Vice President &amp;</w:t>
            </w:r>
          </w:p>
        </w:tc>
      </w:tr>
      <w:tr>
        <w:trPr>
          <w:trHeight w:val="257"/>
        </w:trPr>
        <w:tc>
          <w:tcPr>
            <w:tcW w:w="3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7"/>
        </w:trPr>
        <w:tc>
          <w:tcPr>
            <w:tcW w:w="35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12"/>
        </w:trPr>
        <w:tc>
          <w:tcPr>
            <w:tcW w:w="3500" w:type="dxa"/>
            <w:vAlign w:val="bottom"/>
          </w:tcPr>
          <w:p>
            <w:pPr>
              <w:spacing w:after="0"/>
              <w:rPr>
                <w:sz w:val="24"/>
                <w:szCs w:val="24"/>
                <w:color w:val="auto"/>
              </w:rPr>
            </w:pPr>
          </w:p>
        </w:tc>
        <w:tc>
          <w:tcPr>
            <w:tcW w:w="1860" w:type="dxa"/>
            <w:vAlign w:val="bottom"/>
          </w:tcPr>
          <w:p>
            <w:pPr>
              <w:jc w:val="right"/>
              <w:ind w:right="1319"/>
              <w:spacing w:after="0"/>
              <w:rPr>
                <w:sz w:val="20"/>
                <w:szCs w:val="20"/>
                <w:color w:val="auto"/>
              </w:rPr>
            </w:pPr>
            <w:r>
              <w:rPr>
                <w:rFonts w:ascii="Arial" w:cs="Arial" w:eastAsia="Arial" w:hAnsi="Arial"/>
                <w:sz w:val="16"/>
                <w:szCs w:val="16"/>
                <w:color w:val="auto"/>
              </w:rPr>
              <w:t>71</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jc w:val="center"/>
              <w:spacing w:after="0"/>
              <w:rPr>
                <w:sz w:val="20"/>
                <w:szCs w:val="20"/>
                <w:color w:val="auto"/>
              </w:rPr>
            </w:pPr>
            <w:r>
              <w:rPr>
                <w:rFonts w:ascii="Arial" w:cs="Arial" w:eastAsia="Arial" w:hAnsi="Arial"/>
                <w:sz w:val="18"/>
                <w:szCs w:val="18"/>
                <w:color w:val="auto"/>
                <w:w w:val="90"/>
              </w:rPr>
              <w:t>August 9, 2023</w:t>
            </w:r>
          </w:p>
        </w:tc>
        <w:tc>
          <w:tcPr>
            <w:tcW w:w="1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/s/ James E. Beckwith</w:t>
            </w:r>
          </w:p>
        </w:tc>
      </w:tr>
      <w:tr>
        <w:trPr>
          <w:trHeight w:val="27"/>
        </w:trPr>
        <w:tc>
          <w:tcPr>
            <w:tcW w:w="50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James E. Beckwith</w:t>
            </w:r>
          </w:p>
        </w:tc>
      </w:tr>
      <w:tr>
        <w:trPr>
          <w:trHeight w:val="256"/>
        </w:trPr>
        <w:tc>
          <w:tcPr>
            <w:tcW w:w="5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114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13a-14(a)/15d-14(a),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Five Star Bancorp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jc w:val="center"/>
              <w:spacing w:after="0"/>
              <w:rPr>
                <w:sz w:val="20"/>
                <w:szCs w:val="20"/>
                <w:color w:val="auto"/>
              </w:rPr>
            </w:pPr>
            <w:r>
              <w:rPr>
                <w:rFonts w:ascii="Arial" w:cs="Arial" w:eastAsia="Arial" w:hAnsi="Arial"/>
                <w:sz w:val="18"/>
                <w:szCs w:val="18"/>
                <w:color w:val="auto"/>
                <w:w w:val="90"/>
              </w:rPr>
              <w:t>August 9, 2023</w:t>
            </w:r>
          </w:p>
        </w:tc>
        <w:tc>
          <w:tcPr>
            <w:tcW w:w="1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/s/ Heather C. Luck</w:t>
            </w:r>
          </w:p>
        </w:tc>
      </w:tr>
      <w:tr>
        <w:trPr>
          <w:trHeight w:val="27"/>
        </w:trPr>
        <w:tc>
          <w:tcPr>
            <w:tcW w:w="50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Heather C. Luck</w:t>
            </w:r>
          </w:p>
        </w:tc>
      </w:tr>
      <w:tr>
        <w:trPr>
          <w:trHeight w:val="256"/>
        </w:trPr>
        <w:tc>
          <w:tcPr>
            <w:tcW w:w="5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bl>
    <w:p>
      <w:pPr>
        <w:sectPr>
          <w:pgSz w:w="11900" w:h="16838" w:orient="portrait"/>
          <w:cols w:equalWidth="0" w:num="1">
            <w:col w:w="11240"/>
          </w:cols>
          <w:pgMar w:left="320" w:top="114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Five Star Bancorp (the “Company”) for the period ended June 30, 2023,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jc w:val="center"/>
              <w:spacing w:after="0"/>
              <w:rPr>
                <w:sz w:val="20"/>
                <w:szCs w:val="20"/>
                <w:color w:val="auto"/>
              </w:rPr>
            </w:pPr>
            <w:r>
              <w:rPr>
                <w:rFonts w:ascii="Arial" w:cs="Arial" w:eastAsia="Arial" w:hAnsi="Arial"/>
                <w:sz w:val="18"/>
                <w:szCs w:val="18"/>
                <w:color w:val="auto"/>
                <w:w w:val="90"/>
              </w:rPr>
              <w:t>August 9, 2023</w:t>
            </w:r>
          </w:p>
        </w:tc>
        <w:tc>
          <w:tcPr>
            <w:tcW w:w="1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/s/ James E. Beckwith</w:t>
            </w:r>
          </w:p>
        </w:tc>
      </w:tr>
      <w:tr>
        <w:trPr>
          <w:trHeight w:val="27"/>
        </w:trPr>
        <w:tc>
          <w:tcPr>
            <w:tcW w:w="50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James E. Beckwith</w:t>
            </w:r>
          </w:p>
        </w:tc>
      </w:tr>
      <w:tr>
        <w:trPr>
          <w:trHeight w:val="256"/>
        </w:trPr>
        <w:tc>
          <w:tcPr>
            <w:tcW w:w="5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ectPr>
          <w:pgSz w:w="11900" w:h="16838" w:orient="portrait"/>
          <w:cols w:equalWidth="0" w:num="1">
            <w:col w:w="11240"/>
          </w:cols>
          <w:pgMar w:left="320" w:top="93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Five Star Bancorp (the “Company”) for the period ended June 30, 2023, as filed with the Securities and Exchange Commission on the date hereof (the “Report”), I, Heather C. Luck, Senior Vice President &amp; Chief Financial Officer of the Company, hereby certify pursuant to 18 U.S.C. Section 1350, as adopted pursuant to Section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jc w:val="center"/>
              <w:spacing w:after="0"/>
              <w:rPr>
                <w:sz w:val="20"/>
                <w:szCs w:val="20"/>
                <w:color w:val="auto"/>
              </w:rPr>
            </w:pPr>
            <w:r>
              <w:rPr>
                <w:rFonts w:ascii="Arial" w:cs="Arial" w:eastAsia="Arial" w:hAnsi="Arial"/>
                <w:sz w:val="18"/>
                <w:szCs w:val="18"/>
                <w:color w:val="auto"/>
                <w:w w:val="90"/>
              </w:rPr>
              <w:t>August 9, 2023</w:t>
            </w:r>
          </w:p>
        </w:tc>
        <w:tc>
          <w:tcPr>
            <w:tcW w:w="11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/s/ Heather C. Luck</w:t>
            </w:r>
          </w:p>
        </w:tc>
      </w:tr>
      <w:tr>
        <w:trPr>
          <w:trHeight w:val="27"/>
        </w:trPr>
        <w:tc>
          <w:tcPr>
            <w:tcW w:w="504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24"/>
        </w:trPr>
        <w:tc>
          <w:tcPr>
            <w:tcW w:w="50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11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Heather C. Luck</w:t>
            </w:r>
          </w:p>
        </w:tc>
      </w:tr>
      <w:tr>
        <w:trPr>
          <w:trHeight w:val="256"/>
        </w:trPr>
        <w:tc>
          <w:tcPr>
            <w:tcW w:w="50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2"/>
    </w:lvl>
  </w:abstractNum>
  <w:abstractNum w:abstractNumId="12">
    <w:nsid w:val="25E45D32"/>
    <w:multiLevelType w:val="hybridMultilevel"/>
    <w:lvl w:ilvl="0">
      <w:lvlJc w:val="left"/>
      <w:lvlText w:val="1"/>
      <w:numFmt w:val="bullet"/>
      <w:start w:val="1"/>
    </w:lvl>
  </w:abstractNum>
  <w:abstractNum w:abstractNumId="13">
    <w:nsid w:val="519B500D"/>
    <w:multiLevelType w:val="hybridMultilevel"/>
    <w:lvl w:ilvl="0">
      <w:lvlJc w:val="left"/>
      <w:lvlText w:val="2"/>
      <w:numFmt w:val="bullet"/>
      <w:start w:val="1"/>
    </w:lvl>
  </w:abstractNum>
  <w:abstractNum w:abstractNumId="14">
    <w:nsid w:val="431BD7B7"/>
    <w:multiLevelType w:val="hybridMultilevel"/>
    <w:lvl w:ilvl="0">
      <w:lvlJc w:val="left"/>
      <w:lvlText w:val="1"/>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2023-08-09T14:14:04Z</dcterms:created>
  <dcterms:modified xsi:type="dcterms:W3CDTF">2023-08-09T14:14:04Z</dcterms:modified>
</cp:coreProperties>
</file>