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63"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001-40379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FIVE STAR BANCORP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ind w:left="1920"/>
              <w:spacing w:after="0"/>
              <w:rPr>
                <w:sz w:val="20"/>
                <w:szCs w:val="20"/>
                <w:color w:val="auto"/>
              </w:rPr>
            </w:pPr>
            <w:r>
              <w:rPr>
                <w:rFonts w:ascii="Arial" w:cs="Arial" w:eastAsia="Arial" w:hAnsi="Arial"/>
                <w:sz w:val="18"/>
                <w:szCs w:val="18"/>
                <w:b w:val="1"/>
                <w:bCs w:val="1"/>
                <w:color w:val="auto"/>
              </w:rPr>
              <w:t>California</w:t>
            </w:r>
          </w:p>
        </w:tc>
        <w:tc>
          <w:tcPr>
            <w:tcW w:w="3740" w:type="dxa"/>
            <w:vAlign w:val="bottom"/>
          </w:tcPr>
          <w:p>
            <w:pPr>
              <w:jc w:val="right"/>
              <w:ind w:right="890"/>
              <w:spacing w:after="0"/>
              <w:rPr>
                <w:sz w:val="20"/>
                <w:szCs w:val="20"/>
                <w:color w:val="auto"/>
              </w:rPr>
            </w:pPr>
            <w:r>
              <w:rPr>
                <w:rFonts w:ascii="Arial" w:cs="Arial" w:eastAsia="Arial" w:hAnsi="Arial"/>
                <w:sz w:val="18"/>
                <w:szCs w:val="18"/>
                <w:b w:val="1"/>
                <w:bCs w:val="1"/>
                <w:color w:val="auto"/>
              </w:rPr>
              <w:t>75-3100966</w:t>
            </w:r>
          </w:p>
        </w:tc>
        <w:tc>
          <w:tcPr>
            <w:tcW w:w="0" w:type="dxa"/>
            <w:vAlign w:val="bottom"/>
          </w:tcPr>
          <w:p>
            <w:pPr>
              <w:spacing w:after="0"/>
              <w:rPr>
                <w:sz w:val="1"/>
                <w:szCs w:val="1"/>
                <w:color w:val="auto"/>
              </w:rPr>
            </w:pPr>
          </w:p>
        </w:tc>
      </w:tr>
      <w:tr>
        <w:trPr>
          <w:trHeight w:val="216"/>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c>
          <w:tcPr>
            <w:tcW w:w="0" w:type="dxa"/>
            <w:vAlign w:val="bottom"/>
          </w:tcPr>
          <w:p>
            <w:pPr>
              <w:spacing w:after="0"/>
              <w:rPr>
                <w:sz w:val="1"/>
                <w:szCs w:val="1"/>
                <w:color w:val="auto"/>
              </w:rPr>
            </w:pPr>
          </w:p>
        </w:tc>
      </w:tr>
      <w:tr>
        <w:trPr>
          <w:trHeight w:val="216"/>
        </w:trPr>
        <w:tc>
          <w:tcPr>
            <w:tcW w:w="5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3100 Zinfandel Drive, Suite 100</w:t>
            </w:r>
          </w:p>
        </w:tc>
        <w:tc>
          <w:tcPr>
            <w:tcW w:w="3740" w:type="dxa"/>
            <w:vAlign w:val="bottom"/>
            <w:vMerge w:val="restart"/>
          </w:tcPr>
          <w:p>
            <w:pPr>
              <w:jc w:val="right"/>
              <w:ind w:right="1090"/>
              <w:spacing w:after="0"/>
              <w:rPr>
                <w:sz w:val="20"/>
                <w:szCs w:val="20"/>
                <w:color w:val="auto"/>
              </w:rPr>
            </w:pPr>
            <w:r>
              <w:rPr>
                <w:rFonts w:ascii="Arial" w:cs="Arial" w:eastAsia="Arial" w:hAnsi="Arial"/>
                <w:sz w:val="18"/>
                <w:szCs w:val="18"/>
                <w:b w:val="1"/>
                <w:bCs w:val="1"/>
                <w:color w:val="auto"/>
              </w:rPr>
              <w:t>95670</w:t>
            </w:r>
          </w:p>
        </w:tc>
        <w:tc>
          <w:tcPr>
            <w:tcW w:w="0" w:type="dxa"/>
            <w:vAlign w:val="bottom"/>
          </w:tcPr>
          <w:p>
            <w:pPr>
              <w:spacing w:after="0"/>
              <w:rPr>
                <w:sz w:val="1"/>
                <w:szCs w:val="1"/>
                <w:color w:val="auto"/>
              </w:rPr>
            </w:pPr>
          </w:p>
        </w:tc>
      </w:tr>
      <w:tr>
        <w:trPr>
          <w:trHeight w:val="203"/>
        </w:trPr>
        <w:tc>
          <w:tcPr>
            <w:tcW w:w="5600" w:type="dxa"/>
            <w:vAlign w:val="bottom"/>
          </w:tcPr>
          <w:p>
            <w:pPr>
              <w:jc w:val="center"/>
              <w:ind w:right="890"/>
              <w:spacing w:after="0" w:line="202" w:lineRule="exact"/>
              <w:rPr>
                <w:sz w:val="20"/>
                <w:szCs w:val="20"/>
                <w:color w:val="auto"/>
              </w:rPr>
            </w:pPr>
            <w:r>
              <w:rPr>
                <w:rFonts w:ascii="Arial" w:cs="Arial" w:eastAsia="Arial" w:hAnsi="Arial"/>
                <w:sz w:val="18"/>
                <w:szCs w:val="18"/>
                <w:b w:val="1"/>
                <w:bCs w:val="1"/>
                <w:color w:val="auto"/>
                <w:w w:val="91"/>
              </w:rPr>
              <w:t>Rancho Cordova, California</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jc w:val="center"/>
              <w:ind w:right="8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(916) 626-5000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Class</w:t>
            </w:r>
          </w:p>
        </w:tc>
        <w:tc>
          <w:tcPr>
            <w:tcW w:w="2520" w:type="dxa"/>
            <w:vAlign w:val="bottom"/>
          </w:tcPr>
          <w:p>
            <w:pPr>
              <w:spacing w:after="0"/>
              <w:rPr>
                <w:sz w:val="18"/>
                <w:szCs w:val="18"/>
                <w:color w:val="auto"/>
              </w:rPr>
            </w:pPr>
          </w:p>
        </w:tc>
        <w:tc>
          <w:tcPr>
            <w:tcW w:w="21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77"/>
        </w:trPr>
        <w:tc>
          <w:tcPr>
            <w:tcW w:w="452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89"/>
              </w:rPr>
              <w:t>Common Stock, no par value per share</w:t>
            </w:r>
          </w:p>
        </w:tc>
        <w:tc>
          <w:tcPr>
            <w:tcW w:w="21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3"/>
              </w:rPr>
              <w:t>FSBC</w:t>
            </w:r>
          </w:p>
        </w:tc>
        <w:tc>
          <w:tcPr>
            <w:tcW w:w="7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72" w:lineRule="exact"/>
        <w:rPr>
          <w:sz w:val="24"/>
          <w:szCs w:val="24"/>
          <w:color w:val="auto"/>
        </w:rPr>
      </w:pPr>
    </w:p>
    <w:p>
      <w:pPr>
        <w:ind w:right="2780"/>
        <w:spacing w:after="0" w:line="347" w:lineRule="auto"/>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spacing w:after="0" w:line="1"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 w:lineRule="exact"/>
        <w:rPr>
          <w:sz w:val="24"/>
          <w:szCs w:val="24"/>
          <w:color w:val="auto"/>
        </w:rPr>
      </w:pPr>
    </w:p>
    <w:p>
      <w:pPr>
        <w:jc w:val="both"/>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00" w:type="dxa"/>
            <w:vAlign w:val="bottom"/>
          </w:tcPr>
          <w:p>
            <w:pPr>
              <w:ind w:left="1020"/>
              <w:spacing w:after="0"/>
              <w:rPr>
                <w:sz w:val="20"/>
                <w:szCs w:val="20"/>
                <w:color w:val="auto"/>
              </w:rPr>
            </w:pPr>
            <w:r>
              <w:rPr>
                <w:rFonts w:ascii="Arial" w:cs="Arial" w:eastAsia="Arial" w:hAnsi="Arial"/>
                <w:sz w:val="16"/>
                <w:szCs w:val="16"/>
                <w:color w:val="auto"/>
              </w:rPr>
              <w:t>o</w:t>
            </w:r>
          </w:p>
        </w:tc>
        <w:tc>
          <w:tcPr>
            <w:tcW w:w="392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ind w:left="980"/>
              <w:spacing w:after="0"/>
              <w:rPr>
                <w:sz w:val="20"/>
                <w:szCs w:val="20"/>
                <w:color w:val="auto"/>
              </w:rPr>
            </w:pPr>
            <w:r>
              <w:rPr>
                <w:rFonts w:ascii="Arial" w:cs="Arial" w:eastAsia="Arial" w:hAnsi="Arial"/>
                <w:sz w:val="16"/>
                <w:szCs w:val="16"/>
                <w:color w:val="auto"/>
                <w:w w:val="89"/>
              </w:rPr>
              <w:t>o</w:t>
            </w:r>
          </w:p>
        </w:tc>
      </w:tr>
      <w:tr>
        <w:trPr>
          <w:trHeight w:val="297"/>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2200" w:type="dxa"/>
            <w:vAlign w:val="bottom"/>
          </w:tcPr>
          <w:p>
            <w:pPr>
              <w:ind w:left="1020"/>
              <w:spacing w:after="0"/>
              <w:rPr>
                <w:sz w:val="20"/>
                <w:szCs w:val="20"/>
                <w:color w:val="auto"/>
              </w:rPr>
            </w:pPr>
            <w:r>
              <w:rPr>
                <w:rFonts w:ascii="Arial" w:cs="Arial" w:eastAsia="Arial" w:hAnsi="Arial"/>
                <w:sz w:val="16"/>
                <w:szCs w:val="16"/>
                <w:color w:val="auto"/>
              </w:rPr>
              <w:t>x</w:t>
            </w:r>
          </w:p>
        </w:tc>
        <w:tc>
          <w:tcPr>
            <w:tcW w:w="392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ind w:left="980"/>
              <w:spacing w:after="0"/>
              <w:rPr>
                <w:sz w:val="20"/>
                <w:szCs w:val="20"/>
                <w:color w:val="auto"/>
              </w:rPr>
            </w:pPr>
            <w:r>
              <w:rPr>
                <w:rFonts w:ascii="Arial" w:cs="Arial" w:eastAsia="Arial" w:hAnsi="Arial"/>
                <w:sz w:val="16"/>
                <w:szCs w:val="16"/>
                <w:color w:val="auto"/>
                <w:w w:val="99"/>
              </w:rPr>
              <w:t>x</w:t>
            </w:r>
          </w:p>
        </w:tc>
      </w:tr>
      <w:tr>
        <w:trPr>
          <w:trHeight w:val="297"/>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200" w:type="dxa"/>
            <w:vAlign w:val="bottom"/>
          </w:tcPr>
          <w:p>
            <w:pPr>
              <w:ind w:left="1020"/>
              <w:spacing w:after="0"/>
              <w:rPr>
                <w:sz w:val="20"/>
                <w:szCs w:val="20"/>
                <w:color w:val="auto"/>
              </w:rPr>
            </w:pPr>
            <w:r>
              <w:rPr>
                <w:rFonts w:ascii="Arial" w:cs="Arial" w:eastAsia="Arial" w:hAnsi="Arial"/>
                <w:sz w:val="16"/>
                <w:szCs w:val="16"/>
                <w:color w:val="auto"/>
              </w:rPr>
              <w:t>x</w:t>
            </w:r>
          </w:p>
        </w:tc>
        <w:tc>
          <w:tcPr>
            <w:tcW w:w="39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 w:lineRule="exact"/>
        <w:rPr>
          <w:sz w:val="24"/>
          <w:szCs w:val="24"/>
          <w:color w:val="auto"/>
        </w:rPr>
      </w:pPr>
    </w:p>
    <w:p>
      <w:pPr>
        <w:ind w:right="20"/>
        <w:spacing w:after="0" w:line="30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0" w:lineRule="exact"/>
        <w:rPr>
          <w:sz w:val="24"/>
          <w:szCs w:val="24"/>
          <w:color w:val="auto"/>
        </w:rPr>
      </w:pPr>
    </w:p>
    <w:p>
      <w:pPr>
        <w:ind w:right="320"/>
        <w:spacing w:after="0" w:line="249"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o</w:t>
      </w: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55"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as of June 30, 2022 was $334.4 million. As of February 21, 2023, the number of shares outstanding of the registrant’s common stock was 17,258,904.</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for its 2023 Annual Meeting</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40" w:type="dxa"/>
            <w:vAlign w:val="bottom"/>
            <w:gridSpan w:val="9"/>
          </w:tcPr>
          <w:p>
            <w:pPr>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17"/>
                <w:szCs w:val="17"/>
                <w:color w:val="auto"/>
              </w:rPr>
            </w:pPr>
          </w:p>
        </w:tc>
      </w:tr>
      <w:tr>
        <w:trPr>
          <w:trHeight w:val="46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237"/>
        </w:trPr>
        <w:tc>
          <w:tcPr>
            <w:tcW w:w="10860" w:type="dxa"/>
            <w:vAlign w:val="bottom"/>
            <w:gridSpan w:val="31"/>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93"/>
        </w:trPr>
        <w:tc>
          <w:tcPr>
            <w:tcW w:w="1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PART I</w:t>
            </w:r>
          </w:p>
        </w:tc>
        <w:tc>
          <w:tcPr>
            <w:tcW w:w="3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93"/>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20" w:type="dxa"/>
            <w:vAlign w:val="bottom"/>
            <w:tcBorders>
              <w:top w:val="single" w:sz="8" w:color="0000FF"/>
            </w:tcBorders>
          </w:tcPr>
          <w:p>
            <w:pPr>
              <w:spacing w:after="0"/>
              <w:rPr>
                <w:sz w:val="24"/>
                <w:szCs w:val="24"/>
                <w:color w:val="auto"/>
              </w:rPr>
            </w:pPr>
          </w:p>
        </w:tc>
        <w:tc>
          <w:tcPr>
            <w:tcW w:w="5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944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60" w:type="dxa"/>
            <w:vAlign w:val="bottom"/>
            <w:gridSpan w:val="4"/>
          </w:tcPr>
          <w:p>
            <w:pPr>
              <w:spacing w:after="0"/>
              <w:rPr>
                <w:sz w:val="20"/>
                <w:szCs w:val="20"/>
                <w:color w:val="auto"/>
              </w:rPr>
            </w:pPr>
            <w:r>
              <w:rPr>
                <w:rFonts w:ascii="Arial" w:cs="Arial" w:eastAsia="Arial" w:hAnsi="Arial"/>
                <w:sz w:val="18"/>
                <w:szCs w:val="18"/>
                <w:color w:val="0000FF"/>
                <w:w w:val="92"/>
              </w:rPr>
              <w:t>Item 1A.</w:t>
            </w: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944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60" w:type="dxa"/>
            <w:vAlign w:val="bottom"/>
            <w:gridSpan w:val="4"/>
          </w:tcPr>
          <w:p>
            <w:pPr>
              <w:spacing w:after="0"/>
              <w:rPr>
                <w:sz w:val="20"/>
                <w:szCs w:val="20"/>
                <w:color w:val="auto"/>
              </w:rPr>
            </w:pPr>
            <w:r>
              <w:rPr>
                <w:rFonts w:ascii="Arial" w:cs="Arial" w:eastAsia="Arial" w:hAnsi="Arial"/>
                <w:sz w:val="18"/>
                <w:szCs w:val="18"/>
                <w:color w:val="0000FF"/>
                <w:w w:val="92"/>
              </w:rPr>
              <w:t>Item 1B.</w:t>
            </w: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944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6"/>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140" w:type="dxa"/>
            <w:vAlign w:val="bottom"/>
            <w:tcBorders>
              <w:top w:val="single" w:sz="8" w:color="0000FF"/>
            </w:tcBorders>
            <w:gridSpan w:val="3"/>
          </w:tcPr>
          <w:p>
            <w:pPr>
              <w:spacing w:after="0"/>
              <w:rPr>
                <w:sz w:val="20"/>
                <w:szCs w:val="20"/>
                <w:color w:val="auto"/>
              </w:rPr>
            </w:pP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1300" w:type="dxa"/>
            <w:vAlign w:val="bottom"/>
            <w:tcBorders>
              <w:top w:val="single" w:sz="8" w:color="0000FF"/>
            </w:tcBorders>
            <w:gridSpan w:val="8"/>
          </w:tcPr>
          <w:p>
            <w:pPr>
              <w:spacing w:after="0"/>
              <w:rPr>
                <w:sz w:val="20"/>
                <w:szCs w:val="20"/>
                <w:color w:val="auto"/>
              </w:rPr>
            </w:pPr>
          </w:p>
        </w:tc>
        <w:tc>
          <w:tcPr>
            <w:tcW w:w="7400" w:type="dxa"/>
            <w:vAlign w:val="bottom"/>
            <w:gridSpan w:val="14"/>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3.</w:t>
            </w:r>
          </w:p>
        </w:tc>
        <w:tc>
          <w:tcPr>
            <w:tcW w:w="5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100" w:type="dxa"/>
            <w:vAlign w:val="bottom"/>
            <w:gridSpan w:val="18"/>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6"/>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580" w:type="dxa"/>
            <w:vAlign w:val="bottom"/>
            <w:gridSpan w:val="5"/>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660" w:type="dxa"/>
            <w:vAlign w:val="bottom"/>
            <w:gridSpan w:val="16"/>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93"/>
        </w:trPr>
        <w:tc>
          <w:tcPr>
            <w:tcW w:w="110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93"/>
        </w:trPr>
        <w:tc>
          <w:tcPr>
            <w:tcW w:w="6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rPr>
              <w:t>Item 5.</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580" w:type="dxa"/>
            <w:vAlign w:val="bottom"/>
            <w:gridSpan w:val="5"/>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8640" w:type="dxa"/>
            <w:vAlign w:val="bottom"/>
            <w:gridSpan w:val="21"/>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7.</w:t>
            </w:r>
          </w:p>
        </w:tc>
        <w:tc>
          <w:tcPr>
            <w:tcW w:w="5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80" w:type="dxa"/>
            <w:vAlign w:val="bottom"/>
            <w:gridSpan w:val="4"/>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Item 7A.</w:t>
            </w: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2"/>
              </w:rPr>
              <w:t>Quantitative and Qualitative Disclosure About Market Risk</w:t>
            </w:r>
          </w:p>
        </w:tc>
        <w:tc>
          <w:tcPr>
            <w:tcW w:w="5140" w:type="dxa"/>
            <w:vAlign w:val="bottom"/>
            <w:gridSpan w:val="7"/>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6"/>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8.</w:t>
            </w:r>
          </w:p>
        </w:tc>
        <w:tc>
          <w:tcPr>
            <w:tcW w:w="580" w:type="dxa"/>
            <w:vAlign w:val="bottom"/>
            <w:gridSpan w:val="5"/>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6100" w:type="dxa"/>
            <w:vAlign w:val="bottom"/>
            <w:gridSpan w:val="10"/>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9.</w:t>
            </w:r>
          </w:p>
        </w:tc>
        <w:tc>
          <w:tcPr>
            <w:tcW w:w="580" w:type="dxa"/>
            <w:vAlign w:val="bottom"/>
            <w:gridSpan w:val="5"/>
          </w:tcPr>
          <w:p>
            <w:pPr>
              <w:spacing w:after="0"/>
              <w:rPr>
                <w:sz w:val="20"/>
                <w:szCs w:val="20"/>
                <w:color w:val="auto"/>
              </w:rPr>
            </w:pPr>
          </w:p>
        </w:tc>
        <w:tc>
          <w:tcPr>
            <w:tcW w:w="320" w:type="dxa"/>
            <w:vAlign w:val="bottom"/>
          </w:tcPr>
          <w:p>
            <w:pPr>
              <w:spacing w:after="0"/>
              <w:rPr>
                <w:sz w:val="20"/>
                <w:szCs w:val="20"/>
                <w:color w:val="auto"/>
              </w:rPr>
            </w:pPr>
          </w:p>
        </w:tc>
        <w:tc>
          <w:tcPr>
            <w:tcW w:w="64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960" w:type="dxa"/>
            <w:vAlign w:val="bottom"/>
            <w:gridSpan w:val="3"/>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Item 9A.</w:t>
            </w: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7660" w:type="dxa"/>
            <w:vAlign w:val="bottom"/>
            <w:gridSpan w:val="16"/>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6"/>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Item 9B.</w:t>
            </w:r>
          </w:p>
        </w:tc>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8120" w:type="dxa"/>
            <w:vAlign w:val="bottom"/>
            <w:gridSpan w:val="19"/>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93"/>
        </w:trPr>
        <w:tc>
          <w:tcPr>
            <w:tcW w:w="1100" w:type="dxa"/>
            <w:vAlign w:val="bottom"/>
            <w:gridSpan w:val="6"/>
          </w:tcPr>
          <w:p>
            <w:pPr>
              <w:spacing w:after="0"/>
              <w:rPr>
                <w:sz w:val="20"/>
                <w:szCs w:val="20"/>
                <w:color w:val="auto"/>
              </w:rPr>
            </w:pPr>
            <w:r>
              <w:rPr>
                <w:rFonts w:ascii="Arial" w:cs="Arial" w:eastAsia="Arial" w:hAnsi="Arial"/>
                <w:sz w:val="18"/>
                <w:szCs w:val="18"/>
                <w:color w:val="0000FF"/>
              </w:rPr>
              <w:t>PART III</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93"/>
        </w:trPr>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5"/>
              </w:rPr>
              <w:t>Item 10.</w:t>
            </w:r>
          </w:p>
        </w:tc>
        <w:tc>
          <w:tcPr>
            <w:tcW w:w="440" w:type="dxa"/>
            <w:vAlign w:val="bottom"/>
            <w:gridSpan w:val="2"/>
          </w:tcPr>
          <w:p>
            <w:pPr>
              <w:spacing w:after="0"/>
              <w:rPr>
                <w:sz w:val="24"/>
                <w:szCs w:val="24"/>
                <w:color w:val="auto"/>
              </w:rPr>
            </w:pPr>
          </w:p>
        </w:tc>
        <w:tc>
          <w:tcPr>
            <w:tcW w:w="9760" w:type="dxa"/>
            <w:vAlign w:val="bottom"/>
            <w:gridSpan w:val="25"/>
          </w:tcPr>
          <w:p>
            <w:pPr>
              <w:ind w:left="320"/>
              <w:spacing w:after="0"/>
              <w:rPr>
                <w:sz w:val="20"/>
                <w:szCs w:val="20"/>
                <w:color w:val="auto"/>
              </w:rPr>
            </w:pPr>
            <w:r>
              <w:rPr>
                <w:rFonts w:ascii="Arial" w:cs="Arial" w:eastAsia="Arial" w:hAnsi="Arial"/>
                <w:sz w:val="18"/>
                <w:szCs w:val="18"/>
                <w:color w:val="0000FF"/>
              </w:rPr>
              <w:t>Directors, Executive Officers and Corporate Governance</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89"/>
              </w:rPr>
              <w:t>Item 11.</w:t>
            </w:r>
          </w:p>
        </w:tc>
        <w:tc>
          <w:tcPr>
            <w:tcW w:w="5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Executive Compensation</w:t>
            </w:r>
          </w:p>
        </w:tc>
        <w:tc>
          <w:tcPr>
            <w:tcW w:w="5340" w:type="dxa"/>
            <w:vAlign w:val="bottom"/>
            <w:gridSpan w:val="8"/>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12.</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0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Shareholder Matters</w:t>
            </w:r>
          </w:p>
        </w:tc>
        <w:tc>
          <w:tcPr>
            <w:tcW w:w="2140" w:type="dxa"/>
            <w:vAlign w:val="bottom"/>
            <w:gridSpan w:val="2"/>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110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9760" w:type="dxa"/>
            <w:vAlign w:val="bottom"/>
            <w:gridSpan w:val="25"/>
          </w:tcPr>
          <w:p>
            <w:pPr>
              <w:ind w:left="32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110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9760" w:type="dxa"/>
            <w:vAlign w:val="bottom"/>
            <w:gridSpan w:val="25"/>
          </w:tcPr>
          <w:p>
            <w:pPr>
              <w:ind w:left="320"/>
              <w:spacing w:after="0"/>
              <w:rPr>
                <w:sz w:val="20"/>
                <w:szCs w:val="20"/>
                <w:color w:val="auto"/>
              </w:rPr>
            </w:pPr>
            <w:r>
              <w:rPr>
                <w:rFonts w:ascii="Arial" w:cs="Arial" w:eastAsia="Arial" w:hAnsi="Arial"/>
                <w:sz w:val="18"/>
                <w:szCs w:val="18"/>
                <w:color w:val="0000FF"/>
              </w:rPr>
              <w:t>Principal Accountant Fees and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93"/>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PART IV</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93"/>
        </w:trPr>
        <w:tc>
          <w:tcPr>
            <w:tcW w:w="110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9760" w:type="dxa"/>
            <w:vAlign w:val="bottom"/>
            <w:gridSpan w:val="25"/>
          </w:tcPr>
          <w:p>
            <w:pPr>
              <w:ind w:left="320"/>
              <w:spacing w:after="0"/>
              <w:rPr>
                <w:sz w:val="20"/>
                <w:szCs w:val="20"/>
                <w:color w:val="auto"/>
              </w:rPr>
            </w:pPr>
            <w:r>
              <w:rPr>
                <w:rFonts w:ascii="Arial" w:cs="Arial" w:eastAsia="Arial" w:hAnsi="Arial"/>
                <w:sz w:val="18"/>
                <w:szCs w:val="18"/>
                <w:color w:val="0000FF"/>
              </w:rPr>
              <w:t>Exhibits and Financial Statement Schedules</w:t>
            </w: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110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9760" w:type="dxa"/>
            <w:vAlign w:val="bottom"/>
            <w:gridSpan w:val="25"/>
          </w:tcPr>
          <w:p>
            <w:pPr>
              <w:ind w:left="320"/>
              <w:spacing w:after="0"/>
              <w:rPr>
                <w:sz w:val="20"/>
                <w:szCs w:val="20"/>
                <w:color w:val="auto"/>
              </w:rPr>
            </w:pPr>
            <w:r>
              <w:rPr>
                <w:rFonts w:ascii="Arial" w:cs="Arial" w:eastAsia="Arial" w:hAnsi="Arial"/>
                <w:sz w:val="18"/>
                <w:szCs w:val="18"/>
                <w:color w:val="0000FF"/>
              </w:rPr>
              <w:t>Form 10-K Summary</w:t>
            </w: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93"/>
        </w:trPr>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SIGNATURES</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85"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increased competition from a wide variety of local, regional, national, and other providers of financial and investment services;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to satisfy minimum regulatory capital levels;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market interest rates that affect the pricing of our loans and deposits, our net interest income, and our borrowers' ability to repay loans;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Board of Governors of the Federal Reserve System (the “Federal Reserve”);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U.S. economy, including an economic slowdown, inflation, deflation, housing prices, employment levels, rate of growth, and general business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 including as a result of the coronavirus (“COVID-19”) pandemic and potential future variants of COVID-19;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or impact of climate change or natural or man-made disasters or calamities, such as wildfires, droughts, and earthquakes; and</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that are discussed in the sections entitled “Management’s Discussion and Analysis of Financial Condition and Results of Operations” and “Risk Factors.”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Headquartered in the greater Sacramento metropolitan area of California, Five Star Bancorp (“Bancorp” or the “Company”) is a bank holding company that operates through its wholly owned subsidiary, Five Star Bank (“Five Star” or the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Annual Report on Form 10-K.</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provides a broad range of banking products and services to small and medium-sized businesses, professionals, and individuals primarily in Northern California through seven branch offices, one loan production office, the Internet, and its mobile banking application. The Bank’s deposits are insured in whole or in part by the Federal Deposit Insurance Corporation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As of December 31, 2022, we had total assets of $3.2 billion, total loans held for investment, net of allowance for loan losses, of $2.8 billion, and total deposits of $2.8 billion.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the Company completed its initial public offering (“IPO”), in connection with which the Company terminated its status as a Subchapter S corporation as of May 5, 2021 and became a taxable C Corporation.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or “Five Star”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primarily in the Northern California region. Our primary loan products are commercial real estate loans, commercial loans, commercial land and construction loans, and farmland loans. Our primary deposit products are money market accounts, non-interest-bearing accounts, and interest checking accounts.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Greater Sacramento Area has increased significantly, according to the FDIC Deposit Market Share Reports. We believe that our market growth confirms the quality of the purpose-driven and integrity-centered banking that we strive to deliver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a significant amount of Small Business Administration (“SBA”) loans to customers nationwide. To a lesser extent, we also offer residential real estate and construction loans and consumer loans.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u w:val="single" w:color="auto"/>
          <w:color w:val="auto"/>
        </w:rPr>
        <w:t>Commercial real estate loans</w:t>
      </w:r>
      <w:r>
        <w:rPr>
          <w:rFonts w:ascii="Arial" w:cs="Arial" w:eastAsia="Arial" w:hAnsi="Arial"/>
          <w:sz w:val="18"/>
          <w:szCs w:val="18"/>
          <w:color w:val="auto"/>
        </w:rPr>
        <w:t>: As of December 31, 2022, we had $2.4 billion in total commercial real estate loans, representing 85.44% of total loans before deferred fees.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As of December 31, 2022, we had $190.6 million in commercial loans, representing 6.80% of total loans before deferred fees.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78"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i w:val="1"/>
          <w:iCs w:val="1"/>
          <w:u w:val="single" w:color="auto"/>
          <w:color w:val="auto"/>
        </w:rPr>
        <w:t>SBA loans</w:t>
      </w:r>
      <w:r>
        <w:rPr>
          <w:rFonts w:ascii="Arial" w:cs="Arial" w:eastAsia="Arial" w:hAnsi="Arial"/>
          <w:sz w:val="17"/>
          <w:szCs w:val="17"/>
          <w:color w:val="auto"/>
        </w:rPr>
        <w:t>: As of December 31, 2022, our total commercial SBA portfolio held for investment, excluding Paycheck Protection Program (“PPP”)</w:t>
      </w:r>
      <w:r>
        <w:rPr>
          <w:rFonts w:ascii="Arial" w:cs="Arial" w:eastAsia="Arial" w:hAnsi="Arial"/>
          <w:sz w:val="17"/>
          <w:szCs w:val="17"/>
          <w:i w:val="1"/>
          <w:iCs w:val="1"/>
          <w:color w:val="auto"/>
        </w:rPr>
        <w:t xml:space="preserve"> </w:t>
      </w:r>
      <w:r>
        <w:rPr>
          <w:rFonts w:ascii="Arial" w:cs="Arial" w:eastAsia="Arial" w:hAnsi="Arial"/>
          <w:sz w:val="17"/>
          <w:szCs w:val="17"/>
          <w:color w:val="auto"/>
        </w:rPr>
        <w:t>loans, was $49.0 million, representing 1.75% of total loans before deferred fees. In 2022, we sold 172 SBA loans, excluding PPP loans, with government-guaranteed portions totaling $50.8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Pursuant to the Consolidated Appropriations Act, 2021 (the “Consolidated Appropriations Act”), the SBA guaranteed 90% of the principal amount of each qualifying SBA loan originated under the SBA’s 7(a) loan program (excluding PPP loans) through October 1, 2021. The SBA presently guarantees 75% to 90% of the principal amount of qualifying loans originated under the 7(a) loan program (excluding PPP loans). The guarantee is conditional and covers a portion of the risk of payment default by the borrower, but not the risk of improper closing and servicing by the lender. As such, prudent underwriting and closing processes are essential to effective utilization of the 7(a) program. We typically sell in the secondary market the SBA-guaranteed portion of the SBA loans we originate.</w:t>
      </w:r>
    </w:p>
    <w:p>
      <w:pPr>
        <w:spacing w:after="0" w:line="182" w:lineRule="exact"/>
        <w:rPr>
          <w:sz w:val="20"/>
          <w:szCs w:val="20"/>
          <w:color w:val="auto"/>
        </w:rPr>
      </w:pPr>
    </w:p>
    <w:p>
      <w:pPr>
        <w:jc w:val="both"/>
        <w:ind w:left="660" w:hanging="4"/>
        <w:spacing w:after="0" w:line="296" w:lineRule="auto"/>
        <w:tabs>
          <w:tab w:leader="none" w:pos="1035" w:val="left"/>
        </w:tabs>
        <w:numPr>
          <w:ilvl w:val="0"/>
          <w:numId w:val="3"/>
        </w:numPr>
        <w:rPr>
          <w:rFonts w:ascii="Arial" w:cs="Arial" w:eastAsia="Arial" w:hAnsi="Arial"/>
          <w:sz w:val="16"/>
          <w:szCs w:val="16"/>
          <w:i w:val="1"/>
          <w:iCs w:val="1"/>
          <w:u w:val="single" w:color="auto"/>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color w:val="auto"/>
        </w:rPr>
        <w:t>: Pursuant to the Coronavirus Aid, Relief, and Economic Security Act (the “CARES Act”) passed in March 2020, we funded over 1,500</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eligible small businesses and non-profit organizations nationwide who participated in the PPP administered by the SBA as of December 31, 2022. In addition, we received a fee of 1.00% to 5.00% from the SBA depending on the loan amount. PPP loans are fully guaranteed by the SBA and are expected to be forgiven by the SBA if borrowers meet the requirements of the program. PPP loans have terms of two to five years and earn interest at 1.00%. At December 31, 2022, there were no outstanding balances from PPP loans on our books.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Commercial land and construction loans</w:t>
      </w:r>
      <w:r>
        <w:rPr>
          <w:rFonts w:ascii="Arial" w:cs="Arial" w:eastAsia="Arial" w:hAnsi="Arial"/>
          <w:sz w:val="18"/>
          <w:szCs w:val="18"/>
          <w:color w:val="auto"/>
        </w:rPr>
        <w:t>: As of December 31, 2022, we had $96.1 million in commercial land and construction loans, representing 3.43% of total loans before deferred fees.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As of December 31, 2022, we had $52.5 million in farmland loans, representing 1.87% of total loans before deferred fees. We are a strong agricultural lender, with both lines of credit and term loans. Farmland loans 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Residential real estate and construction loans</w:t>
      </w:r>
      <w:r>
        <w:rPr>
          <w:rFonts w:ascii="Arial" w:cs="Arial" w:eastAsia="Arial" w:hAnsi="Arial"/>
          <w:sz w:val="18"/>
          <w:szCs w:val="18"/>
          <w:color w:val="auto"/>
        </w:rPr>
        <w:t>: As of December 31, 2022, we had $30.9 million in residential real estate and construction loans, representing 1.10% of total loans before deferred fees.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Consumer and other loans</w:t>
      </w:r>
      <w:r>
        <w:rPr>
          <w:rFonts w:ascii="Arial" w:cs="Arial" w:eastAsia="Arial" w:hAnsi="Arial"/>
          <w:sz w:val="17"/>
          <w:szCs w:val="17"/>
          <w:color w:val="auto"/>
        </w:rPr>
        <w:t>: As of December 31, 2022, we had $28.6 million in consumer and other loans, representing 1.02% of total loans before deferred fees. We make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Philosophy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keeping with our mission of purpose-driven and integrity-centered banking, we seek credit arrangements that serve our local community and provide attractive risk-adjusted returns to us. We pursue our objectives and are mindful of liquidity, flexibility, and risk considerations by exercising controls on non-interest expenses and close management of our assets and liabilities. We periodically set guidelines aimed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Policy and Procedures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and the authority limits also vary by collateral type.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have a diversified loan portfolio, a substantial portion is secured by commercial and residential real estate located in Northern California. As of December 31, 2022, approximately 60.87% of our real estate loans measured by dollar amount were secured by collateral located in California, a majority of which is in Northern California. Additionally, we have a high concentration of real estate related loans, which represented approximately 91.84% of our loan portfolio at December 31, 2022.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Deposit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Representing 93.53% of our total liabilities as of December 31, 2022, deposits are our primary source of funding for our business operations. As of December 31, 2022, we held $2.8 billion of total deposits, including $1.0 billion in non-interest-bearing deposits.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complete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obtain most of our deposits from individuals, small and medium-sized businesses, and municipalities in our market. We solicit deposits through our relationship-driven team of dedicated and accessible bankers and through community-focused marketing. We emphasize obtaining deposit relationships at loan origination. We provide a high level of customer service to our depositors. We have invested in personnel, business and compliance processes, and technology that enable us to acquire, and efficiently and effectively serve, a wide array of business deposit accounts, while continuing to provide the level of customer service for which we are known.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our 40 largest deposit relationships, each accounting for more than $10 million, totaled $1.5 billion, or 52.15% of our total deposits. This includes $602.0 million of our total deposits held by municipalities, of which we conduct a monthly review. Our management maintains our liquidity position and lines of credit with correspondent banks to mitigate the risk of large withdrawals by this group of large depositors.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the carrying value of our investment portfolio, which represented 3.71% of total assets, totaled $119.7 million and had an average effective yield of 2.14% and an estimated modified duration of approximately 6.7 years. The primary objectives of the investment portfolio are to provide a source of liquidity and provide collateral that can be readily sold or pledged for public deposits or other business purposes. At December 31, 2022, 51.17% and 35.22%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loan growth, we are holding the majority of our on-balance sheet liquidity in interest-bearing bank deposits to provide readily available funds for loan growth and deposit activities in the normal course of business for our existing clients.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conduct business through eight banking centers in our key market of Northern California.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the ability to make credit and other business decisions quickly, and our deep knowledge of competitor strengths and weaknesses.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Based on the FDIC Summary of Deposits as of June 30, 2022, Five Star ranks eighth in the Sacramento-Roseville-Folsom metropolitan statistical area (“MSA”) by deposit market share with deposits of $2.2 billion and four branches. As of June 30, 2022, total market deposits in the Sacramento-Roseville-Folsom MSA were $74.7 billion, of which $59.7 billion, or approximately 79.9%, is held by seven money center banks across 211 branches. We are the 52nd largest insured depository institution in California by deposits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made, and continue to make, significant investments in our information technology systems and staff for our banking and lending operations and treasury management activities. We believe this investment will support our continued growth and enable us to enhance our capabilities to offer new products, improve overall customer experience, improve 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 we maintain our production infrastructure in a data center facility near Reno, Nevada. This site provides for power and connectivity redundancy, and we maintain a disaster recovery program, including a cloud-based recovery environment.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other systems, including our electronic funds transfer, transaction processing, and our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spacing w:after="0" w:line="184"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discuss only our results of operations for two years in “Management’s Discussion and Analysis of Financial Condition and Results of Operations”;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exempt from the requirement to provide an opinion from our auditors on the design and operating effectiveness of our internal control over financial reporting pursuant to the Sarbanes-Oxley Act of 2002, as amended (the “Sarbanes-Oxley Act”);</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choose not to comply with any new requirements adopted by the Public Company Accounting Oversight Board (the “PCAOB”) requiring mandatory audit firm rotation or a supplement to the auditor’s report providing additional information about the audit and our audited financial statements;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regarding our executive compensation arrangements pursuant to the rules applicable to smaller reporting companies, which means we are not required to include a compensation discussion and analysis and other disclosures regarding our executive compensation in this Annual Report on Form 10-K;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golden parachute arrangements.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the date on which we are deemed to be a large accelerated filer under the rules of the U.S. Securities and Exchange Commission (the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our shareholders. Accordingly, the information contained herein may be different than the information you receive from other public companies in which you invest.</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JOBS Act exempts emerging growth companies from compliance with new or revised financial accounting standards until private companies (that is, those that have not had a registration statement declared effective under the Securities Act of 1933, as amended,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appropriate risk appetite metrics reflecting the aggregate levels and types of risk we are willing to accept in connection with the operation of our business and pursuit of our business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facilitate talent attraction and retention, we strive to create an inclusive, safe, and healthy workplace with opportunities for our employees to grow and develop in their careers, supported by strong compensation, benefits, and health and welfare programs.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Employee Profile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2022, we had 178 full-time employees and six part-time employees. None of our employees are covered by a collective bargaining agreement. We consider our relationship with our employees to be good and have not experienced interruptions of operations due to labor disagreements.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a competitive compensation and benefits program to help meet the needs of our employees. In addition to salaries, this program includes annual bonus opportunities, a 401(k) plan with an employer matching contribution, healthcare and insurance benefits, flexible spending accounts, paid time off and family leave, and an employee assistance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invest in the growth and development of our employees by providing a multi-dimensional approach to learning that empowers, intellectually grows, and professionally develops our colleagues under the leadership of a Director of Employee Engagement. We facilitate the educational and professional development of our employees through support to attend conferences and obtain degrees, licenses, and certifications while employed by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Environmental, Social, and Governance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executing, and plan to scale-up, an Environmental, Social, and Governance strategy to drive positive change that focuses on environmental impacts of our business, social factors in the communities we serve, and the governance of our board of directors.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Environmental</w:t>
      </w:r>
      <w:r>
        <w:rPr>
          <w:rFonts w:ascii="Arial" w:cs="Arial" w:eastAsia="Arial" w:hAnsi="Arial"/>
          <w:sz w:val="17"/>
          <w:szCs w:val="17"/>
          <w:color w:val="auto"/>
        </w:rPr>
        <w:t>: Climate change impacts our customers, communities, employees, and shareholders. We are committed to developing policies and procedures that can contribute to reducing the effects of climate change, including funding customer business ventures that create a positive environmental impact through agriculture or technology. In 2021, we onboarded over 2,000 loans in a micro-loan program funding residential energy efficiency equipment. In 2022, we added to this program by onboarding an additional 43 loans. In 2022, we also made 209 Sustainable Home Improvement Loans through a program that supports sustainable investments in electrification to further reduce carbon emissions. Additionally, we equip customers with technology tools designed to reduce their carbon footprint by reducing in-branch customer visits.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taken steps designed to help reduce our own carbon footprint by utilizing e-signatures to conduct business to reduce paper consumption and encouraging our employees to work remotely, where possible. We recognize that reducing the effects of climate change and helping to drive the transformation of a lower carbon environment are ongoing efforts, and plan to continually seek out opportunities that can positively impact the effect that climate change has on the environment.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Social</w:t>
      </w:r>
      <w:r>
        <w:rPr>
          <w:rFonts w:ascii="Arial" w:cs="Arial" w:eastAsia="Arial" w:hAnsi="Arial"/>
          <w:sz w:val="16"/>
          <w:szCs w:val="16"/>
          <w:color w:val="auto"/>
        </w:rPr>
        <w:t>: We work to create positive social impacts in the communities in which our business operates, including by addressing food deserts, supporting affordable housing projects, and encouraging non-profit donations. As the effects of the COVID-19 pandemic continue, including the emergence of new variants, we remain committed to employee and customer safety through robust alternative working arrangements and extensive safety measures.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Governance</w:t>
      </w:r>
      <w:r>
        <w:rPr>
          <w:rFonts w:ascii="Arial" w:cs="Arial" w:eastAsia="Arial" w:hAnsi="Arial"/>
          <w:sz w:val="18"/>
          <w:szCs w:val="18"/>
          <w:color w:val="auto"/>
        </w:rPr>
        <w:t>: The Governance and Nominating Committee is committed to diversity on our board of directors and compliance with applicable rules, regulations, and guidance regarding the composition of our leadership. Members of our board of directors represent diverse backgrounds, including diversity of race, ethnicity, gender, and other demographics. We are committed to ethical business practices and accounting transparency, as evidenced through our involvement in the community and results of examinations by regulators.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Dedication to Diversity, Equity, and Inclusion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Diversity, Equity, and Inclusion (“DE&amp;I”) is essential in our workplace. We have a fully engaged Senior Vice President, Chief Operations Officer and Chief DE&amp;I Officer who leads our DE&amp;I efforts. Our Human Resources department is demonstrating a commitment to DE&amp;I through hiring practices and employee training. We are committed to ensuring that all employees feel a sense of belonging in the workplace and that processes and programs are impartial, fair, and provide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equal opportunity for every individual. We also have a history of serving customers in the non-profit community who assist our region’s most vulnerable, underserved, and underrepresented populations.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https://investors.fivestarbank.com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and state banking laws impose a comprehensive system of supervision, examination, regulation, and enforcement on the operations of insured banks and their holding companies. As a result, our growth, earnings performance, and operations may be affected by the requirements of federal and state statutes and by the regulations and policies of various bank regulatory agencies, including the California Department of Financial Protection and Innovation (the “DFPI”), the FDIC, the Federal Reserve, and the Consumer Financial Protection Bureau (the “CFPB”). Furthermore, tax laws administered by the Internal Revenue Service (the “IRS”) and state taxing authorities, accounting rules developed by the Financial Accounting Standards Board (the “FASB”), securities laws administered by the SEC and state securities authorities, anti-money laundering laws enforced by the U.S. Department of the Treasury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Supervision and regulation of banks, their holding companies, and affiliates is intended primarily for the protection of depositors and customers, the Deposit Insurance Fund (the “DIF”) of the FDIC, and the U.S. banking and financial system, rather than holders of our capital stock.</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Supervision and Regulation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bank holding company registered under the Bank Holding Company Act of 1956, as amended (the “BHC Act”). As a result, we are primarily subject to the supervision, examination, and reporting requirements of the BHC Act, Federal Deposit Insurance Act (the “FDI Act”), the regulations of the Federal Reserve and FDIC, and certain of the requirements imposed by the Dodd-Frank Wall Street Reform and Consumer Protection Act of 2010 (the “Dodd-Frank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Oversight Over Mergers and Acquisitions, Investments, and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5.00% or more of the voting shares of the bank; (ii) it or any of its subsidiaries, other than a bank, may acquire all or substantially all of the assets of any bank; or (iii) it may merge or consolidate with any other bank holding company.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combating money laundering activities. Provisions of the FDI Act known as the Bank Merger Act impose similar approval standards for an insured depository institution to merge with another insured depository institution or a non-insured institution.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percentage, aging requirements, and other restrictions. The Riegle-Neal Act also generally permits national- 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FDIC has the authority to approve applications by state non-member banks to establish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including, under the Riegle-Neal Act, in states other than the bank’s home state if the law of the state in which the branch is located, or is to be located, would permit establishment of the branch if the bank were a state bank chartered by that state.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 of Strength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Adequacy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United States capital regulations were substantially revised in 2013 as a result of changes in the Dodd-Frank Act and Basel III capital rules. The Federal Reserve and the FDIC, the primary federal regulators of the Company and Bank, respectively, have substantially similar generally applicable risk-based capital ratio and leverage ratio requirements.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as a bank holding company with less than $3.0 billion in total consolidated assets and that met certain other criteria, we had been operating under the Federal Reserve’s Small Bank Holding Company Policy Statement, which exempts bank holding companies with assets of less than $3.0 billion that are not engaged in significant nonbanking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activities, do not conduct significant off-balance sheet activities, and do not have a material amount of debt or equity securities registered with the SEC from the Federal Reserve’s generally applicable risk-based capital ratio and leverage ratio requirements.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the Company's total consolidated assets exceeded the $3.0 billion threshold as of September 30, 2022, the Company is no longer subject to this policy statement and its capital adequacy will be evaluated relative to the Federal Reserve's generally applicable capital requirements. A bank holding company that crosses the $3.0 billion total consolidated assets threshold as of June 30 of a particular year is no longer permitted to file reports as a small holding company beginning the following March. The Company's total consolidated assets were not in excess of $3.0 billion as of June 30, 2022, and so, accordingly, it has prepared and filed financial reports with the Federal Reserve as a small holding company. If the Company's total consolidated assets remain in excess of $3.0 billion as of June 30, 2023, then starting in March 2024, the Company will cease filing financial reports with the Federal Reserve as though it were a small holding company.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generally applicable capital requirements of the Federal Reserve and the FDIC, the Company and the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 three tiers depending on the “quality” and loss-absorbing features of the capital instrument. Common equity Tier 1 capital 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debt with a minimum original maturity of five years (including related surplus) and a limited amount of allowance for loan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common equity Tier 1 capital, Tier 1 capital, and total capital of the Company on a consolidated basis equaled 8.99%, 8.99%, and 12.46% of its total risk-weighted assets, respectively, and its Tier 1 leverage ratio on a consolidated basis was 8.60%. At December 31, 2022, the Bank exceeded its minimum capital requirements with common equity Tier 1 capital, Tier 1 capital, and total capital equal to 11.17%, 11.17%, and 12.14% of its total risk-weighted assets, respectively, and a Tier 1 leverage ratio of 10.69%. As a result, the Bank was “well-capitalized” for prompt corrective action purposes based on the ratios and guidelines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Dividends and Stock Repurchases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dividend is being paid. We consulted the Federal Reserve in advance of our distribution of $27.0 million to our S Corporation shareholders, which exceeded earnings for the period for which the dividend was paid, from our federal Accumulated Adjustments Account in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guidance from the Federal Reserve, a bank holding company’s dividend policies will be assessed against, among other things, its ability to achieve applicable capital ratio requirements. If a bank holding company does not achieve applicable capital ratio requirements, it may not be able to pay dividends.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bank holding company is also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twelve months, is equal to 10.00%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Examinations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 unsound, fail to comply with applicable law, or are otherwise inconsistent with laws and regulations or with the supervisory policies of these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Anti-Money Laundering Initiatives and Sanctions Compliance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and Bank are subject to extensive regulations aimed at combating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maintains policies, procedures, and other internal controls designed to comply with anti-money laundering requirements and sanctions programs.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Sarbanes-Oxley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Supervision and Regulation of the Bank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DFPI, and certain of the requirements imposed by the Dodd-Frank Act. The Company and the Bank are also subject to a wide range of consumer protection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Lending, Insider Transactions, and Affiliate Transactions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California law limits California banks in the amount they may lend to one borrower and the amount they may lend to insiders. Under California law, with limited exceptions, unsecured loans to one person may not exceed 15.00% of the sum of a bank’s shareholders’ equity, allowance for loan losses, capital notes, and debentures. Additionally, both secured and unsecured loans to one person (excluding certain secured lending and letters of credit) at any given time generally may not exceed 25.00% of the sum of a bank’s shareholders’ equity, allowance for loan losses, capital notes, and debentures.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insiders of the Bank and the Company. Additionally, California law imposes insider lending limits that are similar to the restrictions of the Federal Reserve’s Regulation 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10.00% of the bank’s capital stock and surplus, and limiting the aggregate of all such transactions with all affiliates to an amount not greater than 20.00%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in Lending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loan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100.00% or more of a bank’s total risk-based capital; or (ii) total reported loans secured by multifamily and non-farm non-residential properties and loans for construction, land development, and other land of 300.00% or more of a bank’s total risk-based capital, where the outstanding balance of the institution’s commercial real estate portfolio has also increased by 50.00%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Prompt Corrective Action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source of the Company’s cash flow is dividends from the Bank. There are various legal and regulatory provisions that limit the amount of dividends the Bank can pay to the Company without regulatory approval. Under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Reserve Banks continue to receive interest when reserve requirement ratios are set to 0.00%.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Protection 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laws. Additionally, the Dodd-Frank Act created the CFPB, which has authority to issue regulations prohibiting unfair, deceptive, or abusive acts or practices.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Privacy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Branching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California law, the Bank may open branch offices throughout California with the prior approval of the DFPI. In addition, with prior DFPI approval, the Bank may acquire branches of existing banks located in California. Under federal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 Deposit Insurance Assessments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Since the outbreak of the COVID-19 pandemic, the amount of total estimated insured deposits has grown very rapidly while the funds in the DIF grew at a normal rate. As a result, the DIF reserve ratio fell to below the statutory minimum of 1.35%.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DIF meets or exceeds 2.00%. As a result of the new rule, the FDIC insurance costs of insured depository institutions, including the Bank, will generally increase.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Community Reinvestment Act (“CRA”)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FDIC’s evaluation of the Bank’s record of performance under the CRA is publicly available. The FDIC’s CRA regulations provide that a bank may elect to have its CRA performance evaluated under a strategic plan. This option enables a bank to structure its CRA goals and objectives to address the needs of its community consistent with its business strategy, operational focus, capacity, and constraints. The Bank operated under a CRA Strategic Plan approved by the FDIC for the years 2019-2021 and received a rating of “Satisfactory” at its most recent CRA evaluation, dated as of May 3, 2021.</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2022, the federal banking agencies issued a proposed rule that would substantially revise how they evaluate an insured depository institution's record of satisfying the credit needs of its entire communities, including low- and moderate-income individuals and neighborhoods, under the CRA. If this rule is finalized as proposed, it may become more challenging and/or costly for the Bank to achieve an “Outstanding” or “Satisfactory” CRA rating, which could negatively impact our ability to obtain regulatory approval for an acquisition.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Federal Home Loan Bank of San Francisco (“FHLB”) Membership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a member of the FHLB, which is one of 12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Cybersecurity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Federal banking agencies pay close attention to the cybersecurity practices of banks and their holding companies and affiliates. The interagency council of the agencies, the Federal Financial Institutions Examination Council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Banking organizations are required to notify their primary federal regulator of significant computer security incidents within 36 hours of determining that such an incident has occurred.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Incentive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2016, the Federal Reserve and other federal financial agencies re-proposed restrictions on incentive-based compensation pursuant to Section 956 of the Dodd-Frank Act for financial institutions with $1.0 billion or more in total consolidated assets. For institutions with at least $1.0 billion but less than $50.0 billion in total consolidated assets, the proposal would impose principles-based restrictions that are broadly consistent with existing interagency guidance on incentive-based compensation. Such institutions would be prohibited from entering into incentive compensation arrangements that encourage inappropriate risks by the institution: (i) by providing an executive officer, employee, director, or principal shareholder with excessive compensation, fees, or benefits; or (ii) that could lead to material financial loss to the institution. The proposal would also impose certain governance and recordkeeping requirements on institutions covered by the rule. Whether or when the agencies will finalize the proposal is uncertain.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Security Act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Beginning with the CARES Act in March 2020, the federal government enacted a series of federal statutes creating, funding, and expanding wide-ranging economic relief for individuals and businesses impacted by COVID-19. Among other things, these statutes created and funded the PPP, a stimulus response to the economic impacts of the pandemic designed to provide forgivable loans to smaller businesses, non-profit organizations, and other eligible borrowers that used the proceeds of the loans for payroll and certain other qualifying expenses. The SBA manages the PPP and guarantees PPP loans. If a loan is fully forgiven, the SBA will repay the lending bank in full. If a loan is partially forgiven or not forgiven at all, a bank must look to the borrower for repayment of unforgiven principal and interest. If the borrower defaults, the loan is guaranteed by the SBA. As of December 31, 2022, we had provided approximately $377.4 million in PPP loans to more than 1,500 new and existing customers, which were all forgiven or paid off.</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as amended by the Consolidated Appropriations Act, also specified that COVID-19-related loan modifications executed during the course of the COVID-19 pandemic on loans that were current as of December 31, 2019 are not troubled debt restructurings (“TDRs”). Federal banking agency guidance further clarified the accounting treatment of such modifications.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i w:val="1"/>
          <w:iCs w:val="1"/>
          <w:color w:val="auto"/>
        </w:rPr>
        <w:t>your investment. Our business, financial condition, and results of operations could also be harmed by risks and uncertainties not currently known to us or that we currently do not believe are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risks that may have an adverse effect on our business, financial condition, and results of operations are summarized below.</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operations are concentrated in Northern California, and we are sensitive to adverse changes in the local economy.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competitive market and face increasing competition from traditional and new financial services providers.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an adverse effect on our business, financial condition, and results of operations.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regulated industry, and current regulatory requirements, including stringent capital requirements, consumer protection laws, and anti-money laundering laws, and failure to comply with these requirements and any future legislative and regulatory changes may have an adverse effect on our business, financial condition, and results of operations.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spacing w:after="0" w:line="1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Unlike many of our larger competitors that maintain significant operations located outside our market, substantially all of our customers are individuals and businesses located and doing business in the state of California. As of December 31, 2022, approximately more than half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larger, more geographically diverse competitors. A downturn in the local economy could make it more difficult for our borrowers to repay their loans, may lead to loan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b w:val="1"/>
          <w:bCs w:val="1"/>
          <w:color w:val="auto"/>
        </w:rPr>
        <w:t>The small to medium-sized businesses to which we lend may have fewer resources to weather adverse business developments, which may impair a borrower’s ability to repay a loan.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significantly dependent on the real estate markets in which we operate, as a significant percentage of our loan portfolio is secured by real estate.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2022, a significant majority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interest rate risk, which could adversely affect our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rates are highly sensitive to many factors that are beyond our control, including general economic conditions and policies of various governmental and regulatory agencies and, in particular, the Federal Reserve, which has raised interest rates significantly in 2022 and has suggested it may raise rates further in 2023. Changes in monetary policy, including changes in interest rates, could influence not only the interest we receive on loans and securities and the interest we pay on deposits and borrowings, but such changes could 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2022, significant portions of our interest-bearing liabilities were variable rate, where our variable rate liabilities reprice at a faster rate than our variable rate assets.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7"/>
          <w:szCs w:val="17"/>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loan losses, which could have an adverse effect on our business, financial condition, and results of operations. The Federal Reserve has indicated that it expects to continue to raise the target range for the federal funds rate. In contrast, a decrease in the general level of interest rates, such as the Federal Reserve’s sharp reduction in interest rates in response to the economic and financial effects of the COVID-19 pandemic,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a highly competitive market and face increasing competition from a variety of traditional and new financial services providers.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keep up with the rapid technological changes in the financial services industry could have an adverse effect on our competitive position and profitability.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p>
      <w:pPr>
        <w:jc w:val="both"/>
        <w:spacing w:after="0" w:line="282" w:lineRule="auto"/>
        <w:rPr>
          <w:sz w:val="20"/>
          <w:szCs w:val="20"/>
          <w:color w:val="auto"/>
        </w:rPr>
      </w:pPr>
      <w:r>
        <w:rPr>
          <w:rFonts w:ascii="Arial" w:cs="Arial" w:eastAsia="Arial" w:hAnsi="Arial"/>
          <w:sz w:val="18"/>
          <w:szCs w:val="18"/>
          <w:b w:val="1"/>
          <w:bCs w:val="1"/>
          <w:color w:val="auto"/>
        </w:rPr>
        <w:t>We are dependent on the use of data and modeling in both our management’s decision-making generally and in meeting regulatory expectations in particular.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loan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measure and limit our credit risk adequately, which could adversely affect our profitability.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including due to any continuing effects of the COVID-19 pandemic,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exposed to higher credit risk and other risk and costs by our commercial real estate, commercial land and construction, commercial construction, farmland loans and other real estate assets.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real estate, commercial land and construction, commercial construction, and farmland-based lending, which form significant portions of our loan portfolio usually involve higher credit risks than other types of mortgage loans.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Banking regulators closely supervise banks’ commercial real estate lending activities and may require banks with higher levels of commercial real estate loans to implement improved underwriting, internal controls, risk management policies,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and portfolio stress testing, as well as possibly higher levels of allowances for losses and capital levels as a result of commercial real estate lending growth and exposures.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real estate loans, commercial and industrial loans, and construction loans are more susceptible to a risk of loss during a downturn in the business cycle. In particular, the increase in working from home since outbreak of the COVID-19 pandemic could have adverse effects on our loans for office space, which are dependent for repayment on the successful operation and management of the associated commercial real estate. Our underwriting, review, and monitoring cannot eliminate all the risks related to these loans.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protection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we foreclose on and take title to real property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Curtailment of government-guaranteed loan programs could affect a segment of our business.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component of our business consists of originating and periodically selling U.S. government-guaranteed loans, in particular those guaranteed by the SBA. Pursuant to the Consolidated Appropriations Act, the SBA guaranteed 90% of the principal amount of each qualifying SBA loan originated under the SBA’s 7(a) loan program (excluding PPP loans) through October 1, 2021. The SBA presently guarantees 75% to 90% of the principal amount of qualifying loans originated under the 7(a) loan program (excluding PPP loans).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year ended December 31, 2022 was $50.8 million, as compared to $41.4 million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participating lender in the SBA’s PPP, we are subject to added risks, including credit, fraud, and litigation risks.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began processing loan applications under the PPP as an eligible lender with the benefit of a government guarantee of loans to small business clients, many of whom have faced, or continue to face, difficulties even after being granted such a loan. PPP loans have contributed to our loan growth since March 31, 2020. The PPP Extension Act, which became law on March 31, 2021, extended the deadline to apply for a PPP loan through May 31,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 PPP loans, relating to these or other matters. Also, many financial institutions throughout the country have been named in putative class actions regarding the alleged nonpayment of fees that may be due to certain agents who facilitated PPP loan applications. Although many of these actions have been resolved in favor of banks participating in the PPP, the costs and effects of litigation related to PPP participation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operations and meet our obligations as they become due.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the soundness of other financial institutions.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are exposed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adversely affect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Regulatory requirements affecting our loans secured by commercial real estate could limit our ability to leverage our capital and adversely affect our growth and profitability.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recovery on commercial real estate loans could be further reduced by a lack of a liquid secondary market for such mortgage loans and mortgage-backed securities.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an emphasis on commercial real estate lending. Although we sold $50.8 million of loans in the year ended December 31, 2022,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appraisals and other valuation techniques we use in evaluating and monitoring loans secured by real property and OREO may not accurately reflect the net value of the asset.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loan losses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may not reflect accurate loan impairments. Inaccurate valuation of OREO or inaccurate provisioning for loan losses could have an adverse effect on our business, financial condition, and results of operations.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Federal, state, and local consumer lending laws may restrict our or our partners’ ability to originate certain loans or increase our risk of liability with respect to such loans.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loan relationships make up a material percentage of our total loan portfolio, and credit risks relating to these would have a disproportionate impact.</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2022, our 30 largest borrowing relationships ranged from approximately $20.6 million to $75.1 million (including unfunded commitments) and totaled approximately $1.1 billion in total commitments (representing, in the aggregate, 39.87% of our total loans held for investment before deferred fees as of December 31, 2022).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2022, our 40 largest deposit relationships, each accounting for more than $10.0 million, amounted to $1.5 billion, or 52.15%, of our total deposits. This includes $602.0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allowance for loan losses may be inadequate to absorb losses inherent in the loan portfolio.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loan losses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that represents management’s judgment of probable losses and risks inherent in our loan portfolio. In determining the size of our allowance for loan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loan losses is inherently highly subjective and requires us to make significant estimates of and assumptions regarding current credit risk and future trends, all of which may change materially. Although we endeavor to maintain our allowance for loan losses at a level adequate to absorb any inherent losses in the loan portfolio, these estimates of loan losses are necessarily subjective, and their accuracy depends on the outcome of future events. At December 31, 2022, the allowance for loan losses was $28.4 million.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loan losses in excess of our current allowance for loan losses, requiring us to make material additions to our allowance for loan losses, which could have an adverse effect on our business, financial condition, and results of operations.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allowance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Finally, the FASB has issued an accounting standard for establishing allowances for loan and lease losses that replaces the prior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 For further information, please see Note 2, Recently Issued Accounting Standards, of our audited consolidated financial statements included elsewhere in this Annual Report on Form 10-K.</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recognize losses on investment securities held in our securities portfolio, particularly if interest rates increase or economic and market conditions deteriorate.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the carrying value of our investment securities portfolio was approximately $119.7 million. As of the same date, 11.84%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in respect to the securities, defaults by the issuer or with respect to the underlying securities, and changes in market interest rates and instability in the capital markets. Any of these factors, among others, could cause other-than-temporary impairments (“OTTIs”),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depend on the accuracy and completeness of information provided by customers and counterparties.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highly regulated, and the regulatory framework, together with any future legislative or regulatory changes, may have an adverse effect on our operations.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banking industry is highly regulated and supervised under both federal and state laws and regulations that are intended primarily for the protection of depositors, customers, the public, the banking system as a whole, or the FDIC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Monetary policies and regulations of the Federal Reserve could have an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regulators periodically examine our business and may require us to remediate adverse examination findings or may take enforcement action against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our Bank into receivership or conservatorship. Any regulatory enforcement action against us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stringent capital requirements, which could have an adverse effect on our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a Tier 1 capital ratio of at least 8.00%, a total capital ratio of at least 10.00%, and a Tier 1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as a bank holding company with less than $3.0 billion in total consolidated assets and that met certain other criteria, the Company had been operating under the Federal Reserve’s Small Bank Holding Company Policy Statement, which exempts from the Federal Reserve’s risk-based capital and leverage rules bank holding companies with total consolidated assets of less than $3.0 billion that are not engaged in significant nonbanking activities, do not conduct significant off-balance sheet activities, and do not have a material amount of debt or equity securities registered with the SEC. Because the Company's total consolidated assets exceeded the $3.0 billion threshold as of September 30, 2022, the Company is no longer subject to this policy statement and its capital adequacy will be evaluated relative to the Federal Reserve's generally applicable capital requirements.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CFPB, are responsible for enforcing these fair and responsible banking laws and regulations. Banks with no more than $10.0 billion in total consolidated assets, including the Bank, are subject to rules promulgated by the CFPB but are examined and supervised by federal banking agencies for compliance with federal consumer protection laws and regulations. Accordingly, CFPB rulemaking has the potential to have a significant impact on the operations of the Bank.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bank holding company and are dependent upon the Bank for cash flow, and the Bank’s ability to make cash distributions is restricted.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Additionally, the Federal Reserve may require us to commit capital resources to support the Bank.</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We face a risk of noncompliance and enforcement action with the Bank Secrecy Act and other anti-money laundering statutes and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planned discontinuation of the London Inter-Bank Offered Rate (“LIBOR”) as a benchmark interest rate and a transition to an alternative reference interest rate could present operational problems and result in market disruption.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administrator of LIBOR will publish most tenors of LIBOR for U.S. dollars (“USD”) through June 30, 2023 and permanently ceased publication of the 1-week and 2-month USD LIBOR settings following December 31, 2021. The Federal Reserve and other federal banking agencies have encouraged banks to transition away from LIBOR in new contracts by no later than December 31, 2021, to ensure existing contracts have robust fallback language that includes a clearly defined alternative reference rate, and have emphasized the expectation that supervised institutions with LIBOR exposure continue to progress toward an orderly transition away from LIBOR. Although we expect that the capital and debt markets will cease to use LIBOR as a benchmark in the near future, we cannot predict what impact such a transition may have on our business, financial condition, and results of operations.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Federal Reserve, based on the recommendations of the Federal Reserve Bank of New York’s Alternative Reference Rate Committee, has begun publishing the Secured Overnight Financing Rate (“SOFR”), which is intended to replace LIBOR.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2022, President Biden signed into law the Adjustable Interest Rate (LIBOR) Act (the “LIBOR Act”). The LIBOR Act provides default rules for tough legacy contracts that do not have clearly defined and practicable fallback provisions for replacing LIBOR. The LIBOR Act also establishes a litigation safe harbor for lenders that select a LIBOR replacement under certain situations, including the use of a replacement rate selected by the Federal Reserve. On December 16, 2022, the Federal Reserve adopted a final rule that implements the LIBOR Act by identifying benchmark rates based on SOFR that will replace LIBOR in certain financial contracts after June 30, 2023.</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 We cannot predict whether the SOFR or another alternative rate will become the market benchmark in place of LIBOR.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financial products are tied to LIBOR. We are currently monitoring the actions of LIBOR’s regulator and the implementation of alternative reference rates in advance of the expected discontinuation of LIBOR to determine any potential impact on our financial products and our subordinated notes.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 xml:space="preserve">Risks Related to Ownership of Our </w:t>
      </w:r>
      <w:r>
        <w:rPr>
          <w:rFonts w:ascii="Arial" w:cs="Arial" w:eastAsia="Arial" w:hAnsi="Arial"/>
          <w:sz w:val="18"/>
          <w:szCs w:val="18"/>
          <w:b w:val="1"/>
          <w:bCs w:val="1"/>
          <w:u w:val="single" w:color="auto"/>
          <w:color w:val="auto"/>
          <w:highlight w:val="white"/>
        </w:rPr>
        <w:t>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 price may be volatile, and we may not be able to meet investor or analyst expectations. You may not be able to resell your shares at or above the price you paid and may lose part or all of your investment as a result.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price volatility may negatively impact the price at which our common stock may be sold and may also negatively impact the timing of any sale. We cannot assure you that the market price of our shares on the Nasdaq Stock Market LLC (“Nasdaq”) will equal or exceed prices in privately negotiated transactions of our shares that have occurred from time to time before our IPO. Our stock price may fluctuate widely in response to a variety of factors including the risk factors described herein and, among other things: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 financial conditions, or credit quality;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business or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recommendations or research reports about us or the financial services industry in general published by securities analysts;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securities analysts to cover, or to continue to cover, us;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or publication of research reports and recommendations by financial analysts or actions taken by rating agencies with respect to us or other financial institutions;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related to the impact of natural or man-made disasters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perceptions in the marketplace regarding us and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sudden increases in the demand for our common stock, including as a result of any “short squeezes”;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investments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or issuance of additional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thereof, affecting our business, or enforcement of these laws or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investments from third parties;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pandemics, or military conflicts.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trading price of our common stock over the short, medium, or long term, regardless of our actual performance.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4" w:name="page35"/>
    <w:bookmarkEnd w:id="34"/>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the date on which we are deemed to be a large accelerated filer under the rules of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significant shareholders have the ability to control significant corporate activities, and our significant shareholders’ interests may not coincide with yours.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may be unable to attract or sustain research coverage by securities and industry analysts. If no securities or industry analysts cover our company, the trading price for our stock would likely be negatively impacted. If we obtain securities or industry analyst coverage and if one or more of the analysts who covers us downgrades our stock or publishes inaccurate or unfavorable research about our business, our stock price would likely decline. If we fail to meet the expectations of analysts for our operating results, our stock price would likely decline. If one or more of these analysts ceases coverage of us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We may not pay dividends on our common stock in the future, and our ability to pay dividends is subject to certain restrictions.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holders of our debt obligations and preferred stock, if any, have priority over the holders of our common stock with respect to payment in the event of liquidation, dissolution, or winding up and with respect to the payment of interest and 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well as any preferred stock that has been issued. As of December 31, 2022, we had an aggregate of $73.6 million of subordinated notes, net of debt issuance costs, outstanding, and we did not have any outstanding preferred stock or trust preferred securities. We could incur such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will be required to pay interest on the subordinated notes and dividends on the trust preferred securities and preferred stock before we will be able to pay any dividends on our common stock.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California corporate law and provisions of our amended and restated articles of incorporation (“articles of incorporation”) and our amended and restated bylaws (“bylaws”)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bylaws have an exclusive forum provision, which could limit a shareholder’s ability to obtain a favorable judicial forum for disputes with us or our directors, officers, or other employees.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increased, and will continue to increase, our legal and financial compliance costs, will make some activities more difficult, time-consuming, or costly, and will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the impact of actions to mitigate the spread of the virus could adversely affect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Federal, state, and local governments enacted various restrictions and policies in an attempt to limit the spread of COVID-19. Such measures disrupted economic activity and contributed to job losses and reductions in consumer and business spending. In response to the economic and financial effects of COVID-19, the Federal Reserve sharply reduced interest rates and instituted quantitative easing measures as well as domestic and global capital market support programs. In addition, the current and prior presidential administrations, Congress, various federal agencies, and state and local governments took measures to address the economic and social consequences of the pandemic, beginning with the passage of the CARES Act, which was enacted on March 27, 2020, the Consolidated Appropriations Act, which was enacted on December 27, 2020, and the American Rescue Plan Act, which was enacted on March 11, 2021. The CARES Act provided wide-ranging economic relief for individuals and businesses impacted by COVID-19, and the Consolidated Appropriations Act and American Rescue Plan Act extended some of these relief provisions in certain respects as well as provided other forms of relief. These include, among others, the PPP.</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impact of the COVID-19 pandemic has begun to decrease in significance, its economic effects on financial markets and key market indices continue to impact overall economic activity. The uncertainty regarding the duration of the pandemic and the resulting economic disruption caused increased market volatility and led to an economic recession and a significant decrease in consumer confidence and business generally, the long-term effects of which remain uncertain. The continuation of these conditions, as well as the impacts of the CARES Act and other federal and state measures, specifically with respect to loan forbearances, has adversely affected our business, financial condition, and results of operations, and has and can be expected to further adversely impact our business, financial condition, and results of operations and the operations of our borrowers, customers, and business partners.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ultimate impact of these factors over the longer term is uncertain and we do not yet know the full extent of the impacts on our business, our operations, or the global economy as a whole, nor the pace of continued economic recovery as the COVID-19 pandemic subsides, the decline in economic conditions generally and a prolonged negative impact on small to medium-sized businesses in particular is likely to result in an adverse effect on our business, financial condition, and results of operations in future periods, and may heighten many of our known risks.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is largely dependent upon our management team and key employees and ability to successfully execute our business strategy.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implement new lines of business, products, or services, we may invest significant time and resources in doing so, and such new lines of business, products, or services may not be successful.</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pursue strategic acquisitions in the future, and we may not be able to overcome risks associated with such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or acquisition activities could be material to our business and involve a number of risks including the following:</w:t>
      </w:r>
    </w:p>
    <w:p>
      <w:pPr>
        <w:spacing w:after="0" w:line="225" w:lineRule="exact"/>
        <w:rPr>
          <w:sz w:val="20"/>
          <w:szCs w:val="20"/>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the combined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the target institution or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impairment to goodwill or OTTI of investment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9" w:name="page40"/>
    <w:bookmarkEnd w:id="39"/>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key employees or key customers following our investment or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is critical to our business, and damage to it could have an adverse effect on 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publicity about us, whether accurate or not, may also damage our reputation, which could have an adverse effect on our business, financial condition, and results of operations.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could be interrupted if our third-party service providers experience difficulty, terminate their services, or fail to comply with banking regulations.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due to an interagency effort to replace existing guidance on the risk management of third-party relationships with new guidance.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 out of the sale of personal information, and to non-discrimination for exercising these rights.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damage to our reputation, and other potential losses.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Failures in, or breaches of, our computer systems and network infrastructure, or those of our third-party vendors or other service providers, including as a result of cyber-attacks, could disrupt our business, result in the disclosure or misuse of confidential or proprietary information, damage our reputation,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significant liability to us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1" w:name="page42"/>
    <w:bookmarkEnd w:id="41"/>
    <w:p>
      <w:pPr>
        <w:jc w:val="both"/>
        <w:spacing w:after="0" w:line="308" w:lineRule="auto"/>
        <w:rPr>
          <w:sz w:val="20"/>
          <w:szCs w:val="20"/>
          <w:color w:val="auto"/>
        </w:rPr>
      </w:pPr>
      <w:r>
        <w:rPr>
          <w:rFonts w:ascii="Arial" w:cs="Arial" w:eastAsia="Arial" w:hAnsi="Arial"/>
          <w:sz w:val="17"/>
          <w:szCs w:val="17"/>
          <w:color w:val="auto"/>
        </w:rPr>
        <w:t>damage to our reputation and may discourage current and potential customers from using our internet banking services. Our security measures, including firewalls and penetration testing, may not prevent or detect future potential losses from system failures or cybersecurity breaches.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normal course of business, we collect, process, and retain sensitive and confidential information regarding our customers. Although we devote significant resources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supervisory criticism,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security risks for financial institutions like us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Banking organizations are required to notify their primary federal regulator of significant computer security incidents within 36 hours of determining that such an incident has occurred. Failure to comply with this requirement in the event of such an incident could result in sanctions by regulatory agencies, civil money penalties, and/or damage to our reputation, all of which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our business could be disrupted by natural or man-made disasters or the effects of climate change.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fires, mudslides, floods, and other natural disasters, such as the recent fires that impacted several counties in California, including Orange and Napa.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in the normal course of business, we have in the past been and may in the future be named as a defendant in various legal actions, arising in connection with our current and/or prior business activities. Legal actions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jc w:val="both"/>
        <w:spacing w:after="0" w:line="288" w:lineRule="auto"/>
        <w:rPr>
          <w:sz w:val="20"/>
          <w:szCs w:val="20"/>
          <w:color w:val="auto"/>
        </w:rPr>
      </w:pPr>
      <w:r>
        <w:rPr>
          <w:rFonts w:ascii="Arial" w:cs="Arial" w:eastAsia="Arial" w:hAnsi="Arial"/>
          <w:sz w:val="16"/>
          <w:szCs w:val="16"/>
          <w:color w:val="auto"/>
        </w:rPr>
        <w:t>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We are subject to an extensive body of accounting rules and best practices. Periodic changes to such rules may change the treatment and recognition of critical financial line items. In addition, the accuracy of our consolidated financial statements and related disclosures could be affected if the judgments, assumptions, or estimates used in our critical accounting policies are inaccurate.</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loan losses on the basis of the current expected loan losses over the lifetime of our loans, which is expected to be applicable to us beginning in 2023, and may result in increases in our allowance for loan losses and future provisions for loan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corporate headquarters is located at 3100 Zinfandel Drive, Suite 100, Rancho Cordova, CA 95670. As of December 31, 2022, in addition to our corporate headquarters, which includes our Rancho Cordova branch, we operated six other branch offices in Roseville, Natomas, Redding, Elk Grove, Chico, and Yuba City and one commercial loan production office in Sacramento. We lease our corporate headquarters and all of our other offices. The lease on our corporate headquarters expires in 2026, and the leases on our branch offices and commercial loan production offices expire in 2023 through 2032. We believe that these facilities and additional or alternative space available to us are adequate to meet our needs for the foreseeable future.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of Common Stock, and Dividends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common stock, no par value per share, is traded on the Nasdaq Global Select Market under the symbol “FSBC”. On February 21, 2023, there were 204 holders of record of the Company’s common stock. The actual number of stockholders is greater than this, as it would include stockholders who are beneficial owners but whose shares are held in street name by brokers and other nominees.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paid cash dividends on its common stock in every quarter since January 2002, with the exception of the third and fourth quarters of 2009 and all quarters of 2010. Historically, we had been treated as an S Corporation for U.S. federal income tax purposes, and as such, we had paid distributions to our existing shareholders to assist them in paying the U.S. federal income taxes on our taxable income that was “passed through” to them, as well as additional amounts for returns on capital. Following the completion of our IPO, our dividend policy and practice has changed, as we are now taxed as a C Corporation and, therefore, no longer pay distributions to provide our shareholders with funds to pay U.S. federal income tax on their pro rata portion of our taxable income.</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As of December 31, 2022, there was $33.9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Regulation—Supervision and Regulation of the Company—Payment of Dividends and Stock Repurchases” and “Part I, Item 1. Business—Supervision and Regulation—Supervision and Regulation of the Bank—Payment of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12. Security Ownership of Certain Beneficial Owners and Management and Related Shareholder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and analysis presents management’s perspective on our financial condition and results of operations on a consolidated basis. However, because we conduct all of our material business operations through Five Star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Bank (“Five Star” or the “Bank”), the discussion and analysis relate to activities primarily conducted by the Bank. This discussion and analysis should be read in conjunction with the audited consolidated financial statements and the accompanying notes presented elsewhere in this Annual Report on Form 10-K. Average balances, including balances used in calculating certain financial ratios, are generally comprised of average daily balances.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Headquartered in the greater Sacramento metropolitan area of California, Five Star Bancorp (“Bancorp” or the “Company”) is a bank holding company that operates through its wholly owned subsidiary, Five Star Bank (“Five Star” or the “Bank”), a California state-chartered non-member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2022, we had total assets of $3.2 billion, total loans held for investment, net of allowance for loan losses, of $2.8 billion, and total deposits of $2.8 billion.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and the impact of actions to mitigate the spread of the virus affected our business, financial condition, and results of operations in the year ended December 31, 2022. During the year, we maintained our focus on relationship-based banking and made the health and safety of our customers and employees our priority. To help protect our customers and their finances during the pandemic, while all of our branches were open, we took into account guidelines from public health officials, and encouraged our customers to conduct business with us via phone, online banking, and mobile apps.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results for the year ended December 31, 2021 were also impacted by the COVID-19 pandemic. Beginning with the Coronavirus Aid, Relief, and Economic Security Act (the “CARES Act”) in March 2020, the federal government enacted a series of federal statutes creating, funding, and expanding wide-ranging economic relief for individuals and businesses impacted by COVID-19. Among other things, these statutes created and funded the Paycheck Protection Program (“PPP”), a loan program administered by the Small Business Administration (the “SBA”). Under the PPP, if a loan is fully forgiven, the SBA will repay the lending bank in full. If a loan is partially forgiven or not forgiven at all, a lender must look to the borrower for repayment of unforgiven principal and interest. If the borrower defaults, in part or in full, the loan is guaranteed by the SBA.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responsiveness and certainty of execution resulted in our ability to quickly provide 1,602 PPP loans to 1,239 customers nationwide, approximately 39% of which were new customers as of December 31, 2021. Because of our relationship-based banking approach, the influx of new customers contributed to a corresponding increase in deposits in the year ended December 31, 2020, which continued into the year ended December 31, 2021. There were no outstanding PPP loans at December 31, 2022.</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uncertainty and economic downturn caused by the COVID-19 pandemic affected our overall existing loan portfolio. In 2020, our methodology for evaluating the allowance for loan losses was affected by the COVID-19 pandemic, resulting in higher reserve levels primarily related to our commercial secured portfolio. In 2021, reserve amounts were positively impacted by improved economic conditions and reductions to reserves required for classified and watch loans, which were offset by additional provisions required for loan growth during the year. In 2022, we continued to monitor higher risk concentrations identified in the loan portfolio for ongoing effects from COVID-19 and the impact on reserve requirements.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our deposits and short-term borrowings is primarily based on short-term interest rates, which are largely driven by the Board of Governors of the Federal Reserve System’s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rates have risen significantly following the historically low levels during the COVID-19 pandemic. Due to elevated levels of inflation and corresponding pressure to raise interest rates, the Federal Reserve announced in January of 2022 that it would be slowing the pace of its bond purchasing and increasing the target range for the federal funds rate over time. The FOMC has since increased the target range seven times throughout 2022. As of December 31, 2022, the target range for the federal funds rate had been increased to 4.25% to 4.50%, and the FOMC signaled that future increases may be appropriate in order to attain a monetary policy sufficiently restrictive to return inflation to normalized levels.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that interest rates may continue to rise over the next few years. Based on our asset sensitivity, a steepened yield curve could have a beneficial impact on our net interest income. Additionally, a continued flat yield curve would be expected to maintain our net interest income. An inverted yield curve, as was observed late in 2022, could have a negative impact on our net interest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Corporation Status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(the “IRS”),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jc w:val="both"/>
        <w:spacing w:after="0" w:line="269" w:lineRule="auto"/>
        <w:rPr>
          <w:sz w:val="20"/>
          <w:szCs w:val="20"/>
          <w:color w:val="auto"/>
        </w:rPr>
      </w:pPr>
      <w:r>
        <w:rPr>
          <w:rFonts w:ascii="Arial" w:cs="Arial" w:eastAsia="Arial" w:hAnsi="Arial"/>
          <w:sz w:val="17"/>
          <w:szCs w:val="17"/>
          <w:color w:val="auto"/>
        </w:rPr>
        <w:t>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(“AAA”)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deferred tax assets and liabilities were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highlights of the financial results table within the section entitled “—Executive Summary” below for the impact of being taxed as a C Corporation on our net income, EPS, and various other financial measures for the years ended 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Company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our IPO, we began to, and will continue to,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Sarbanes-Oxley Act, as well as rules adopted by the SEC, the FDIC,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that are generally accepted in the United States.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Provision and Allowance for Loan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represents the estimated probable incurred loan losses in our loan portfolio and is estimated as of December 31, 2022 using the incurred loss model.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allowance for loan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amount of the allowance for loan losses is measured on a collective (pool) basis by loan type when similar risk characteristics exist. For loans evaluated collectively, the allowance for loan losses is determined using historical losses adjusted for qualitative and environmental factors to reflect current conditions. The most significant components of qualitative and environmental factors used to estimate the allowance for loan losses are adjustments relating to prevailing economic conditions and volume of the loan portfolio. The prevailing economic conditions factor is estimated based on a range of potential economic conditions and is applied at both the portfolio and individual concentration level based on various factors. This estimate is subject to significant judgment and could potentially add $3.9 million based on existing loan balances, if not more, to the allowance for loan losses in pessimistic economic conditions. The volume of the loan portfolio is estimated based on growth rates in the prior year combined with an assessment of underwriting and credit standards. This estimate is subject to significant judgment and could potentially add $2.8 million based on existing loan balances, if not more, to the allowance for loan losses based on growth due to significant changes to underwriting standards. The concentrations estimate of qualitative and environmental factors is determined by the overall market outlook and is focused on significant concentrations within the loan portfolio. This estimate is subject to significant judgment and could potentially add $7.3 million based on existing loan balances, if not more, to the allowance for loan losses based on a pessimistic market outlook for the specifically identified concentration.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tax rates expected to apply to taxable income in the years in which those temporary differences are expected to be recovered or settled. A valuation allowance, if needed, reduces deferred tax assets to the amount expected to be realized. These estimates are determined using information available in the current year and are subject to change. As of December 31, 2022, the estimated net deferred tax asset was approximately $12.3 million and was estimated using an estimated blended statutory tax rate of 29.56%. Actual enacted tax rates upon recognition of the tax asset could vary significantly from our initial estimate.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 tax positions are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 As of December 31, 2022, the Company did not recognize any uncertain tax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strategic focus is to continue to grow organically by leveraging our existing core competencies and positioning our business for success in the evolving banking landscape. In leveraging our core competencies, we intend to:</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organic lending growth in our market through our “purpose-driven and integrity-centered” approach to banking;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focus and grow each of the diverse industry clusters throughout our market areas;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upon the strength of our brand to deepen and broaden client relationships and grow our deposit base;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additional banking professionals with track records of driving revenue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our disciplined credit underwriting and robust risk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disciplined cost management culture;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our technology platforms to improve our efficiency;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engage in the economic development of our communities and market areas.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Highlights of the financial results are presented in the following tables: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5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Selected financial condition data:</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3,227,159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2,556,761</w:t>
            </w: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2,791,326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1,934,460</w:t>
            </w: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2,782,004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2,285,890</w:t>
            </w: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subordinated notes, net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73,606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28,386</w:t>
            </w:r>
          </w:p>
        </w:tc>
      </w:tr>
      <w:tr>
        <w:trPr>
          <w:trHeight w:val="243"/>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252,825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235,046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517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 quality ratios: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60" w:type="dxa"/>
            <w:vAlign w:val="bottom"/>
          </w:tcPr>
          <w:p>
            <w:pPr>
              <w:ind w:left="180"/>
              <w:spacing w:after="0"/>
              <w:rPr>
                <w:sz w:val="20"/>
                <w:szCs w:val="20"/>
                <w:color w:val="auto"/>
              </w:rPr>
            </w:pPr>
            <w:r>
              <w:rPr>
                <w:rFonts w:ascii="Arial" w:cs="Arial" w:eastAsia="Arial" w:hAnsi="Arial"/>
                <w:sz w:val="18"/>
                <w:szCs w:val="18"/>
                <w:color w:val="auto"/>
              </w:rPr>
              <w:t>Allowance for loan losses to total loans held for investment</w:t>
            </w: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1.02 %</w:t>
            </w:r>
          </w:p>
        </w:tc>
        <w:tc>
          <w:tcPr>
            <w:tcW w:w="1220" w:type="dxa"/>
            <w:vAlign w:val="bottom"/>
          </w:tcPr>
          <w:p>
            <w:pPr>
              <w:jc w:val="right"/>
              <w:spacing w:after="0"/>
              <w:rPr>
                <w:sz w:val="20"/>
                <w:szCs w:val="20"/>
                <w:color w:val="auto"/>
              </w:rPr>
            </w:pPr>
            <w:r>
              <w:rPr>
                <w:rFonts w:ascii="Arial" w:cs="Arial" w:eastAsia="Arial" w:hAnsi="Arial"/>
                <w:sz w:val="18"/>
                <w:szCs w:val="18"/>
                <w:color w:val="auto"/>
              </w:rPr>
              <w:t>1.20 %</w:t>
            </w:r>
          </w:p>
        </w:tc>
        <w:tc>
          <w:tcPr>
            <w:tcW w:w="20" w:type="dxa"/>
            <w:vAlign w:val="bottom"/>
          </w:tcPr>
          <w:p>
            <w:pPr>
              <w:spacing w:after="0"/>
              <w:rPr>
                <w:sz w:val="20"/>
                <w:szCs w:val="20"/>
                <w:color w:val="auto"/>
              </w:rPr>
            </w:pPr>
          </w:p>
        </w:tc>
      </w:tr>
      <w:tr>
        <w:trPr>
          <w:trHeight w:val="263"/>
        </w:trPr>
        <w:tc>
          <w:tcPr>
            <w:tcW w:w="7460" w:type="dxa"/>
            <w:vAlign w:val="bottom"/>
            <w:shd w:val="clear" w:color="auto" w:fill="CCEEFF"/>
          </w:tcPr>
          <w:p>
            <w:pPr>
              <w:ind w:left="180"/>
              <w:spacing w:after="0" w:line="263" w:lineRule="exact"/>
              <w:rPr>
                <w:sz w:val="20"/>
                <w:szCs w:val="20"/>
                <w:color w:val="auto"/>
              </w:rPr>
            </w:pPr>
            <w:r>
              <w:rPr>
                <w:rFonts w:ascii="Arial" w:cs="Arial" w:eastAsia="Arial" w:hAnsi="Arial"/>
                <w:sz w:val="18"/>
                <w:szCs w:val="18"/>
                <w:color w:val="auto"/>
              </w:rPr>
              <w:t>Allowance for loan losses to total loans held for investment, excluding PPP loans</w:t>
            </w:r>
            <w:r>
              <w:rPr>
                <w:rFonts w:ascii="Arial" w:cs="Arial" w:eastAsia="Arial" w:hAnsi="Arial"/>
                <w:sz w:val="23"/>
                <w:szCs w:val="23"/>
                <w:color w:val="auto"/>
                <w:vertAlign w:val="superscript"/>
              </w:rPr>
              <w:t>1</w:t>
            </w:r>
          </w:p>
        </w:tc>
        <w:tc>
          <w:tcPr>
            <w:tcW w:w="2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1.02 %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20" w:type="dxa"/>
            <w:vAlign w:val="bottom"/>
          </w:tcPr>
          <w:p>
            <w:pPr>
              <w:spacing w:after="0"/>
              <w:rPr>
                <w:sz w:val="22"/>
                <w:szCs w:val="22"/>
                <w:color w:val="auto"/>
              </w:rPr>
            </w:pPr>
          </w:p>
        </w:tc>
      </w:tr>
      <w:tr>
        <w:trPr>
          <w:trHeight w:val="250"/>
        </w:trPr>
        <w:tc>
          <w:tcPr>
            <w:tcW w:w="7460" w:type="dxa"/>
            <w:vAlign w:val="bottom"/>
          </w:tcPr>
          <w:p>
            <w:pPr>
              <w:ind w:left="180"/>
              <w:spacing w:after="0"/>
              <w:rPr>
                <w:sz w:val="20"/>
                <w:szCs w:val="20"/>
                <w:color w:val="auto"/>
              </w:rPr>
            </w:pPr>
            <w:r>
              <w:rPr>
                <w:rFonts w:ascii="Arial" w:cs="Arial" w:eastAsia="Arial" w:hAnsi="Arial"/>
                <w:sz w:val="18"/>
                <w:szCs w:val="18"/>
                <w:color w:val="auto"/>
              </w:rPr>
              <w:t>Allowance for loan losses to period end nonperforming loans</w:t>
            </w: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70.27x</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39.54x</w:t>
            </w:r>
          </w:p>
        </w:tc>
      </w:tr>
      <w:tr>
        <w:trPr>
          <w:trHeight w:val="263"/>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 to period end loans</w:t>
            </w:r>
          </w:p>
        </w:tc>
        <w:tc>
          <w:tcPr>
            <w:tcW w:w="2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0.01 %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20" w:type="dxa"/>
            <w:vAlign w:val="bottom"/>
          </w:tcPr>
          <w:p>
            <w:pPr>
              <w:spacing w:after="0"/>
              <w:rPr>
                <w:sz w:val="22"/>
                <w:szCs w:val="22"/>
                <w:color w:val="auto"/>
              </w:rPr>
            </w:pPr>
          </w:p>
        </w:tc>
      </w:tr>
      <w:tr>
        <w:trPr>
          <w:trHeight w:val="25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Capital ratios:</w:t>
            </w:r>
          </w:p>
        </w:tc>
        <w:tc>
          <w:tcPr>
            <w:tcW w:w="2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 (to risk-weighted assets)</w:t>
            </w:r>
          </w:p>
        </w:tc>
        <w:tc>
          <w:tcPr>
            <w:tcW w:w="2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12.46 %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13.98 %</w:t>
            </w:r>
          </w:p>
        </w:tc>
        <w:tc>
          <w:tcPr>
            <w:tcW w:w="20" w:type="dxa"/>
            <w:vAlign w:val="bottom"/>
          </w:tcPr>
          <w:p>
            <w:pPr>
              <w:spacing w:after="0"/>
              <w:rPr>
                <w:sz w:val="22"/>
                <w:szCs w:val="22"/>
                <w:color w:val="auto"/>
              </w:rPr>
            </w:pPr>
          </w:p>
        </w:tc>
      </w:tr>
      <w:tr>
        <w:trPr>
          <w:trHeight w:val="256"/>
        </w:trPr>
        <w:tc>
          <w:tcPr>
            <w:tcW w:w="7460" w:type="dxa"/>
            <w:vAlign w:val="bottom"/>
          </w:tcPr>
          <w:p>
            <w:pPr>
              <w:ind w:left="180"/>
              <w:spacing w:after="0"/>
              <w:rPr>
                <w:sz w:val="20"/>
                <w:szCs w:val="20"/>
                <w:color w:val="auto"/>
              </w:rPr>
            </w:pPr>
            <w:r>
              <w:rPr>
                <w:rFonts w:ascii="Arial" w:cs="Arial" w:eastAsia="Arial" w:hAnsi="Arial"/>
                <w:sz w:val="18"/>
                <w:szCs w:val="18"/>
                <w:color w:val="auto"/>
              </w:rPr>
              <w:t>Tier 1 capital (to risk-weighted assets)</w:t>
            </w: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8.99 %</w:t>
            </w:r>
          </w:p>
        </w:tc>
        <w:tc>
          <w:tcPr>
            <w:tcW w:w="1220" w:type="dxa"/>
            <w:vAlign w:val="bottom"/>
          </w:tcPr>
          <w:p>
            <w:pPr>
              <w:jc w:val="right"/>
              <w:spacing w:after="0"/>
              <w:rPr>
                <w:sz w:val="20"/>
                <w:szCs w:val="20"/>
                <w:color w:val="auto"/>
              </w:rPr>
            </w:pPr>
            <w:r>
              <w:rPr>
                <w:rFonts w:ascii="Arial" w:cs="Arial" w:eastAsia="Arial" w:hAnsi="Arial"/>
                <w:sz w:val="18"/>
                <w:szCs w:val="18"/>
                <w:color w:val="auto"/>
              </w:rPr>
              <w:t>11.44 %</w:t>
            </w:r>
          </w:p>
        </w:tc>
        <w:tc>
          <w:tcPr>
            <w:tcW w:w="20" w:type="dxa"/>
            <w:vAlign w:val="bottom"/>
          </w:tcPr>
          <w:p>
            <w:pPr>
              <w:spacing w:after="0"/>
              <w:rPr>
                <w:sz w:val="22"/>
                <w:szCs w:val="22"/>
                <w:color w:val="auto"/>
              </w:rPr>
            </w:pPr>
          </w:p>
        </w:tc>
      </w:tr>
      <w:tr>
        <w:trPr>
          <w:trHeight w:val="257"/>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equity Tier 1 capital (to risk-weighted assets)</w:t>
            </w:r>
          </w:p>
        </w:tc>
        <w:tc>
          <w:tcPr>
            <w:tcW w:w="2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8.99 %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20" w:type="dxa"/>
            <w:vAlign w:val="bottom"/>
          </w:tcPr>
          <w:p>
            <w:pPr>
              <w:spacing w:after="0"/>
              <w:rPr>
                <w:sz w:val="22"/>
                <w:szCs w:val="22"/>
                <w:color w:val="auto"/>
              </w:rPr>
            </w:pPr>
          </w:p>
        </w:tc>
      </w:tr>
      <w:tr>
        <w:trPr>
          <w:trHeight w:val="257"/>
        </w:trPr>
        <w:tc>
          <w:tcPr>
            <w:tcW w:w="746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8.60 %</w:t>
            </w:r>
          </w:p>
        </w:tc>
        <w:tc>
          <w:tcPr>
            <w:tcW w:w="1220" w:type="dxa"/>
            <w:vAlign w:val="bottom"/>
          </w:tcPr>
          <w:p>
            <w:pPr>
              <w:jc w:val="right"/>
              <w:spacing w:after="0"/>
              <w:rPr>
                <w:sz w:val="20"/>
                <w:szCs w:val="20"/>
                <w:color w:val="auto"/>
              </w:rPr>
            </w:pPr>
            <w:r>
              <w:rPr>
                <w:rFonts w:ascii="Arial" w:cs="Arial" w:eastAsia="Arial" w:hAnsi="Arial"/>
                <w:sz w:val="18"/>
                <w:szCs w:val="18"/>
                <w:color w:val="auto"/>
              </w:rPr>
              <w:t>9.47 %</w:t>
            </w:r>
          </w:p>
        </w:tc>
        <w:tc>
          <w:tcPr>
            <w:tcW w:w="20" w:type="dxa"/>
            <w:vAlign w:val="bottom"/>
          </w:tcPr>
          <w:p>
            <w:pPr>
              <w:spacing w:after="0"/>
              <w:rPr>
                <w:sz w:val="22"/>
                <w:szCs w:val="22"/>
                <w:color w:val="auto"/>
              </w:rPr>
            </w:pPr>
          </w:p>
        </w:tc>
      </w:tr>
      <w:tr>
        <w:trPr>
          <w:trHeight w:val="25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 to total assets ratio</w:t>
            </w:r>
          </w:p>
        </w:tc>
        <w:tc>
          <w:tcPr>
            <w:tcW w:w="2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7.83 %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9.19 %</w:t>
            </w:r>
          </w:p>
        </w:tc>
        <w:tc>
          <w:tcPr>
            <w:tcW w:w="20" w:type="dxa"/>
            <w:vAlign w:val="bottom"/>
          </w:tcPr>
          <w:p>
            <w:pPr>
              <w:spacing w:after="0"/>
              <w:rPr>
                <w:sz w:val="22"/>
                <w:szCs w:val="22"/>
                <w:color w:val="auto"/>
              </w:rPr>
            </w:pPr>
          </w:p>
        </w:tc>
      </w:tr>
      <w:tr>
        <w:trPr>
          <w:trHeight w:val="312"/>
        </w:trPr>
        <w:tc>
          <w:tcPr>
            <w:tcW w:w="7460" w:type="dxa"/>
            <w:vAlign w:val="bottom"/>
          </w:tcPr>
          <w:p>
            <w:pPr>
              <w:ind w:left="180"/>
              <w:spacing w:after="0"/>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3"/>
                <w:szCs w:val="23"/>
                <w:color w:val="auto"/>
                <w:vertAlign w:val="superscript"/>
              </w:rPr>
              <w:t>2</w:t>
            </w: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7.83 %</w:t>
            </w:r>
          </w:p>
        </w:tc>
        <w:tc>
          <w:tcPr>
            <w:tcW w:w="1220" w:type="dxa"/>
            <w:vAlign w:val="bottom"/>
          </w:tcPr>
          <w:p>
            <w:pPr>
              <w:jc w:val="right"/>
              <w:spacing w:after="0"/>
              <w:rPr>
                <w:sz w:val="20"/>
                <w:szCs w:val="20"/>
                <w:color w:val="auto"/>
              </w:rPr>
            </w:pPr>
            <w:r>
              <w:rPr>
                <w:rFonts w:ascii="Arial" w:cs="Arial" w:eastAsia="Arial" w:hAnsi="Arial"/>
                <w:sz w:val="18"/>
                <w:szCs w:val="18"/>
                <w:color w:val="auto"/>
              </w:rPr>
              <w:t>9.19 %</w:t>
            </w:r>
          </w:p>
        </w:tc>
        <w:tc>
          <w:tcPr>
            <w:tcW w:w="20" w:type="dxa"/>
            <w:vAlign w:val="bottom"/>
          </w:tcPr>
          <w:p>
            <w:pPr>
              <w:spacing w:after="0"/>
              <w:rPr>
                <w:sz w:val="24"/>
                <w:szCs w:val="24"/>
                <w:color w:val="auto"/>
              </w:rPr>
            </w:pPr>
          </w:p>
        </w:tc>
      </w:tr>
      <w:tr>
        <w:trPr>
          <w:trHeight w:val="849"/>
        </w:trPr>
        <w:tc>
          <w:tcPr>
            <w:tcW w:w="7460" w:type="dxa"/>
            <w:vAlign w:val="bottom"/>
          </w:tcPr>
          <w:p>
            <w:pPr>
              <w:ind w:left="5540"/>
              <w:spacing w:after="0"/>
              <w:rPr>
                <w:sz w:val="20"/>
                <w:szCs w:val="20"/>
                <w:color w:val="auto"/>
              </w:rPr>
            </w:pPr>
            <w:r>
              <w:rPr>
                <w:rFonts w:ascii="Arial" w:cs="Arial" w:eastAsia="Arial" w:hAnsi="Arial"/>
                <w:sz w:val="18"/>
                <w:szCs w:val="18"/>
                <w:color w:val="auto"/>
              </w:rPr>
              <w:t>48</w:t>
            </w:r>
          </w:p>
        </w:tc>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169"/>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 except share and per share data)</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4"/>
                <w:szCs w:val="14"/>
                <w:color w:val="auto"/>
              </w:rPr>
            </w:pPr>
          </w:p>
        </w:tc>
        <w:tc>
          <w:tcPr>
            <w:tcW w:w="14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9"/>
        </w:trPr>
        <w:tc>
          <w:tcPr>
            <w:tcW w:w="7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4"/>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Selected operating data:</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103,070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7,157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7,280</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40,669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44,801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42,441</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Book value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Tangible book value per share</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17,128,282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14,972,637</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diluted common shares outstanding</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17,165,610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14,995,213</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17,241,926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17,224,848</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Selected pro forma operating data:</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Pro forma net income</w:t>
            </w:r>
            <w:r>
              <w:rPr>
                <w:rFonts w:ascii="Arial" w:cs="Arial" w:eastAsia="Arial" w:hAnsi="Arial"/>
                <w:sz w:val="23"/>
                <w:szCs w:val="23"/>
                <w:color w:val="auto"/>
                <w:vertAlign w:val="superscript"/>
              </w:rPr>
              <w:t>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44,801</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37,813</w:t>
            </w: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Pro forma provision for income taxes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18,057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56"/>
        </w:trPr>
        <w:tc>
          <w:tcPr>
            <w:tcW w:w="77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Pro forma earnings per common share</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 and other financial ratios: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Return on average assets (“ROAA”)</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Return on average equity (“ROAE”)</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22.49 %</w:t>
            </w: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Net interest margin</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funds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0" w:type="dxa"/>
            <w:vAlign w:val="bottom"/>
          </w:tcPr>
          <w:p>
            <w:pPr>
              <w:spacing w:after="0"/>
              <w:rPr>
                <w:sz w:val="1"/>
                <w:szCs w:val="1"/>
                <w:color w:val="auto"/>
              </w:rPr>
            </w:pPr>
          </w:p>
        </w:tc>
      </w:tr>
      <w:tr>
        <w:trPr>
          <w:trHeight w:val="250"/>
        </w:trPr>
        <w:tc>
          <w:tcPr>
            <w:tcW w:w="7740" w:type="dxa"/>
            <w:vAlign w:val="bottom"/>
            <w:gridSpan w:val="2"/>
          </w:tcPr>
          <w:p>
            <w:pPr>
              <w:ind w:left="180"/>
              <w:spacing w:after="0"/>
              <w:rPr>
                <w:sz w:val="20"/>
                <w:szCs w:val="20"/>
                <w:color w:val="auto"/>
              </w:rPr>
            </w:pPr>
            <w:r>
              <w:rPr>
                <w:rFonts w:ascii="Arial" w:cs="Arial" w:eastAsia="Arial" w:hAnsi="Arial"/>
                <w:sz w:val="18"/>
                <w:szCs w:val="18"/>
                <w:color w:val="auto"/>
              </w:rPr>
              <w:t>Efficiency ratio</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42.46 %</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equity to average assets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0" w:type="dxa"/>
            <w:vAlign w:val="bottom"/>
          </w:tcPr>
          <w:p>
            <w:pPr>
              <w:spacing w:after="0"/>
              <w:rPr>
                <w:sz w:val="1"/>
                <w:szCs w:val="1"/>
                <w:color w:val="auto"/>
              </w:rPr>
            </w:pPr>
          </w:p>
        </w:tc>
      </w:tr>
      <w:tr>
        <w:trPr>
          <w:trHeight w:val="256"/>
        </w:trPr>
        <w:tc>
          <w:tcPr>
            <w:tcW w:w="7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3"/>
                <w:szCs w:val="23"/>
                <w:color w:val="auto"/>
                <w:vertAlign w:val="superscript"/>
              </w:rPr>
              <w:t>5</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40.23 %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160.52 %</w:t>
            </w: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Selected pro forma ratios: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Pro forma ROAA</w:t>
            </w:r>
            <w:r>
              <w:rPr>
                <w:rFonts w:ascii="Arial" w:cs="Arial" w:eastAsia="Arial" w:hAnsi="Arial"/>
                <w:sz w:val="23"/>
                <w:szCs w:val="23"/>
                <w:color w:val="auto"/>
                <w:vertAlign w:val="superscript"/>
              </w:rPr>
              <w:t>4, 6</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Pro forma ROAE</w:t>
            </w:r>
            <w:r>
              <w:rPr>
                <w:rFonts w:ascii="Arial" w:cs="Arial" w:eastAsia="Arial" w:hAnsi="Arial"/>
                <w:sz w:val="23"/>
                <w:szCs w:val="23"/>
                <w:color w:val="auto"/>
                <w:vertAlign w:val="superscript"/>
              </w:rPr>
              <w:t>4, 6</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500" w:hanging="492"/>
        <w:spacing w:after="0"/>
        <w:tabs>
          <w:tab w:leader="none" w:pos="491"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allowance for loan losses to total loans held for investment, excluding PPP loans, is considered a non-GAAP financial measure. See the section entitled “Non-GAAP Financial Measures” for a reconciliation of our non-GAAP measures to the most directly comparable GAAP financial measure. 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204" w:lineRule="exact"/>
        <w:rPr>
          <w:sz w:val="20"/>
          <w:szCs w:val="20"/>
          <w:color w:val="auto"/>
        </w:rPr>
      </w:pPr>
    </w:p>
    <w:p>
      <w:pPr>
        <w:jc w:val="both"/>
        <w:ind w:left="500" w:hanging="492"/>
        <w:spacing w:after="0" w:line="255"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Tangible shareholders’ equity to tangible assets is considered a non-GAAP financial measure. See the section entitled “Non-GAAP Financial Measures” for a reconciliation of our non-GAAP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as of each of the periods indicated.</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51" w:name="page52"/>
    <w:bookmarkEnd w:id="51"/>
    <w:p>
      <w:pPr>
        <w:jc w:val="both"/>
        <w:ind w:left="500" w:hanging="492"/>
        <w:spacing w:after="0" w:line="296"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Tangible book value per share is considered a non-GAAP financial measure. See the section entitled “Non-GAAP Financial Measures” for a reconciliation of our non-GAAP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of the dates indicated. As a result, tangible book value per share is the same as book value per share at the end of each of the periods indicated.</w:t>
      </w:r>
    </w:p>
    <w:p>
      <w:pPr>
        <w:spacing w:after="0" w:line="161" w:lineRule="exact"/>
        <w:rPr>
          <w:sz w:val="20"/>
          <w:szCs w:val="20"/>
          <w:color w:val="auto"/>
        </w:rPr>
      </w:pPr>
    </w:p>
    <w:p>
      <w:pPr>
        <w:jc w:val="both"/>
        <w:ind w:left="500" w:hanging="492"/>
        <w:spacing w:after="0" w:line="296"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year ended December 31, 2022, our pro forma net income, provision for income taxes, earnings per common share, ROAA, and ROAE are our actual net income, provision for income taxes, earnings per common share, ROAA, and ROAE, respectively, given that the Company was a C Corporation for the entirety of the year. For the year ended December 31, 2021, we calculate our pro forma net income, provision for income taxes, earnings per common share, ROAA, and ROAE using an effective tax rate of 19.80%, which is the actual effective tax rate, excluding the effects of the discrete deferred tax adjustment of $4.6 million, discussed in the section entitled “Provision for Income Taxes” below.</w:t>
      </w:r>
    </w:p>
    <w:p>
      <w:pPr>
        <w:spacing w:after="0" w:line="161"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Cash dividend payout ratio on common stock is calculated as dividends on common shares divided by basic earnings per common share.</w:t>
      </w:r>
    </w:p>
    <w:p>
      <w:pPr>
        <w:spacing w:after="0" w:line="23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 forma ROAA and ROAE are calculated using pro forma net income, with no adjustments to average assets and average equity balances.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of our results of operations compares the year ended December 31, 2022 to the year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average interest-earning assets for the same period. We manage our interest-earning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interest margin of 3.75% for the year ended December 31, 2022 increased from 3.64% for the year ended December 31, 2021. This increase was primarily due to a 47 basis point increase in yields on interest-earning assets, which increased from 3.83% for the year ended December 31, 2021 to 4.30% for the year ended December 31, 2022, partially offset by a 60 basis point increase in rates paid on interest-bearing liabilities, which increased from 0.32% for the year ended December 31, 2021 to 0.92% for the year ended December 31, 2022.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or rates paid for each period reported. The average balances are daily averages and include both performing and nonperforming loans.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6"/>
          </w:tcPr>
          <w:p>
            <w:pPr>
              <w:ind w:left="880"/>
              <w:spacing w:after="0"/>
              <w:rPr>
                <w:sz w:val="20"/>
                <w:szCs w:val="20"/>
                <w:color w:val="auto"/>
              </w:rPr>
            </w:pPr>
            <w:r>
              <w:rPr>
                <w:rFonts w:ascii="Arial" w:cs="Arial" w:eastAsia="Arial" w:hAnsi="Arial"/>
                <w:sz w:val="18"/>
                <w:szCs w:val="18"/>
                <w:b w:val="1"/>
                <w:bCs w:val="1"/>
                <w:color w:val="auto"/>
                <w:w w:val="94"/>
              </w:rPr>
              <w:t>For the year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6"/>
          </w:tcPr>
          <w:p>
            <w:pPr>
              <w:ind w:left="860"/>
              <w:spacing w:after="0"/>
              <w:rPr>
                <w:sz w:val="20"/>
                <w:szCs w:val="20"/>
                <w:color w:val="auto"/>
              </w:rPr>
            </w:pPr>
            <w:r>
              <w:rPr>
                <w:rFonts w:ascii="Arial" w:cs="Arial" w:eastAsia="Arial" w:hAnsi="Arial"/>
                <w:sz w:val="18"/>
                <w:szCs w:val="18"/>
                <w:b w:val="1"/>
                <w:bCs w:val="1"/>
                <w:color w:val="auto"/>
                <w:w w:val="95"/>
              </w:rPr>
              <w:t>For the year ended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3"/>
              </w:rPr>
              <w:t>December 31, 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w w:val="94"/>
              </w:rPr>
              <w:t>December 31,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7"/>
                <w:szCs w:val="17"/>
                <w:color w:val="auto"/>
              </w:rPr>
            </w:pPr>
          </w:p>
        </w:tc>
        <w:tc>
          <w:tcPr>
            <w:tcW w:w="112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Interest</w:t>
            </w:r>
          </w:p>
        </w:tc>
        <w:tc>
          <w:tcPr>
            <w:tcW w:w="9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7"/>
                <w:szCs w:val="17"/>
                <w:color w:val="auto"/>
              </w:rPr>
            </w:pPr>
          </w:p>
        </w:tc>
        <w:tc>
          <w:tcPr>
            <w:tcW w:w="112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Interest</w:t>
            </w:r>
          </w:p>
        </w:tc>
        <w:tc>
          <w:tcPr>
            <w:tcW w:w="9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Income/</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Income/</w:t>
            </w:r>
          </w:p>
        </w:tc>
        <w:tc>
          <w:tcPr>
            <w:tcW w:w="98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260,679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346,522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tcPr>
          <w:p>
            <w:pPr>
              <w:ind w:left="180"/>
              <w:spacing w:after="0" w:line="256" w:lineRule="exact"/>
              <w:rPr>
                <w:sz w:val="20"/>
                <w:szCs w:val="20"/>
                <w:color w:val="auto"/>
              </w:rPr>
            </w:pPr>
            <w:r>
              <w:rPr>
                <w:rFonts w:ascii="Arial" w:cs="Arial" w:eastAsia="Arial" w:hAnsi="Arial"/>
                <w:sz w:val="18"/>
                <w:szCs w:val="18"/>
                <w:color w:val="auto"/>
              </w:rPr>
              <w:t>Loans held for investment and sale</w:t>
            </w:r>
            <w:r>
              <w:rPr>
                <w:rFonts w:ascii="Arial" w:cs="Arial" w:eastAsia="Arial" w:hAnsi="Arial"/>
                <w:sz w:val="23"/>
                <w:szCs w:val="23"/>
                <w:color w:val="auto"/>
                <w:vertAlign w:val="superscript"/>
              </w:rPr>
              <w:t>1, 3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2,353,148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2,745,180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Interest receivable and other assets,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Interest-bearing transaction accounts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0.35 %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Time accounts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203,392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0.32 %</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Subordinated debt and other borrowings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3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1,609,204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0.32 %</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Demand accounts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Interest payable and other liabilities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&amp; shareholders’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90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2"/>
                <w:szCs w:val="22"/>
                <w:color w:val="auto"/>
                <w:vertAlign w:val="superscript"/>
              </w:rPr>
              <w:t>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3.38 %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04"/>
        </w:trPr>
        <w:tc>
          <w:tcPr>
            <w:tcW w:w="390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3"/>
                <w:szCs w:val="23"/>
                <w:color w:val="auto"/>
                <w:vertAlign w:val="superscript"/>
              </w:rPr>
              <w:t>5</w:t>
            </w: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103,070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3.75 %</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77,611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jc w:val="both"/>
        <w:ind w:left="20" w:hanging="8"/>
        <w:spacing w:after="0" w:line="277" w:lineRule="auto"/>
        <w:rPr>
          <w:sz w:val="20"/>
          <w:szCs w:val="20"/>
          <w:color w:val="auto"/>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76" w:lineRule="exact"/>
        <w:rPr>
          <w:sz w:val="20"/>
          <w:szCs w:val="20"/>
          <w:color w:val="auto"/>
        </w:rPr>
      </w:pPr>
    </w:p>
    <w:p>
      <w:pPr>
        <w:jc w:val="both"/>
        <w:ind w:left="20" w:hanging="8"/>
        <w:spacing w:after="0" w:line="277" w:lineRule="auto"/>
        <w:rPr>
          <w:sz w:val="20"/>
          <w:szCs w:val="20"/>
          <w:color w:val="auto"/>
        </w:rPr>
      </w:pPr>
      <w:r>
        <w:rPr>
          <w:rFonts w:ascii="Arial" w:cs="Arial" w:eastAsia="Arial" w:hAnsi="Arial"/>
          <w:sz w:val="18"/>
          <w:szCs w:val="18"/>
          <w:color w:val="auto"/>
        </w:rPr>
        <w:t>Yields on available-for-sale securities are calculated based on fair value. Investment security interest is earned on 30/360 day basis monthly. Yields are not calculated on a tax-equivalent basis.</w:t>
      </w:r>
    </w:p>
    <w:p>
      <w:pPr>
        <w:spacing w:after="0" w:line="89"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142" w:lineRule="exact"/>
        <w:rPr>
          <w:sz w:val="20"/>
          <w:szCs w:val="20"/>
          <w:color w:val="auto"/>
        </w:rPr>
      </w:pPr>
    </w:p>
    <w:p>
      <w:pPr>
        <w:jc w:val="both"/>
        <w:ind w:left="20" w:hanging="8"/>
        <w:spacing w:after="0" w:line="277" w:lineRule="auto"/>
        <w:rPr>
          <w:sz w:val="20"/>
          <w:szCs w:val="20"/>
          <w:color w:val="auto"/>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70" w:lineRule="exact"/>
        <w:rPr>
          <w:sz w:val="20"/>
          <w:szCs w:val="20"/>
          <w:color w:val="auto"/>
        </w:rPr>
      </w:pPr>
    </w:p>
    <w:p>
      <w:pPr>
        <w:sectPr>
          <w:pgSz w:w="11900" w:h="16838" w:orient="portrait"/>
          <w:cols w:equalWidth="0" w:num="2">
            <w:col w:w="60" w:space="420"/>
            <w:col w:w="10760"/>
          </w:cols>
          <w:pgMar w:left="320" w:top="1151" w:right="339" w:bottom="1440" w:gutter="0" w:footer="0" w:header="0"/>
          <w:type w:val="continuous"/>
        </w:sectPr>
      </w:pPr>
    </w:p>
    <w:p>
      <w:pPr>
        <w:jc w:val="both"/>
        <w:spacing w:after="0" w:line="301" w:lineRule="auto"/>
        <w:rPr>
          <w:sz w:val="20"/>
          <w:szCs w:val="20"/>
          <w:color w:val="auto"/>
        </w:rPr>
      </w:pPr>
      <w:r>
        <w:rPr>
          <w:rFonts w:ascii="Arial" w:cs="Arial" w:eastAsia="Arial" w:hAnsi="Arial"/>
          <w:sz w:val="16"/>
          <w:szCs w:val="16"/>
          <w:i w:val="1"/>
          <w:iCs w:val="1"/>
          <w:color w:val="auto"/>
        </w:rPr>
        <w:t xml:space="preserve">Analysis of changes in interest income and expenses. </w:t>
      </w:r>
      <w:r>
        <w:rPr>
          <w:rFonts w:ascii="Arial" w:cs="Arial" w:eastAsia="Arial" w:hAnsi="Arial"/>
          <w:sz w:val="16"/>
          <w:szCs w:val="16"/>
          <w:color w:val="auto"/>
        </w:rPr>
        <w:t>Increases and decreases in interest income and interest expense result from changes in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multiplying the change in average rate by the previous period’s volume. Changes not solely attributable to volume or rates have been allocated in proportion to the respective volume and rate components.</w:t>
      </w:r>
    </w:p>
    <w:p>
      <w:pPr>
        <w:spacing w:after="0" w:line="234"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year ended</w:t>
      </w:r>
    </w:p>
    <w:p>
      <w:pPr>
        <w:spacing w:after="0" w:line="11"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December 31, 2022 compared to</w:t>
      </w:r>
    </w:p>
    <w:p>
      <w:pPr>
        <w:jc w:val="center"/>
        <w:ind w:left="6580"/>
        <w:spacing w:after="0"/>
        <w:rPr>
          <w:sz w:val="20"/>
          <w:szCs w:val="20"/>
          <w:color w:val="auto"/>
        </w:rPr>
      </w:pPr>
      <w:r>
        <w:rPr>
          <w:rFonts w:ascii="Arial" w:cs="Arial" w:eastAsia="Arial" w:hAnsi="Arial"/>
          <w:sz w:val="18"/>
          <w:szCs w:val="18"/>
          <w:b w:val="1"/>
          <w:bCs w:val="1"/>
          <w:color w:val="auto"/>
        </w:rPr>
        <w:t>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21590</wp:posOffset>
            </wp:positionV>
            <wp:extent cx="2948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Variance due to</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4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6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r>
      <w:tr>
        <w:trPr>
          <w:trHeight w:val="237"/>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interest-earning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36,335</w:t>
            </w:r>
          </w:p>
        </w:tc>
      </w:tr>
      <w:tr>
        <w:trPr>
          <w:trHeight w:val="25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6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3,474</w:t>
            </w:r>
          </w:p>
        </w:tc>
      </w:tr>
      <w:tr>
        <w:trPr>
          <w:trHeight w:val="26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37"/>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w:t>
            </w:r>
          </w:p>
        </w:tc>
      </w:tr>
      <w:tr>
        <w:trPr>
          <w:trHeight w:val="248"/>
        </w:trPr>
        <w:tc>
          <w:tcPr>
            <w:tcW w:w="6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interest income and yields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increased during the year ended December 31, 2022, as compared to the year ended December 31, 2021, due to the following:</w:t>
      </w:r>
    </w:p>
    <w:p>
      <w:pPr>
        <w:spacing w:after="0" w:line="156" w:lineRule="exact"/>
        <w:rPr>
          <w:sz w:val="20"/>
          <w:szCs w:val="20"/>
          <w:color w:val="auto"/>
        </w:rPr>
      </w:pPr>
    </w:p>
    <w:p>
      <w:pPr>
        <w:jc w:val="both"/>
        <w:ind w:left="660" w:hanging="328"/>
        <w:spacing w:after="0"/>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The average yields on interest-earning assets were 4.30% and 3.83% for the years ended December 31, 2022 and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yields period-over-period was primarily due to increases in yields earned on loans held for sale and interest-earning deposits with banks.</w:t>
      </w:r>
    </w:p>
    <w:p>
      <w:pPr>
        <w:spacing w:after="0" w:line="121"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Average interest-earning assets increased by approximately $613.9 million period-over-period, driven by new loan originations,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an increase in the average daily balance of loans for the year ended December 31, 2022 and contributed to the increase in interest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interest expense and rates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during the year ended December 31, 2022, as compared to the year ended December 31, 2021, due to the following:</w:t>
      </w:r>
    </w:p>
    <w:p>
      <w:pPr>
        <w:spacing w:after="0" w:line="156" w:lineRule="exact"/>
        <w:rPr>
          <w:sz w:val="20"/>
          <w:szCs w:val="20"/>
          <w:color w:val="auto"/>
        </w:rPr>
      </w:pPr>
    </w:p>
    <w:p>
      <w:pPr>
        <w:jc w:val="both"/>
        <w:ind w:left="660" w:hanging="328"/>
        <w:spacing w:after="0" w:line="23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The average costs of interest-bearing liabilities were 0.92% and 0.32% for the years ended December 31, 2022 and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cost period-over-period was primarily due to increases in the rates paid on interest-bearing deposit accounts, with the most significant increases in interest paid on time and money market accounts, combined with an increase of 300 basis points in the rates paid on FHLB advances during the year ended December 31, 2022, as compared to the prior year. The rate paid on the new subordinated debt issuance remained relatively consistent with prior issuances. Additionally, the cost of funds increased from 0.19% for the year ended December 31, 2021 to 0.57% for the year ended December 31, 2022.</w:t>
      </w:r>
    </w:p>
    <w:p>
      <w:pPr>
        <w:spacing w:after="0" w:line="123"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Average interest-bearing liabilities increased by $362.6 million period-over-period, primarily driven by increases in average balances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all types of interest-bearing deposit accounts, with the most substantial increases in time, interest-bearing transaction, and money market accounts. Additionally, the issuance of $75.0 million of subordinated notes due September 1, 2032 on August 17, 2022 contributed to the increase in average interest-bearing liabilities period-over-period.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earnings in order to maintain our allowance for loan losses, which reflects management’s best estimate of probable losses inherent in our loan portfolio at the balance sheet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 $6.7 million provision for loan losses in the year ended December 31, 2022, compared to a $1.7 million provision for loan losses for the year ended December 31, 2021. The increase of $5.0 million for the provision year-over-year was primarily due to increased reserves based on loan growth and economic conditions during the year ended December 31, 2022, while improved economic conditions related to the impact of the COVID-19 pandemic during the year ended December 31, 2021 provided favorable economic conditions for our borrowers, which resulted in a less significant provision for the period.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adopted the Current Expected Credit Loss (“CECL”) accounting standard effective January 1, 2023. The CECL allowance model calculates reserves over the life of the loan and is largely driven by portfolio characteristics, economic outlook, and other key methodology assumptions versus the current accounting practice that utilizes the incurred loss model. The adoption of this ASU will result in a one-time cumulative-effect adjustment to the allowance for loan losses as of the day of adoption. We currently estimate a combined increase to our allowance for credit losses and reserve for unfunded commitments totaling between $5.0 million to $7.0 million in the aggregate. This change, net of tax benefit, will decrease the opening retained earnings balance as of January 1, 2023. The above range is disclosed due to the fact that we are still in the process of finalizing the CECL allowance mode, including the review of assumptions related to qualitative adjustments and economic forecasts; finalizing the execution of internal controls; and evaluating the impact to our financial statement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BOLI, and other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70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75"/>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80"/>
              <w:spacing w:after="0" w:line="176" w:lineRule="exact"/>
              <w:rPr>
                <w:sz w:val="20"/>
                <w:szCs w:val="20"/>
                <w:color w:val="auto"/>
              </w:rPr>
            </w:pPr>
            <w:r>
              <w:rPr>
                <w:rFonts w:ascii="Arial" w:cs="Arial" w:eastAsia="Arial" w:hAnsi="Arial"/>
                <w:sz w:val="18"/>
                <w:szCs w:val="18"/>
                <w:b w:val="1"/>
                <w:bCs w:val="1"/>
                <w:color w:val="auto"/>
              </w:rPr>
              <w:t>December 31,</w:t>
            </w: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70"/>
              <w:spacing w:after="0" w:line="176"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10.14 %</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Net gain on sale of securities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(99.31)%</w:t>
            </w: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loans</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Loan-related fees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68.99 %</w:t>
            </w: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 stock dividends</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46.77 %</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Earnings on BOLI</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73.84 %</w:t>
            </w:r>
          </w:p>
        </w:tc>
      </w:tr>
      <w:tr>
        <w:trPr>
          <w:trHeight w:val="257"/>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334.07 %</w:t>
            </w: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Net gain on sale of securities. </w:t>
      </w:r>
      <w:r>
        <w:rPr>
          <w:rFonts w:ascii="Arial" w:cs="Arial" w:eastAsia="Arial" w:hAnsi="Arial"/>
          <w:sz w:val="16"/>
          <w:szCs w:val="16"/>
          <w:color w:val="auto"/>
        </w:rPr>
        <w:t>The decrease in net gain on sale of securities resulted primarily from the sale of approximately $47.1 million of municipal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U.S. government agency securities, and U.S. Treasuries during the year ended December 31, 2021, resulting in a $0.7 million gain, compared to the sale of approximately $1.6 million of municipal securities, resulting in a gain of $5.0 thousand during the year ended December 31, 2022.</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Gain on sale of loans. </w:t>
      </w:r>
      <w:r>
        <w:rPr>
          <w:rFonts w:ascii="Arial" w:cs="Arial" w:eastAsia="Arial" w:hAnsi="Arial"/>
          <w:sz w:val="16"/>
          <w:szCs w:val="16"/>
          <w:color w:val="auto"/>
        </w:rPr>
        <w:t>The decrease in gain on sale of loans related primarily to an overall decline in the effective yields on loans sold due to uncertainty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timing and magnitude of rising interest rates during the year ended December 31, 2022 compared to the year ended December 31, 2021. During the year ended December 31, 2022, approximately $50.8 million of loans were sold with an effective yield of 5.78%, as compared to approximately $41.4 million of loans sold with an effective yield of 9.46% during the year ended December 31, 2021. Additionally, a $1.8 million consumer loan portfolio was sold for a net gain of approximately $0.2 million during the year ended December 31, 2021, which did not occur during the year ended December 31, 2022.</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Loan-related fees. </w:t>
      </w:r>
      <w:r>
        <w:rPr>
          <w:rFonts w:ascii="Arial" w:cs="Arial" w:eastAsia="Arial" w:hAnsi="Arial"/>
          <w:sz w:val="18"/>
          <w:szCs w:val="18"/>
          <w:color w:val="auto"/>
        </w:rPr>
        <w:t>The increase in loan-related fees was primarily a result of: (i) an increase of $0.6 million in swap referral fees; (ii) an increase of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program fees earned for loans originated and serviced by a third party; and (iii) a $0.2 million increase in other fee income recognized in the year ended December 31, 2022 compared to the year 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8"/>
          <w:szCs w:val="18"/>
          <w:color w:val="auto"/>
        </w:rPr>
        <w:t>December 31, 2021. These increases were partially offset by a decline of $0.1 million in loan referral income recognized during the year ended December 31, 2022 compared to the year ended December 31, 2021.</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FHLB stock dividends</w:t>
      </w:r>
      <w:r>
        <w:rPr>
          <w:rFonts w:ascii="Arial" w:cs="Arial" w:eastAsia="Arial" w:hAnsi="Arial"/>
          <w:sz w:val="18"/>
          <w:szCs w:val="18"/>
          <w:color w:val="auto"/>
        </w:rPr>
        <w:t>. The increase in FHLB stock dividends primarily relates to an increase in FHLB Class B shares held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compared to the year ended December 31, 2021.</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i w:val="1"/>
          <w:iCs w:val="1"/>
          <w:color w:val="auto"/>
        </w:rPr>
        <w:t>Earnings on BOLI</w:t>
      </w:r>
      <w:r>
        <w:rPr>
          <w:rFonts w:ascii="Arial" w:cs="Arial" w:eastAsia="Arial" w:hAnsi="Arial"/>
          <w:sz w:val="16"/>
          <w:szCs w:val="16"/>
          <w:color w:val="auto"/>
        </w:rPr>
        <w:t>. The increase in earnings on BOLI related primarily due to an additional BOLI policy purchased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Earnings on this policy were only recognized during the year ended December 31, 2022, and did not occur during the year ended December 31, 2021.</w:t>
      </w:r>
    </w:p>
    <w:p>
      <w:pPr>
        <w:spacing w:after="0" w:line="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The increase in other income resulted primarily from a $0.4 million gain recorded on two distributions received on investments in two</w:t>
      </w:r>
      <w:r>
        <w:rPr>
          <w:rFonts w:ascii="Arial" w:cs="Arial" w:eastAsia="Arial" w:hAnsi="Arial"/>
          <w:sz w:val="18"/>
          <w:szCs w:val="18"/>
          <w:i w:val="1"/>
          <w:iCs w:val="1"/>
          <w:color w:val="auto"/>
        </w:rPr>
        <w:t xml:space="preserve"> </w:t>
      </w:r>
      <w:r>
        <w:rPr>
          <w:rFonts w:ascii="Arial" w:cs="Arial" w:eastAsia="Arial" w:hAnsi="Arial"/>
          <w:sz w:val="18"/>
          <w:szCs w:val="18"/>
          <w:color w:val="auto"/>
        </w:rPr>
        <w:t>venture-backed funds during the year ended December 31, 2022, which did not occur during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our efficiency ratio. The efficiency ratio is calculated as non-interest expense divided by the sum of net interest income and non-interest income. We constantly seek to identify ways to streamline our business and operate more efficiently, which has enabled us to reduce our non-interest expense as a percentage of our revenue while continuing to achieve growth in total loans and assets.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the past several years, we have invested significant resources in personnel and infrastructure. Additionally, to support corporate organizational matters leading up to the IPO, we experienced increased audit, consulting, and legal costs, particularly during the year ended December 31, 2021. As a result, professional services expenses increased during the year ended December 31, 2021. We do not anticipate incurring significant costs of this type in future periods, and we expect our efficiency ratio will improve going forward due, in part, to our past investment in infrastructure.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70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75"/>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80"/>
              <w:spacing w:after="0" w:line="176" w:lineRule="exact"/>
              <w:rPr>
                <w:sz w:val="20"/>
                <w:szCs w:val="20"/>
                <w:color w:val="auto"/>
              </w:rPr>
            </w:pPr>
            <w:r>
              <w:rPr>
                <w:rFonts w:ascii="Arial" w:cs="Arial" w:eastAsia="Arial" w:hAnsi="Arial"/>
                <w:sz w:val="18"/>
                <w:szCs w:val="18"/>
                <w:b w:val="1"/>
                <w:bCs w:val="1"/>
                <w:color w:val="auto"/>
              </w:rPr>
              <w:t>December 31,</w:t>
            </w: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70"/>
              <w:spacing w:after="0" w:line="176"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13.85 %</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Occupancy and equipment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6.24 %</w:t>
            </w: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processing and software</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23.94 %</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FDIC insurance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21.43 %</w:t>
            </w: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Advertising and promotional</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46.77 %</w:t>
            </w: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expenses</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23.16 %</w:t>
            </w:r>
          </w:p>
        </w:tc>
      </w:tr>
      <w:tr>
        <w:trPr>
          <w:trHeight w:val="25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30.05 %</w:t>
            </w:r>
          </w:p>
        </w:tc>
      </w:tr>
      <w:tr>
        <w:trPr>
          <w:trHeight w:val="255"/>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Salaries and employee benefits. </w:t>
      </w:r>
      <w:r>
        <w:rPr>
          <w:rFonts w:ascii="Arial" w:cs="Arial" w:eastAsia="Arial" w:hAnsi="Arial"/>
          <w:sz w:val="16"/>
          <w:szCs w:val="16"/>
          <w:color w:val="auto"/>
        </w:rPr>
        <w:t>The increase in salaries and employee benefits was primarily a result of a $3.6 million increase in salaries, insurance,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as a result of a 9.20% increase in headcount and a $0.2 million increase in commissions expense related to increased production during the year ended December 31, 2022, as compared to the year ended December 31, 2021. The increase was partially offset by an increase in loan origination costs of $1.0 million due to increased production during the year ended December 31, 2022, as compared to the year ended December 31, 2021.</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Occupancy and equipment</w:t>
      </w:r>
      <w:r>
        <w:rPr>
          <w:rFonts w:ascii="Arial" w:cs="Arial" w:eastAsia="Arial" w:hAnsi="Arial"/>
          <w:sz w:val="18"/>
          <w:szCs w:val="18"/>
          <w:color w:val="auto"/>
        </w:rPr>
        <w:t>. The increase in occupancy and equipment was primarily the result of an overall increase in depreciation recognized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furniture, fixtures, and equipment that were purchased to support the 9.20% increase in headcount described above, combined with an overall increase in occupancy expenses period-over-period.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Data processing and software</w:t>
      </w:r>
      <w:r>
        <w:rPr>
          <w:rFonts w:ascii="Arial" w:cs="Arial" w:eastAsia="Arial" w:hAnsi="Arial"/>
          <w:sz w:val="18"/>
          <w:szCs w:val="18"/>
          <w:color w:val="auto"/>
        </w:rPr>
        <w:t>. The increase in data processing and software expenditures related primarily to: (i) increased usage of our digital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(ii) higher transaction volumes related to the increased number of loan and deposit accounts; and (iii) increased number of licenses required for new users on our loan origination and documentation system.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18"/>
          <w:szCs w:val="18"/>
          <w:i w:val="1"/>
          <w:iCs w:val="1"/>
          <w:color w:val="auto"/>
        </w:rPr>
        <w:t xml:space="preserve">FDIC insurance. </w:t>
      </w:r>
      <w:r>
        <w:rPr>
          <w:rFonts w:ascii="Arial" w:cs="Arial" w:eastAsia="Arial" w:hAnsi="Arial"/>
          <w:sz w:val="18"/>
          <w:szCs w:val="18"/>
          <w:color w:val="auto"/>
        </w:rPr>
        <w:t>The increase in FDIC insurance related primarily to an increase in the FDIC assessment base and asset growth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compared to the year ended December 31, 2021.</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decreased, primarily as a result of expenses recognized during the year ended December 31, 2021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audit, consulting, and legal costs incurred to support corporate organizational matters leading up to the Company's IPO in May 2021, which did not recur during the year ended December 31, 2022.</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Advertising and promotional. </w:t>
      </w:r>
      <w:r>
        <w:rPr>
          <w:rFonts w:ascii="Arial" w:cs="Arial" w:eastAsia="Arial" w:hAnsi="Arial"/>
          <w:sz w:val="18"/>
          <w:szCs w:val="18"/>
          <w:color w:val="auto"/>
        </w:rPr>
        <w:t>The increase in advertising and promotional costs was primarily related to increases in business development,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sponsorship expenses due to more in-person participation in events held during the year ended December 31, 2022, as compared to the year ended December 31, 2021.</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Loan-related expenses. </w:t>
      </w:r>
      <w:r>
        <w:rPr>
          <w:rFonts w:ascii="Arial" w:cs="Arial" w:eastAsia="Arial" w:hAnsi="Arial"/>
          <w:sz w:val="18"/>
          <w:szCs w:val="18"/>
          <w:color w:val="auto"/>
        </w:rPr>
        <w:t>The increase in loan-related expenses related primarily to: (i) $0.1 million of increased UCC filing fees to support consumer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and (ii) an overall increase in expenses incurred for insurance and taxes, loan legal fees, environmental reports, and inspections to support loan production for the year ended December 31, 2022 compared to the year ended December 31, 2021.</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The increase in other operating expenses includes a $0.3 million increase related to previously unamortized subordinated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recognized as an other expense upon redemption of the subordinated notes in December 2022. The remainder of the increase related to: (i) $0.7 million for expenses incurred for travel and fees paid for attendance of professional events, conferences, and other business-related events; (ii) $0.3 million of increased bank charges incurred related to correspondent bank and letter of credit fees incurred to support operations; and (iii) $0.2 million of increased insurance expenses during the year ended December 31, 2022, as compared to the year ended December 31, 2021. The remainder of the change related to an overall increase in expenses to support the growth in customers period-over-period.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terminated its status as a Subchapter S corporation as of May 5, 2021, in connection with its IPO, and became a C Corporation. Prior to that date, as an S Corporation, the Company had no U.S. federal income tax expense. The provision recorded for the year ended December 31, 2022 yielded an effective tax rate of 28.73%. Refer to the section entitled “Pro Forma C Corporation Income Tax Expense” below for a discussion on what the Company’s income tax expense and net income potentially could have been had the Company been taxed as a C Corporation for the year ended December 31, 2021.</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termination of the Subchapter S corporation status as of May 5, 2021,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by increasing the net deferred tax asset to $5.4 million through a reduction to the provision for income taxes of $4.6 million during the year ended December 31, 2021.</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Provision for income taxes increased by $13.4 million, or 283.62%, to $18.1 million for the year ended December 31, 2022, as compared to $4.7 million for the year ended December 31, 2021. This increase is due to an increase in taxable income, combined with an increase in the effective tax rate for each period, from 9.98% to 28.73% during the years ended December 31, 2021 and December 31, 2022, respectively. The lower tax rate used during the year ended December 31, 2021 was the result of the Company's termination of its Subchapter S Corporation status as of May 5,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 Corporation Income Tax Expense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the Company’s status as a Subchapter S Corporation prior to May 5, 2021, no U.S. federal income tax expense was recorded for a portion of the year ended December 31, 2021. Had the Company been taxed as a C Corporation and paid U.S. federal income tax for the entirety of that period, the combined statutory income tax rate would have been 29.56%. For the year ended December 31, 2021, the pro forma statutory rate reflects a U.S. federal income tax rate of 21.00% and a California state income tax rate of 8.56%, after adjustment for the federal tax benefit, on corporate taxable income. The pro forma statutory rate for the year ended December 31, 2021 was calculated using an effective tax rate of 19.80%, which is the actual effective tax rate, excluding the effects of the discrete deferred tax adjustment of $4.6 million, discussed above. As a result, the Company’s pro forma provision for income taxes and pro forma net income for the year ended December 31, 2021 were $9.3 million and $37.8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compares our financial condition as of December 31, 2022 to our financial condition as of December 31, 2021. The following table summarizes selected components of our consolidated balance sheet as of December 31, 2022 and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9"/>
        </w:trPr>
        <w:tc>
          <w:tcPr>
            <w:tcW w:w="7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4"/>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3,227,159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2,556,761</w:t>
            </w:r>
          </w:p>
        </w:tc>
        <w:tc>
          <w:tcPr>
            <w:tcW w:w="0" w:type="dxa"/>
            <w:vAlign w:val="bottom"/>
          </w:tcPr>
          <w:p>
            <w:pPr>
              <w:spacing w:after="0"/>
              <w:rPr>
                <w:sz w:val="1"/>
                <w:szCs w:val="1"/>
                <w:color w:val="auto"/>
              </w:rPr>
            </w:pP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259,991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425,329</w:t>
            </w: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153,753</w:t>
            </w:r>
          </w:p>
        </w:tc>
        <w:tc>
          <w:tcPr>
            <w:tcW w:w="0" w:type="dxa"/>
            <w:vAlign w:val="bottom"/>
          </w:tcPr>
          <w:p>
            <w:pPr>
              <w:spacing w:after="0"/>
              <w:rPr>
                <w:sz w:val="1"/>
                <w:szCs w:val="1"/>
                <w:color w:val="auto"/>
              </w:rPr>
            </w:pP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Loans held for investment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2,791,326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1,934,460</w:t>
            </w: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2,285,890</w:t>
            </w:r>
          </w:p>
        </w:tc>
        <w:tc>
          <w:tcPr>
            <w:tcW w:w="0" w:type="dxa"/>
            <w:vAlign w:val="bottom"/>
          </w:tcPr>
          <w:p>
            <w:pPr>
              <w:spacing w:after="0"/>
              <w:rPr>
                <w:sz w:val="1"/>
                <w:szCs w:val="1"/>
                <w:color w:val="auto"/>
              </w:rPr>
            </w:pP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Subordinated notes,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73,606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28,386</w:t>
            </w: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2022, total assets were $3.2 billion, an increase of $670.4 million from $2.6 billion at December 31, 2021, primarily due to increases in total loans held for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cash and cash equivalents were $260.0 million at December 31, 2022, a decrease of $165.3 million, as compared to $425.3 million at December 31, 2021. The change primarily resulted from originations of loans held for investment, net of repayments, of $848.3 million, originations of loans held for sale of $60.2 million, the redemption of subordinated notes for $28.8 million, and dividend payments of $15.3 million. These outlays were partially offset by an increase in deposits of $496.1 million, FHLB borrowings of $100.0 million, an issuance of $75.0 million of subordinated notes in August 2022, proceeds from loans held for sale of $53.7 million, maturities, prepayments, calls of securities available-for-sale of $15.5 million, and net income of $44.8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primarily comprised of U.S. government agencies,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securities available-for-sale and held to maturity amounted to $119.7 million at December 31, 2022 and $153.8 million at December 31, 2021, a decrease of $34.1 million year-over-year. The decrease was primarily due to an unrealized loss (tax-effected) on securities of $12.9 million, primarily in our mortgage-backed and municipal securities portfolios, resulting in tax-effected decreases to those portfolios of $7.6 million and $6.6 million, respectively. This unrealized loss was recognized as a result of interest rate increases that occurred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The following table presents the carrying value of our securities by their stated maturities, as well as the weighted average yields for each maturity range,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(dollars in thousands)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360" w:right="320" w:hanging="161"/>
        <w:spacing w:after="0" w:line="272" w:lineRule="auto"/>
        <w:rPr>
          <w:sz w:val="20"/>
          <w:szCs w:val="20"/>
          <w:color w:val="auto"/>
        </w:rPr>
      </w:pPr>
      <w:r>
        <w:rPr>
          <w:rFonts w:ascii="Arial" w:cs="Arial" w:eastAsia="Arial" w:hAnsi="Arial"/>
          <w:sz w:val="16"/>
          <w:szCs w:val="16"/>
          <w:color w:val="auto"/>
        </w:rPr>
        <w:t>U.S. government agencies</w:t>
      </w:r>
    </w:p>
    <w:p>
      <w:pPr>
        <w:spacing w:after="0" w:line="1" w:lineRule="exact"/>
        <w:rPr>
          <w:sz w:val="20"/>
          <w:szCs w:val="20"/>
          <w:color w:val="auto"/>
        </w:rPr>
      </w:pPr>
    </w:p>
    <w:p>
      <w:pPr>
        <w:ind w:left="360" w:right="280" w:hanging="161"/>
        <w:spacing w:after="0" w:line="272" w:lineRule="auto"/>
        <w:rPr>
          <w:sz w:val="20"/>
          <w:szCs w:val="20"/>
          <w:color w:val="auto"/>
        </w:rPr>
      </w:pPr>
      <w:r>
        <w:rPr>
          <w:rFonts w:ascii="Arial" w:cs="Arial" w:eastAsia="Arial" w:hAnsi="Arial"/>
          <w:sz w:val="16"/>
          <w:szCs w:val="16"/>
          <w:color w:val="auto"/>
        </w:rPr>
        <w:t>Mortgage-backed securities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Obligations of states</w:t>
      </w:r>
    </w:p>
    <w:p>
      <w:pPr>
        <w:ind w:left="360"/>
        <w:spacing w:after="0" w:line="213" w:lineRule="auto"/>
        <w:rPr>
          <w:sz w:val="20"/>
          <w:szCs w:val="20"/>
          <w:color w:val="auto"/>
        </w:rPr>
      </w:pPr>
      <w:r>
        <w:rPr>
          <w:rFonts w:ascii="Arial" w:cs="Arial" w:eastAsia="Arial" w:hAnsi="Arial"/>
          <w:sz w:val="18"/>
          <w:szCs w:val="18"/>
          <w:color w:val="auto"/>
        </w:rPr>
        <w:t>and political</w:t>
      </w:r>
    </w:p>
    <w:p>
      <w:pPr>
        <w:ind w:left="360"/>
        <w:spacing w:after="0"/>
        <w:rPr>
          <w:sz w:val="20"/>
          <w:szCs w:val="20"/>
          <w:color w:val="auto"/>
        </w:rPr>
      </w:pPr>
      <w:r>
        <w:rPr>
          <w:rFonts w:ascii="Arial" w:cs="Arial" w:eastAsia="Arial" w:hAnsi="Arial"/>
          <w:sz w:val="18"/>
          <w:szCs w:val="18"/>
          <w:color w:val="auto"/>
        </w:rPr>
        <w:t>subdivisions</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Collateralized</w:t>
      </w:r>
    </w:p>
    <w:p>
      <w:pPr>
        <w:ind w:left="360"/>
        <w:spacing w:after="0" w:line="203" w:lineRule="auto"/>
        <w:rPr>
          <w:sz w:val="20"/>
          <w:szCs w:val="20"/>
          <w:color w:val="auto"/>
        </w:rPr>
      </w:pPr>
      <w:r>
        <w:rPr>
          <w:rFonts w:ascii="Arial" w:cs="Arial" w:eastAsia="Arial" w:hAnsi="Arial"/>
          <w:sz w:val="18"/>
          <w:szCs w:val="18"/>
          <w:color w:val="auto"/>
        </w:rPr>
        <w:t>mortgage</w:t>
      </w:r>
    </w:p>
    <w:p>
      <w:pPr>
        <w:ind w:left="36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Corporate bonds</w:t>
      </w:r>
    </w:p>
    <w:p>
      <w:pPr>
        <w:spacing w:after="0" w:line="36" w:lineRule="exact"/>
        <w:rPr>
          <w:sz w:val="20"/>
          <w:szCs w:val="20"/>
          <w:color w:val="auto"/>
        </w:rPr>
      </w:pPr>
    </w:p>
    <w:p>
      <w:pPr>
        <w:ind w:left="360"/>
        <w:spacing w:after="0" w:line="246" w:lineRule="auto"/>
        <w:rPr>
          <w:sz w:val="20"/>
          <w:szCs w:val="20"/>
          <w:color w:val="auto"/>
        </w:rPr>
      </w:pPr>
      <w:r>
        <w:rPr>
          <w:rFonts w:ascii="Arial" w:cs="Arial" w:eastAsia="Arial" w:hAnsi="Arial"/>
          <w:sz w:val="18"/>
          <w:szCs w:val="18"/>
          <w:color w:val="auto"/>
        </w:rPr>
        <w:t>Total available-for-sale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9"/>
              </w:rPr>
              <w:t>Due in one year</w:t>
            </w: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Due after one</w:t>
            </w:r>
          </w:p>
        </w:tc>
        <w:tc>
          <w:tcPr>
            <w:tcW w:w="18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Due after five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80" w:type="dxa"/>
            <w:vAlign w:val="bottom"/>
            <w:gridSpan w:val="4"/>
            <w:vMerge w:val="continue"/>
          </w:tcPr>
          <w:p>
            <w:pPr>
              <w:spacing w:after="0"/>
              <w:rPr>
                <w:sz w:val="15"/>
                <w:szCs w:val="15"/>
                <w:color w:val="auto"/>
              </w:rPr>
            </w:pPr>
          </w:p>
        </w:tc>
        <w:tc>
          <w:tcPr>
            <w:tcW w:w="190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year through five</w:t>
            </w:r>
          </w:p>
        </w:tc>
        <w:tc>
          <w:tcPr>
            <w:tcW w:w="1880" w:type="dxa"/>
            <w:vAlign w:val="bottom"/>
            <w:gridSpan w:val="4"/>
          </w:tcPr>
          <w:p>
            <w:pPr>
              <w:jc w:val="center"/>
              <w:ind w:right="80"/>
              <w:spacing w:after="0" w:line="181" w:lineRule="exact"/>
              <w:rPr>
                <w:sz w:val="20"/>
                <w:szCs w:val="20"/>
                <w:color w:val="auto"/>
              </w:rPr>
            </w:pPr>
            <w:r>
              <w:rPr>
                <w:rFonts w:ascii="Arial" w:cs="Arial" w:eastAsia="Arial" w:hAnsi="Arial"/>
                <w:sz w:val="18"/>
                <w:szCs w:val="18"/>
                <w:b w:val="1"/>
                <w:bCs w:val="1"/>
                <w:color w:val="auto"/>
                <w:w w:val="89"/>
              </w:rPr>
              <w:t>years through ten</w:t>
            </w:r>
          </w:p>
        </w:tc>
        <w:tc>
          <w:tcPr>
            <w:tcW w:w="190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Due after ten years</w:t>
            </w:r>
          </w:p>
        </w:tc>
        <w:tc>
          <w:tcPr>
            <w:tcW w:w="1800" w:type="dxa"/>
            <w:vAlign w:val="bottom"/>
            <w:gridSpan w:val="3"/>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2"/>
              </w:rPr>
              <w:t>or less</w:t>
            </w:r>
          </w:p>
        </w:tc>
        <w:tc>
          <w:tcPr>
            <w:tcW w:w="19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years</w:t>
            </w:r>
          </w:p>
        </w:tc>
        <w:tc>
          <w:tcPr>
            <w:tcW w:w="18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4"/>
              </w:rPr>
              <w:t>years</w:t>
            </w:r>
          </w:p>
        </w:tc>
        <w:tc>
          <w:tcPr>
            <w:tcW w:w="1900" w:type="dxa"/>
            <w:vAlign w:val="bottom"/>
            <w:gridSpan w:val="4"/>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628"/>
        </w:trPr>
        <w:tc>
          <w:tcPr>
            <w:tcW w:w="7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$849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2,625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3.61 %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$ 10,699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$ 14,173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418"/>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6.94 %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61,269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594"/>
        </w:trPr>
        <w:tc>
          <w:tcPr>
            <w:tcW w:w="780" w:type="dxa"/>
            <w:vAlign w:val="bottom"/>
          </w:tcPr>
          <w:p>
            <w:pPr>
              <w:jc w:val="right"/>
              <w:spacing w:after="0"/>
              <w:rPr>
                <w:sz w:val="20"/>
                <w:szCs w:val="20"/>
                <w:color w:val="auto"/>
              </w:rPr>
            </w:pPr>
            <w:r>
              <w:rPr>
                <w:rFonts w:ascii="Arial" w:cs="Arial" w:eastAsia="Arial" w:hAnsi="Arial"/>
                <w:sz w:val="18"/>
                <w:szCs w:val="18"/>
                <w:color w:val="auto"/>
              </w:rPr>
              <w:t>501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4,761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594"/>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6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rPr>
              <w:t>501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115,988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-1439545</wp:posOffset>
            </wp:positionV>
            <wp:extent cx="713232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-796290</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-256540</wp:posOffset>
            </wp:positionV>
            <wp:extent cx="713232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171450</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-1859280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1740" w:space="140"/>
            <w:col w:w="9360"/>
          </w:cols>
          <w:pgMar w:left="320" w:top="1057" w:right="339" w:bottom="1440" w:gutter="0" w:footer="0" w:header="0"/>
          <w:type w:val="continuous"/>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Held-to-maturity: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Obligations of states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and political</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1,470</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3,756</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subdivisions</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$106,381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$ 119,744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color w:val="auto"/>
        </w:rPr>
        <w:t>The following table presents the carrying value of our securities by their stated maturities, as well as the weighted average yields for each maturity range,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(dollars in thousands)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360" w:right="320" w:hanging="161"/>
        <w:spacing w:after="0" w:line="272" w:lineRule="auto"/>
        <w:rPr>
          <w:sz w:val="20"/>
          <w:szCs w:val="20"/>
          <w:color w:val="auto"/>
        </w:rPr>
      </w:pPr>
      <w:r>
        <w:rPr>
          <w:rFonts w:ascii="Arial" w:cs="Arial" w:eastAsia="Arial" w:hAnsi="Arial"/>
          <w:sz w:val="16"/>
          <w:szCs w:val="16"/>
          <w:color w:val="auto"/>
        </w:rPr>
        <w:t>U.S. government agencies</w:t>
      </w:r>
    </w:p>
    <w:p>
      <w:pPr>
        <w:spacing w:after="0" w:line="1" w:lineRule="exact"/>
        <w:rPr>
          <w:sz w:val="20"/>
          <w:szCs w:val="20"/>
          <w:color w:val="auto"/>
        </w:rPr>
      </w:pPr>
    </w:p>
    <w:p>
      <w:pPr>
        <w:ind w:left="360" w:right="280" w:hanging="161"/>
        <w:spacing w:after="0" w:line="272" w:lineRule="auto"/>
        <w:rPr>
          <w:sz w:val="20"/>
          <w:szCs w:val="20"/>
          <w:color w:val="auto"/>
        </w:rPr>
      </w:pPr>
      <w:r>
        <w:rPr>
          <w:rFonts w:ascii="Arial" w:cs="Arial" w:eastAsia="Arial" w:hAnsi="Arial"/>
          <w:sz w:val="16"/>
          <w:szCs w:val="16"/>
          <w:color w:val="auto"/>
        </w:rPr>
        <w:t>Mortgage-backed securities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Obligations of states</w:t>
      </w:r>
    </w:p>
    <w:p>
      <w:pPr>
        <w:ind w:left="360"/>
        <w:spacing w:after="0" w:line="213" w:lineRule="auto"/>
        <w:rPr>
          <w:sz w:val="20"/>
          <w:szCs w:val="20"/>
          <w:color w:val="auto"/>
        </w:rPr>
      </w:pPr>
      <w:r>
        <w:rPr>
          <w:rFonts w:ascii="Arial" w:cs="Arial" w:eastAsia="Arial" w:hAnsi="Arial"/>
          <w:sz w:val="18"/>
          <w:szCs w:val="18"/>
          <w:color w:val="auto"/>
        </w:rPr>
        <w:t>and political</w:t>
      </w:r>
    </w:p>
    <w:p>
      <w:pPr>
        <w:ind w:left="360"/>
        <w:spacing w:after="0"/>
        <w:rPr>
          <w:sz w:val="20"/>
          <w:szCs w:val="20"/>
          <w:color w:val="auto"/>
        </w:rPr>
      </w:pPr>
      <w:r>
        <w:rPr>
          <w:rFonts w:ascii="Arial" w:cs="Arial" w:eastAsia="Arial" w:hAnsi="Arial"/>
          <w:sz w:val="18"/>
          <w:szCs w:val="18"/>
          <w:color w:val="auto"/>
        </w:rPr>
        <w:t>subdivisions</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Collateralized</w:t>
      </w:r>
    </w:p>
    <w:p>
      <w:pPr>
        <w:ind w:left="360"/>
        <w:spacing w:after="0" w:line="203" w:lineRule="auto"/>
        <w:rPr>
          <w:sz w:val="20"/>
          <w:szCs w:val="20"/>
          <w:color w:val="auto"/>
        </w:rPr>
      </w:pPr>
      <w:r>
        <w:rPr>
          <w:rFonts w:ascii="Arial" w:cs="Arial" w:eastAsia="Arial" w:hAnsi="Arial"/>
          <w:sz w:val="18"/>
          <w:szCs w:val="18"/>
          <w:color w:val="auto"/>
        </w:rPr>
        <w:t>mortgage</w:t>
      </w:r>
    </w:p>
    <w:p>
      <w:pPr>
        <w:ind w:left="36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Corporate bonds</w:t>
      </w:r>
    </w:p>
    <w:p>
      <w:pPr>
        <w:spacing w:after="0" w:line="36" w:lineRule="exact"/>
        <w:rPr>
          <w:sz w:val="20"/>
          <w:szCs w:val="20"/>
          <w:color w:val="auto"/>
        </w:rPr>
      </w:pPr>
    </w:p>
    <w:p>
      <w:pPr>
        <w:ind w:left="360"/>
        <w:spacing w:after="0" w:line="246" w:lineRule="auto"/>
        <w:rPr>
          <w:sz w:val="20"/>
          <w:szCs w:val="20"/>
          <w:color w:val="auto"/>
        </w:rPr>
      </w:pPr>
      <w:r>
        <w:rPr>
          <w:rFonts w:ascii="Arial" w:cs="Arial" w:eastAsia="Arial" w:hAnsi="Arial"/>
          <w:sz w:val="18"/>
          <w:szCs w:val="18"/>
          <w:color w:val="auto"/>
        </w:rPr>
        <w:t>Total available-for-sale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9"/>
              </w:rPr>
              <w:t>Due in one year</w:t>
            </w: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Due after one</w:t>
            </w:r>
          </w:p>
        </w:tc>
        <w:tc>
          <w:tcPr>
            <w:tcW w:w="18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Due after five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80" w:type="dxa"/>
            <w:vAlign w:val="bottom"/>
            <w:gridSpan w:val="4"/>
            <w:vMerge w:val="continue"/>
          </w:tcPr>
          <w:p>
            <w:pPr>
              <w:spacing w:after="0"/>
              <w:rPr>
                <w:sz w:val="15"/>
                <w:szCs w:val="15"/>
                <w:color w:val="auto"/>
              </w:rPr>
            </w:pPr>
          </w:p>
        </w:tc>
        <w:tc>
          <w:tcPr>
            <w:tcW w:w="190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year through five</w:t>
            </w:r>
          </w:p>
        </w:tc>
        <w:tc>
          <w:tcPr>
            <w:tcW w:w="1880" w:type="dxa"/>
            <w:vAlign w:val="bottom"/>
            <w:gridSpan w:val="4"/>
          </w:tcPr>
          <w:p>
            <w:pPr>
              <w:jc w:val="center"/>
              <w:ind w:right="80"/>
              <w:spacing w:after="0" w:line="181" w:lineRule="exact"/>
              <w:rPr>
                <w:sz w:val="20"/>
                <w:szCs w:val="20"/>
                <w:color w:val="auto"/>
              </w:rPr>
            </w:pPr>
            <w:r>
              <w:rPr>
                <w:rFonts w:ascii="Arial" w:cs="Arial" w:eastAsia="Arial" w:hAnsi="Arial"/>
                <w:sz w:val="18"/>
                <w:szCs w:val="18"/>
                <w:b w:val="1"/>
                <w:bCs w:val="1"/>
                <w:color w:val="auto"/>
                <w:w w:val="89"/>
              </w:rPr>
              <w:t>years through ten</w:t>
            </w:r>
          </w:p>
        </w:tc>
        <w:tc>
          <w:tcPr>
            <w:tcW w:w="190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Due after ten years</w:t>
            </w:r>
          </w:p>
        </w:tc>
        <w:tc>
          <w:tcPr>
            <w:tcW w:w="1800" w:type="dxa"/>
            <w:vAlign w:val="bottom"/>
            <w:gridSpan w:val="3"/>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2"/>
              </w:rPr>
              <w:t>or less</w:t>
            </w:r>
          </w:p>
        </w:tc>
        <w:tc>
          <w:tcPr>
            <w:tcW w:w="19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years</w:t>
            </w:r>
          </w:p>
        </w:tc>
        <w:tc>
          <w:tcPr>
            <w:tcW w:w="18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4"/>
              </w:rPr>
              <w:t>years</w:t>
            </w:r>
          </w:p>
        </w:tc>
        <w:tc>
          <w:tcPr>
            <w:tcW w:w="1900" w:type="dxa"/>
            <w:vAlign w:val="bottom"/>
            <w:gridSpan w:val="4"/>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628"/>
        </w:trPr>
        <w:tc>
          <w:tcPr>
            <w:tcW w:w="7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  1,591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3,814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0.69 %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$ 14,277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$ 19,682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r>
        <w:trPr>
          <w:trHeight w:val="418"/>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6.90 %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594"/>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594"/>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6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391"/>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4,048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-1439545</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-796290</wp:posOffset>
            </wp:positionV>
            <wp:extent cx="7132320"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-256540</wp:posOffset>
            </wp:positionV>
            <wp:extent cx="713232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171450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-1859280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1740" w:space="140"/>
            <w:col w:w="9360"/>
          </w:cols>
          <w:pgMar w:left="320" w:top="1057" w:right="339" w:bottom="1440" w:gutter="0" w:footer="0" w:header="0"/>
          <w:type w:val="continuous"/>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Held-to-maturity: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Obligations of states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and political</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491</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3,504</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6.00 %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4,946</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subdivisions</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$ 11,069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$137,194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$153,753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yield for securities available-for-sale is the projected yield to maturity given current cash flow projections for U.S. government agencies, mortgage-backed securities, and collateralized mortgage obligations and is a yield to worst for callable municipal securities and corporate bonds. Weighted average yield for securities held-to-maturity is the stated coupon of the bond.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60" w:name="page61"/>
    <w:bookmarkEnd w:id="60"/>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December 31, 2022 and December 31, 2021, our total loans amounted to $2.8 billion and $1.9 billion, respectively. The following table presents the balance and associated percentage of each major product type within our portfolio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of</w:t>
            </w: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43"/>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2021</w:t>
            </w:r>
          </w:p>
        </w:tc>
      </w:tr>
      <w:tr>
        <w:trPr>
          <w:trHeight w:val="24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Loans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of Loans</w:t>
            </w:r>
          </w:p>
        </w:tc>
      </w:tr>
      <w:tr>
        <w:trPr>
          <w:trHeight w:val="25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2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85.44 %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81.48 %</w:t>
            </w: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54,805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2.82 %</w:t>
            </w:r>
          </w:p>
        </w:tc>
      </w:tr>
      <w:tr>
        <w:trPr>
          <w:trHeight w:val="263"/>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165,186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137,062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7.03 %</w:t>
            </w: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PPP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6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22,124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1.14 %</w:t>
            </w:r>
          </w:p>
        </w:tc>
      </w:tr>
      <w:tr>
        <w:trPr>
          <w:trHeight w:val="25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0.88 %</w:t>
            </w:r>
          </w:p>
        </w:tc>
      </w:tr>
      <w:tr>
        <w:trPr>
          <w:trHeight w:val="25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Loans held for investment, gross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2,793,466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99.66 %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1,936,066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99.45 %</w:t>
            </w:r>
          </w:p>
        </w:tc>
      </w:tr>
      <w:tr>
        <w:trPr>
          <w:trHeight w:val="277"/>
        </w:trPr>
        <w:tc>
          <w:tcPr>
            <w:tcW w:w="4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0.55 %</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 loans, gross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2,802,882</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1,946,737</w:t>
            </w: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loan fees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7"/>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Total loans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2,800,742</w:t>
            </w:r>
          </w:p>
        </w:tc>
        <w:tc>
          <w:tcPr>
            <w:tcW w:w="20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1,945,131</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land and development and commercial construction loans consist of loans made to fund commercial land acquisition and development and commercial construction. The real estate purchased with these loans is generally located in or near our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 owned.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by collateral type, estimated collateral values, and related loan-to-value (“LTV”) ranges as of the dates indicated.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Collateral</w:t>
            </w:r>
          </w:p>
        </w:tc>
        <w:tc>
          <w:tcPr>
            <w:tcW w:w="16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Minimum</w:t>
            </w: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Commercial</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Loan Balance</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Real Estate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LTV</w:t>
            </w: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Manufactured home community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673,891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28.14 %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1,174,642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78.19 %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292,886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264,599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490,291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73.93 %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459,695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166,403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366,291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146,740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383,321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73.55 %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310,248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74.68 %</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tcPr>
          <w:p>
            <w:pPr>
              <w:ind w:left="20"/>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343,403</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704,984</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152.96 %</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4,685,333</w:t>
            </w: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Collateral</w:t>
            </w:r>
          </w:p>
        </w:tc>
        <w:tc>
          <w:tcPr>
            <w:tcW w:w="16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Minimum</w:t>
            </w: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Commercial</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Loan Balance</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Real Estate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LTV</w:t>
            </w: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Manufactured home community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388,133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24.47 %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636,449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74.41 %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307,376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152,412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350,953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134,728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294,367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272,383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80.14 %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Mixed use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71.98 %</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200,121</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12.62 %</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473,952</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94.97 %</w:t>
            </w:r>
          </w:p>
        </w:tc>
        <w:tc>
          <w:tcPr>
            <w:tcW w:w="0" w:type="dxa"/>
            <w:vAlign w:val="bottom"/>
          </w:tcPr>
          <w:p>
            <w:pPr>
              <w:spacing w:after="0"/>
              <w:rPr>
                <w:sz w:val="1"/>
                <w:szCs w:val="1"/>
                <w:color w:val="auto"/>
              </w:rPr>
            </w:pPr>
          </w:p>
        </w:tc>
      </w:tr>
      <w:tr>
        <w:trPr>
          <w:trHeight w:val="25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1,586,232</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3,182,946</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34" w:lineRule="auto"/>
        <w:tabs>
          <w:tab w:leader="none" w:pos="491"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88.87% of our portfolio at December 31, 2022. Commercial secured lending (consisting primarily of SBA 7(a) loans under $350,000) represents 5.89% of our portfolio at December 31, 2022. We sell the guaranteed portion of all SBA 7(a) loans, excluding PPP loans, in the secondary market and will continue to do so as long as market conditions continue to be favorable.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680.34% and 577.92% as of December 31, 2022 and</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62" w:name="page63"/>
    <w:bookmarkEnd w:id="62"/>
    <w:p>
      <w:pPr>
        <w:jc w:val="both"/>
        <w:spacing w:after="0" w:line="263" w:lineRule="auto"/>
        <w:rPr>
          <w:sz w:val="20"/>
          <w:szCs w:val="20"/>
          <w:color w:val="auto"/>
        </w:rPr>
      </w:pPr>
      <w:r>
        <w:rPr>
          <w:rFonts w:ascii="Arial" w:cs="Arial" w:eastAsia="Arial" w:hAnsi="Arial"/>
          <w:sz w:val="18"/>
          <w:szCs w:val="18"/>
          <w:color w:val="auto"/>
        </w:rPr>
        <w:t>December 31, 2021, respectively. We have established internal concentration limits in the loan portfolio for commercial real estate loans by sector (i.e., manufactured home communities, self-storage, hospitality, etc.). All loan sectors were within our established limits as of December 31, 2022. Additionally, our loans are geographically concentrated with borrowers and collateral properties primarily in California.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at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Due in 1</w:t>
            </w:r>
          </w:p>
        </w:tc>
        <w:tc>
          <w:tcPr>
            <w:tcW w:w="20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Due after 1</w:t>
            </w:r>
          </w:p>
        </w:tc>
        <w:tc>
          <w:tcPr>
            <w:tcW w:w="18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Due after 5</w:t>
            </w:r>
          </w:p>
        </w:tc>
        <w:tc>
          <w:tcPr>
            <w:tcW w:w="200" w:type="dxa"/>
            <w:vAlign w:val="bottom"/>
          </w:tcPr>
          <w:p>
            <w:pPr>
              <w:spacing w:after="0"/>
              <w:rPr>
                <w:sz w:val="17"/>
                <w:szCs w:val="17"/>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9"/>
              </w:rPr>
              <w:t>Due after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year through</w:t>
            </w:r>
          </w:p>
        </w:tc>
        <w:tc>
          <w:tcPr>
            <w:tcW w:w="180" w:type="dxa"/>
            <w:vAlign w:val="bottom"/>
          </w:tcPr>
          <w:p>
            <w:pPr>
              <w:spacing w:after="0"/>
              <w:rPr>
                <w:sz w:val="15"/>
                <w:szCs w:val="15"/>
                <w:color w:val="auto"/>
              </w:rPr>
            </w:pPr>
          </w:p>
        </w:tc>
        <w:tc>
          <w:tcPr>
            <w:tcW w:w="150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year or less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227,519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2,083,818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63,931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2,394,674</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88,669</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57"/>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352,580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2,319,712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2,802,882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at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Due in 1</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Due after 1</w:t>
            </w:r>
          </w:p>
        </w:tc>
        <w:tc>
          <w:tcPr>
            <w:tcW w:w="1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Due after 5</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9"/>
              </w:rPr>
              <w:t>Due after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year through</w:t>
            </w:r>
          </w:p>
        </w:tc>
        <w:tc>
          <w:tcPr>
            <w:tcW w:w="180" w:type="dxa"/>
            <w:vAlign w:val="bottom"/>
          </w:tcPr>
          <w:p>
            <w:pPr>
              <w:spacing w:after="0"/>
              <w:rPr>
                <w:sz w:val="15"/>
                <w:szCs w:val="15"/>
                <w:color w:val="auto"/>
              </w:rPr>
            </w:pPr>
          </w:p>
        </w:tc>
        <w:tc>
          <w:tcPr>
            <w:tcW w:w="150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year or less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1,343,367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40,536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1,586,232</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28,562</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147,733</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21,136</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81"/>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1,548,199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at December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ind w:left="320"/>
              <w:spacing w:after="0"/>
              <w:rPr>
                <w:sz w:val="20"/>
                <w:szCs w:val="20"/>
                <w:color w:val="auto"/>
              </w:rPr>
            </w:pPr>
            <w:r>
              <w:rPr>
                <w:rFonts w:ascii="Arial" w:cs="Arial" w:eastAsia="Arial" w:hAnsi="Arial"/>
                <w:sz w:val="18"/>
                <w:szCs w:val="18"/>
                <w:b w:val="1"/>
                <w:bCs w:val="1"/>
                <w:color w:val="auto"/>
              </w:rPr>
              <w:t>Fixed</w:t>
            </w:r>
          </w:p>
        </w:tc>
        <w:tc>
          <w:tcPr>
            <w:tcW w:w="30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5"/>
                <w:szCs w:val="15"/>
                <w:color w:val="auto"/>
              </w:rPr>
            </w:pPr>
          </w:p>
        </w:tc>
        <w:tc>
          <w:tcPr>
            <w:tcW w:w="154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2"/>
              </w:rPr>
              <w:t>Interest</w:t>
            </w:r>
          </w:p>
        </w:tc>
        <w:tc>
          <w:tcPr>
            <w:tcW w:w="300" w:type="dxa"/>
            <w:vAlign w:val="bottom"/>
          </w:tcPr>
          <w:p>
            <w:pPr>
              <w:spacing w:after="0"/>
              <w:rPr>
                <w:sz w:val="15"/>
                <w:szCs w:val="15"/>
                <w:color w:val="auto"/>
              </w:rPr>
            </w:pPr>
          </w:p>
        </w:tc>
        <w:tc>
          <w:tcPr>
            <w:tcW w:w="162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1"/>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Rates</w:t>
            </w:r>
          </w:p>
        </w:tc>
        <w:tc>
          <w:tcPr>
            <w:tcW w:w="300" w:type="dxa"/>
            <w:vAlign w:val="bottom"/>
          </w:tcPr>
          <w:p>
            <w:pPr>
              <w:spacing w:after="0"/>
              <w:rPr>
                <w:sz w:val="19"/>
                <w:szCs w:val="19"/>
                <w:color w:val="auto"/>
              </w:rPr>
            </w:pPr>
          </w:p>
        </w:tc>
        <w:tc>
          <w:tcPr>
            <w:tcW w:w="1620" w:type="dxa"/>
            <w:vAlign w:val="bottom"/>
            <w:gridSpan w:val="2"/>
          </w:tcPr>
          <w:p>
            <w:pPr>
              <w:ind w:left="420"/>
              <w:spacing w:after="0"/>
              <w:rPr>
                <w:sz w:val="20"/>
                <w:szCs w:val="20"/>
                <w:color w:val="auto"/>
              </w:rPr>
            </w:pPr>
            <w:r>
              <w:rPr>
                <w:rFonts w:ascii="Arial" w:cs="Arial" w:eastAsia="Arial" w:hAnsi="Arial"/>
                <w:sz w:val="18"/>
                <w:szCs w:val="18"/>
                <w:b w:val="1"/>
                <w:bCs w:val="1"/>
                <w:color w:val="auto"/>
              </w:rPr>
              <w:t>Rates</w:t>
            </w:r>
          </w:p>
        </w:tc>
        <w:tc>
          <w:tcPr>
            <w:tcW w:w="4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552,206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1,842,468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2,394,674</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88,669</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5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653,035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2,149,847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2,802,882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at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ind w:left="320"/>
              <w:spacing w:after="0"/>
              <w:rPr>
                <w:sz w:val="20"/>
                <w:szCs w:val="20"/>
                <w:color w:val="auto"/>
              </w:rPr>
            </w:pPr>
            <w:r>
              <w:rPr>
                <w:rFonts w:ascii="Arial" w:cs="Arial" w:eastAsia="Arial" w:hAnsi="Arial"/>
                <w:sz w:val="18"/>
                <w:szCs w:val="18"/>
                <w:b w:val="1"/>
                <w:bCs w:val="1"/>
                <w:color w:val="auto"/>
              </w:rPr>
              <w:t>Fixed</w:t>
            </w:r>
          </w:p>
        </w:tc>
        <w:tc>
          <w:tcPr>
            <w:tcW w:w="30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5"/>
                <w:szCs w:val="15"/>
                <w:color w:val="auto"/>
              </w:rPr>
            </w:pPr>
          </w:p>
        </w:tc>
        <w:tc>
          <w:tcPr>
            <w:tcW w:w="154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2"/>
              </w:rPr>
              <w:t>Interest</w:t>
            </w:r>
          </w:p>
        </w:tc>
        <w:tc>
          <w:tcPr>
            <w:tcW w:w="300" w:type="dxa"/>
            <w:vAlign w:val="bottom"/>
          </w:tcPr>
          <w:p>
            <w:pPr>
              <w:spacing w:after="0"/>
              <w:rPr>
                <w:sz w:val="15"/>
                <w:szCs w:val="15"/>
                <w:color w:val="auto"/>
              </w:rPr>
            </w:pPr>
          </w:p>
        </w:tc>
        <w:tc>
          <w:tcPr>
            <w:tcW w:w="162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1"/>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Rates</w:t>
            </w:r>
          </w:p>
        </w:tc>
        <w:tc>
          <w:tcPr>
            <w:tcW w:w="300" w:type="dxa"/>
            <w:vAlign w:val="bottom"/>
          </w:tcPr>
          <w:p>
            <w:pPr>
              <w:spacing w:after="0"/>
              <w:rPr>
                <w:sz w:val="19"/>
                <w:szCs w:val="19"/>
                <w:color w:val="auto"/>
              </w:rPr>
            </w:pPr>
          </w:p>
        </w:tc>
        <w:tc>
          <w:tcPr>
            <w:tcW w:w="1620" w:type="dxa"/>
            <w:vAlign w:val="bottom"/>
            <w:gridSpan w:val="2"/>
          </w:tcPr>
          <w:p>
            <w:pPr>
              <w:ind w:left="420"/>
              <w:spacing w:after="0"/>
              <w:rPr>
                <w:sz w:val="20"/>
                <w:szCs w:val="20"/>
                <w:color w:val="auto"/>
              </w:rPr>
            </w:pPr>
            <w:r>
              <w:rPr>
                <w:rFonts w:ascii="Arial" w:cs="Arial" w:eastAsia="Arial" w:hAnsi="Arial"/>
                <w:sz w:val="18"/>
                <w:szCs w:val="18"/>
                <w:b w:val="1"/>
                <w:bCs w:val="1"/>
                <w:color w:val="auto"/>
              </w:rPr>
              <w:t>Rates</w:t>
            </w:r>
          </w:p>
        </w:tc>
        <w:tc>
          <w:tcPr>
            <w:tcW w:w="4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394,648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1,191,584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1,586,232</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28,562</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147,733</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21,136</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75"/>
        </w:trPr>
        <w:tc>
          <w:tcPr>
            <w:tcW w:w="56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1,946,737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loan losses.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facilitate the early detection and remediation of problems within our loan portfolio. Assigned risk classifications are an integral part of management assessing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a loan to be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 Forgiveness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there were 60 PPP loans outstanding totaling $22.1 million. All PPP loans had been forgiven or paid off by the borrower as of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7(a) Payments Made Under the CARES Act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1112 of the CARES Act required the SBA to make payments on new and existing 7(a) loans for up to six months. The Consolidated Appropriations Act, 2021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year ended December 31, 2022, the SBA made payments under this program on 29 of our SBA 7(a) loans, totaling $161.0 thousand in principal and interest. No additional payments are expected.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Loans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the Company sold 172 SBA 7(a) loans with government-guaranteed portions totaling $50.8 million. Of the loans sold in 2022, the Company received gross proceeds of $53.7 million, resulting in a net gain on sale of $2.9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the Company sold 169 SBA 7(a) loans with government-guaranteed portions totaling $41.4 million. Of the loans sold in 2021, the Company received gross proceeds of $45.3 million, resulting in a net gain on sale of $3.9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9"/>
        </w:trPr>
        <w:tc>
          <w:tcPr>
            <w:tcW w:w="79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7"/>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Non-accrual loans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Secured</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0"/>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non-accrual loans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 past due 90 days or more and still accruing</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Total loans past due and still accruing</w:t>
            </w: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 owned</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COVID-19 deferments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Performing TDRs (not included above)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loan losses to period end non-accrual loans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3,954.30 %</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Non-accrual loans to loans held for investment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Nonperforming loans plus performing TDRs to loans held for investment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(charge-offs) recoveries to average loans held for investment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COVID-19 deferments to loans held for investment</w:t>
            </w:r>
          </w:p>
        </w:tc>
        <w:tc>
          <w:tcPr>
            <w:tcW w:w="18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non-accrual loans to period end loans was 0.01% at December 31, 2022, decreasing from 0.03% as of December 31, 2021, partially due to a decline in our non-accrual loans.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ratio of the allowance for loan losses to period end non-accrual loans increased from 3,954.30% as of December 31, 2021 to 7,026.98% as of December 31, 2022. The increase was primarily due to a 22.14% increase in the allowance for loan losses from December 31, 2021 to December 31, 2022, combined with a 31.29% reduction in period end non-accrual loans from December 31, 2021 to December 31, 2022, which was primarily due to a decrease of $0.2 million in commercial secured non-accrual loans from December 31, 2021 to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Loans by credit quality risk rating were as follows as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Pass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Watch</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Substandard</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88,669</w:t>
            </w: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r>
      <w:tr>
        <w:trPr>
          <w:trHeight w:val="25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r>
      <w:tr>
        <w:trPr>
          <w:trHeight w:val="25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163,879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165,186</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r>
      <w:tr>
        <w:trPr>
          <w:trHeight w:val="256"/>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r>
      <w:tr>
        <w:trPr>
          <w:trHeight w:val="2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1,586,232</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7,376</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54,214</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7,388</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54,805</w:t>
            </w:r>
          </w:p>
        </w:tc>
      </w:tr>
      <w:tr>
        <w:trPr>
          <w:trHeight w:val="26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135,131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137,062</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w:t>
            </w:r>
          </w:p>
        </w:tc>
      </w:tr>
      <w:tr>
        <w:trPr>
          <w:trHeight w:val="25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22,124</w:t>
            </w:r>
          </w:p>
        </w:tc>
      </w:tr>
      <w:tr>
        <w:trPr>
          <w:trHeight w:val="25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1,916,805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1,936,066</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designated as watch or substandard, which are not considered adversely classified, increased to $22.3 million at December 31, 2022 from $19.3 million at December 31, 2021. Loans designated as watch increased period-over-period, primarily due to an increase in commercial real estate loans designated as watch, resulting in a net increase in reserves related to watch loans. Loans designated substandard decreased period-over-period, primarily due to a payoff of commercial real estate loans designated as substandard, resulting in a net decrease in reserves related to substandard loans. In total, reserves related to classified and watch loans decreased by $12.0 thousand period-over-period, which was offset by additional provision for loan growth. There were no loans with doubtful risk grades at December 31, 2022 or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67" w:name="page68"/>
    <w:bookmarkEnd w:id="67"/>
    <w:p>
      <w:pPr>
        <w:jc w:val="both"/>
        <w:ind w:right="20"/>
        <w:spacing w:after="0" w:line="277" w:lineRule="auto"/>
        <w:rPr>
          <w:sz w:val="20"/>
          <w:szCs w:val="20"/>
          <w:color w:val="auto"/>
        </w:rPr>
      </w:pPr>
      <w:r>
        <w:rPr>
          <w:rFonts w:ascii="Arial" w:cs="Arial" w:eastAsia="Arial" w:hAnsi="Arial"/>
          <w:sz w:val="18"/>
          <w:szCs w:val="18"/>
          <w:color w:val="auto"/>
        </w:rPr>
        <w:t>prevailing economic conditions. This evaluation is inherently subjective, as it requires estimates that are susceptible to significant revision as more information becomes available.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entire allowance for loan losses is available to absorb losses from any and all loans, the following table represents management’s allocation of our allowance for loan losses by loan category, and the percentage of the allowance for loan losses allocated to each category, for the periods indicated.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was $28.4 million at December 31, 2022, as compared to $23.2 million at December 31, 2021. The $5.2 million increase is due to a $6.7 million provision for loan losses recorded during the year ended December 31, 2022, offset by net charge-offs of $1.5 million during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allowance for loan losses by loan class as of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2021</w:t>
            </w:r>
          </w:p>
        </w:tc>
      </w:tr>
      <w:tr>
        <w:trPr>
          <w:trHeight w:val="243"/>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Dollars</w:t>
            </w: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Dollars</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r>
      <w:tr>
        <w:trPr>
          <w:trHeight w:val="230"/>
        </w:trPr>
        <w:tc>
          <w:tcPr>
            <w:tcW w:w="47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67.69 %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12,869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55.37 %</w:t>
            </w:r>
          </w:p>
        </w:tc>
      </w:tr>
      <w:tr>
        <w:trPr>
          <w:trHeight w:val="229"/>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land and development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r>
      <w:tr>
        <w:trPr>
          <w:trHeight w:val="23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r>
      <w:tr>
        <w:trPr>
          <w:trHeight w:val="23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0.83 %</w:t>
            </w:r>
          </w:p>
        </w:tc>
      </w:tr>
      <w:tr>
        <w:trPr>
          <w:trHeight w:val="229"/>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Farmland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29"/>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28.77 %</w:t>
            </w:r>
          </w:p>
        </w:tc>
      </w:tr>
      <w:tr>
        <w:trPr>
          <w:trHeight w:val="229"/>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Unsecured</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0.89 %</w:t>
            </w:r>
          </w:p>
        </w:tc>
      </w:tr>
      <w:tr>
        <w:trPr>
          <w:trHeight w:val="23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r>
      <w:tr>
        <w:trPr>
          <w:trHeight w:val="230"/>
        </w:trPr>
        <w:tc>
          <w:tcPr>
            <w:tcW w:w="4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Unallocated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4.78 %</w:t>
            </w:r>
          </w:p>
        </w:tc>
      </w:tr>
      <w:tr>
        <w:trPr>
          <w:trHeight w:val="223"/>
        </w:trPr>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99.28 %</w:t>
            </w:r>
          </w:p>
        </w:tc>
      </w:tr>
      <w:tr>
        <w:trPr>
          <w:trHeight w:val="230"/>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Individually evaluated for impairment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0.72 %</w:t>
            </w:r>
          </w:p>
        </w:tc>
      </w:tr>
      <w:tr>
        <w:trPr>
          <w:trHeight w:val="275"/>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allowance for loan losses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ratio of allowance for loan losses to total loans held for investment was 1.02% at December 31, 2022, compared to 1.20% at December 31, 2021. Excluding PPP loans, the ratio of the allowance for loan losses to total loans held for investment was 1.02% and 1.22% at December 31, 2022 and 2021, respectively. See the section entitled “Non-GAAP Financial Measures” for a reconciliation of our non-GAAP measures to the most directly comparable GAAP financial measure. Non-accrual loans totaled $0.4 million, or 0.01% of total loans held for investment, at December 31, 2022, decreasing from $0.6 million, or 0.03% of total loans held for investment,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total liabilities increased by $652.6 million from $2.3 billion at December 31, 2021 to $3.0 billion at December 31, 2022. This increase was primarily due to an increase in total deposits of $496.1 million, comprised of increases of $69.1 million in non-interest-bearing deposits and $427.0 million in interest-bearing deposits, FHLB advances of $100.0 million, and subordinated notes issued of $75.0 million, partially offset by subordinated notes redeemed of $28.8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93.53% of our total liabilities as of December 31, 2022, deposits are our primary source of funding for our business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deposits increased by $496.1 million, or 21.70%, to $2.8 billion at December 31, 2022 from $2.3 billion as of December 31, 2021. Deposit increases were attributed to an increase in the number of new relationships, as well as fluctuations in our existing accounts. Non-interest-bearing deposits increased by $69.1 million in 2022 to $1.0 billion,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represented 34.91% of total deposits at December 31, 2022, as compared to 39.46% of total deposits at December 31, 2021. Our loan to deposit ratio was 100.67% at December 31, 2022, as compared to 85.09% at December 31, 2021. The increase in the ratio coincided with growth in our business. We closely monitor the loan to deposit ratio for purposes of both operational objectives and regulatory capital compliance. We intend to continue to operate our business with a loan to deposit ratio within the range of these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deposit composition by average deposits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For the year ended</w:t>
            </w: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8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w w:val="87"/>
              </w:rPr>
              <w:t>December 31, 2021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vMerge w:val="restart"/>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Average</w:t>
            </w: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Average</w:t>
            </w:r>
          </w:p>
        </w:tc>
        <w:tc>
          <w:tcPr>
            <w:tcW w:w="13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Average</w:t>
            </w:r>
          </w:p>
        </w:tc>
        <w:tc>
          <w:tcPr>
            <w:tcW w:w="13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Rate 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of Total 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Rate Paid</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of Total Deposits</w:t>
            </w:r>
          </w:p>
        </w:tc>
        <w:tc>
          <w:tcPr>
            <w:tcW w:w="0" w:type="dxa"/>
            <w:vAlign w:val="bottom"/>
          </w:tcPr>
          <w:p>
            <w:pPr>
              <w:spacing w:after="0"/>
              <w:rPr>
                <w:sz w:val="1"/>
                <w:szCs w:val="1"/>
                <w:color w:val="auto"/>
              </w:rPr>
            </w:pPr>
          </w:p>
        </w:tc>
      </w:tr>
      <w:tr>
        <w:trPr>
          <w:trHeight w:val="25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Arial" w:cs="Arial" w:eastAsia="Arial" w:hAnsi="Arial"/>
                <w:sz w:val="18"/>
                <w:szCs w:val="18"/>
                <w:color w:val="auto"/>
                <w:w w:val="99"/>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1,102,057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0.62 %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1,009,847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49.17 %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0.32 %</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Demand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982,915</w:t>
            </w: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38.84 %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835,834</w:t>
            </w:r>
          </w:p>
        </w:tc>
        <w:tc>
          <w:tcPr>
            <w:tcW w:w="80" w:type="dxa"/>
            <w:vAlign w:val="bottom"/>
          </w:tcPr>
          <w:p>
            <w:pPr>
              <w:spacing w:after="0"/>
              <w:rPr>
                <w:sz w:val="21"/>
                <w:szCs w:val="21"/>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40.69 %</w:t>
            </w:r>
          </w:p>
        </w:tc>
        <w:tc>
          <w:tcPr>
            <w:tcW w:w="0" w:type="dxa"/>
            <w:vAlign w:val="bottom"/>
          </w:tcPr>
          <w:p>
            <w:pPr>
              <w:spacing w:after="0"/>
              <w:rPr>
                <w:sz w:val="1"/>
                <w:szCs w:val="1"/>
                <w:color w:val="auto"/>
              </w:rPr>
            </w:pPr>
          </w:p>
        </w:tc>
      </w:tr>
      <w:tr>
        <w:trPr>
          <w:trHeight w:val="254"/>
        </w:trPr>
        <w:tc>
          <w:tcPr>
            <w:tcW w:w="2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2,530,586</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2,054,066</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Uninsured deposits, excluding time deposits, totaled $1.2 billion and $1.3 billion at December 31, 2022 and 2021,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our 40 largest deposit relationships, each accounting for more than $10.0 million, totaled $1.5 billion, or 52.15% of our total deposits. As of December 31, 2021, our 26 largest deposit relationships, each accounting for more than $10.0 million, totaled $912.7 million, or 39.93%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r>
      <w:tr>
        <w:trPr>
          <w:trHeight w:val="25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424,483</w:t>
            </w:r>
          </w:p>
        </w:tc>
      </w:tr>
      <w:tr>
        <w:trPr>
          <w:trHeight w:val="25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Non-profit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195,996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181,080</w:t>
            </w:r>
          </w:p>
        </w:tc>
      </w:tr>
      <w:tr>
        <w:trPr>
          <w:trHeight w:val="26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307,132</w:t>
            </w: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Brokered deposits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912,695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largest single deposit relationship at December 31, 2022 related to a government agency. The balances for this customer were $180.0 million, or 6.47% of total deposits, as of that date. At December 31, 2021, our largest single deposit relationship related to a non-profit association that supports hospitals and health systems and had balances of $155.0 million, or 6.78% of total deposits, at that date. As our demand deposits fluctuate during a rising rate environment, we have purchased brokered deposits as needed to supplement liquidity. We do not consider brokered deposits as core deposits, but as another deposit funding source for our loan growth.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the maturity of time deposits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Less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Uninsured</w:t>
            </w:r>
          </w:p>
        </w:tc>
      </w:tr>
      <w:tr>
        <w:trPr>
          <w:trHeight w:val="241"/>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or Greater</w:t>
            </w:r>
          </w:p>
        </w:tc>
        <w:tc>
          <w:tcPr>
            <w:tcW w:w="1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than $250,000</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Portion</w:t>
            </w: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Remaining maturity:</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30"/>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Three months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134,617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130,322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264,939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131,867</w:t>
            </w:r>
          </w:p>
        </w:tc>
      </w:tr>
      <w:tr>
        <w:trPr>
          <w:trHeight w:val="229"/>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Over three through six months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55,448</w:t>
            </w:r>
          </w:p>
        </w:tc>
      </w:tr>
      <w:tr>
        <w:trPr>
          <w:trHeight w:val="229"/>
        </w:trPr>
        <w:tc>
          <w:tcPr>
            <w:tcW w:w="5060" w:type="dxa"/>
            <w:vAlign w:val="bottom"/>
            <w:gridSpan w:val="2"/>
          </w:tcPr>
          <w:p>
            <w:pPr>
              <w:ind w:left="160"/>
              <w:spacing w:after="0"/>
              <w:rPr>
                <w:sz w:val="20"/>
                <w:szCs w:val="20"/>
                <w:color w:val="auto"/>
              </w:rPr>
            </w:pPr>
            <w:r>
              <w:rPr>
                <w:rFonts w:ascii="Arial" w:cs="Arial" w:eastAsia="Arial" w:hAnsi="Arial"/>
                <w:sz w:val="18"/>
                <w:szCs w:val="18"/>
                <w:color w:val="auto"/>
              </w:rPr>
              <w:t>Over six through twelve months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30"/>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Over twelve months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144,355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190,658</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was $100.0 million of borrowings outstanding as of December 31, 2022 and no borrowings outstanding as of December 31,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issued subordinated notes of $75.0 million. This debt was issued to investors in private placement transactions. See Note 9, Long Term Debt and Other Borrowings, in the notes to our consolidated financial statements included in this Annual Report on Form 10-K for additional information regarding these subordinated notes. The proceeds of the notes constitute Tier 2 capital under the regulatory capital rules of the federal banking agencies. The following table is a summary of our outstanding subordinated notes as of December 31,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Issuance Date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Amount of Notes</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Prepayment Right</w:t>
            </w:r>
          </w:p>
        </w:tc>
        <w:tc>
          <w:tcPr>
            <w:tcW w:w="1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25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Subordinated notes</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17, 2027</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3" w:lineRule="exact"/>
        <w:rPr>
          <w:sz w:val="20"/>
          <w:szCs w:val="20"/>
          <w:color w:val="auto"/>
        </w:rPr>
      </w:pPr>
    </w:p>
    <w:p>
      <w:pPr>
        <w:ind w:left="360" w:right="240"/>
        <w:spacing w:after="0" w:line="261" w:lineRule="auto"/>
        <w:rPr>
          <w:sz w:val="20"/>
          <w:szCs w:val="20"/>
          <w:color w:val="auto"/>
        </w:rPr>
      </w:pPr>
      <w:r>
        <w:rPr>
          <w:rFonts w:ascii="Arial" w:cs="Arial" w:eastAsia="Arial" w:hAnsi="Arial"/>
          <w:sz w:val="18"/>
          <w:szCs w:val="18"/>
          <w:color w:val="auto"/>
        </w:rPr>
        <w:t>Fixed at 6.00% through September 1, 2027, then three-month Secured Overnight Financing Rate plus 329.0 basis points (8.03% as of December 31, 2022) through maturity</w:t>
      </w:r>
    </w:p>
    <w:p>
      <w:pPr>
        <w:spacing w:after="0" w:line="2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15, 2022, we redeemed $25.0 million and $3.8 million of subordinated notes issued on September 28, 2017 and November 8, 2019, respectively. Both subordinated notes were paid off using proceeds from the issuance of the subordinated notes of $75.0 million as discussed above.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equity totaled $252.8 million at December 31, 2022 and $235.0 million at December 31, 2021. The increase in shareholders’ equity was primarily attributable to net income recognized of $44.8 million, partially offset by a net decline of $12.9 million in other comprehensive income resulting from rising interest rates and $15.3 million in cash distributions paid during the year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color w:val="auto"/>
        </w:rPr>
        <w:t>economic conditions or exposure to credit, market, operational, legal, or reputational risks could also affect the Bank’s liquidity risk profile and are considered in the assessment of liquidity management.</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Bancorp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discount window, draws on established federal funds lines from unaffiliated commercial banks, and the issuance of debt or equity securities. We believe that we have ample liquidity resources to fund future growth and meet other cash needs as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 income taxes, and dividend payments, as described below. We also had significant cash inflows as a result of our subordinated note issuance in 2022 and our IPO in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current capital allocation objectives, during 2023, we project spending $1.3 million related to continued build-out of our IT systems and processes and allocating $12.3 million of cash for dividends on our common stock.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12-month period ending December 31, 2023, we project that our fixed commitments could potentially include: (i) approximately $329.1 million to fund off-balance sheet commitments outstanding at December 31, 2022; (ii) $5.8 million for IT services, IT support, and compliance expenditures; and (iii) $1.0 million for operating leases. In future years, we expect that our main sources and uses of cash will relate primarily to regular operating activities.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management believes the above-mentioned sources will provide adequate liquidity during the next twelve months for the Bank to meet its operating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IPO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7, 2021, we completed our IPO at a price of $20.00 per share. We raised approximately $111.2 million in net proceeds after deducting underwriting discounts and commissions of approximately $8.5 million and certain estimated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color w:val="auto"/>
        </w:rPr>
        <w:t>offering expenses payable by us of approximately of $1.3 million. The net proceeds, less $2.1 million in other related expenses, including audit fees, legal fees, listing fees, and other expenses, totaled $109.1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we had cash outflows of $848.3 million in loan originations and advances, net of principal collected, and $60.2 million in loans originated for sale.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December 31, 2022, total off-balance sheet commitments totaled $329.1 million. We expect to fund these commitments to the extent utilized primarily through the repayment of existing loans, deposit growth, and liquid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are our primary source of funding for our business operations, and the cost of deposits has a significant impact on our net interest income and net interest margin.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deposits are made up of primarily money market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we had significant cash inflows related to an increase in deposits of $496.1 million, primarily as a result of an increase in the number of new relationships, fluctuations in existing accounts, and new certificates of deposit.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Over the next twelve months, approximately $339.3 million of time deposits are expected to mature. In addition, we expect $3.2 million of time deposits to mature through 2027. As these time deposits mature, some of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third-party financing availability, as discussed below, provides a stable funding base.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investment securities totaled $119.7 million at December 31, 2022. At December 31, 2022, 51.17% and 35.22% of our investment portfolio consisted of mortgage-backed securities and obligations of states and political subdivisions,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$8.6 million from our securities over the next twelve months. In future periods, we expect to maintain approximately the same level of cash flows from our securities. Depending on market yield and our liquidity, we may purchase securities as a use of cash in our interest-earning asset portfolio.</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2022, we had cash proceeds from sales, maturities, calls, and prepayments of securities of $17.1 million, partially offset by cash outflows of $2.6 million related to investment securities purchased. Additionally, at December 31, 2022, securities available-for-sale totaled $116.0 million, of which $40.5 million have been pledged as collateral for borrowings and other commitments.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auto"/>
        </w:rPr>
        <w:t>Future Contractual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estimated future obligations as of December 31, 2022 include both current and long-term obligations. Under our operating leases as discussed in Note 15, Commitments and Contingencies, we have a current obligation of $1.0 million and a long-term obligation of $3.5 million. We also have a current obligation of $339.3 million and a long-term obligation of $3.2 million related to time deposits, as discussed in Note 8, Interest-Bearing Deposits. We have net subordinated notes of $73.6 million, all of which are long-term obligations. Finally, we have one significant contract for core processing services. While the actual obligation is unknown and dependent on certain factors, including volume and activity, when using our 2022 average monthly expense extrapolated over the remaining life of the contract, we estimate that our current obligation under this contract is $0.5 million. We do not have a long-term obligation under this contract until it is renewed.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Financing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Bank is a shareholder of the FHLB, which enables the Bank to have access to lower-cost FHLB financing when necessary. At December 31, 2022, the Bank had outstanding borrowings of $100.0 million and a total financing availability of $216.3 million, net of letters of credit issued of $686.5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Inflation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use of liquidity for the Company is shareholder dividends. Bancorp paid dividends to its shareholders totaling $15.3 million during the year ended December 31, 2022, including a cash distribution in the amount of $5.0 million paid on March 17, 2022 to shareholders of record as of May 3, 2021, for the Company's final AAA payout, which was described in further detail in the Company’s Proxy Statement filed with the SEC and mailed to shareholders on April 6, 2022.</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2023 at a rate of $0.15 per share, which is the rate of each of our last five quarterly dividend payments, our average total dividend paid each quarter would be approximately $2.6 million based on the number of current outstanding shares if there are no increases or decreases in the number of shares, and given that unvested RSAs share equally in dividends with outstanding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Historical Information</w:t>
            </w: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consolidated cash flow activities:</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9"/>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8"/>
              </w:rPr>
              <w:t>For the 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57"/>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r>
      <w:tr>
        <w:trPr>
          <w:trHeight w:val="25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(836,922)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(381,911)</w:t>
            </w:r>
          </w:p>
        </w:tc>
      </w:tr>
      <w:tr>
        <w:trPr>
          <w:trHeight w:val="26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increased by $17.3 million for the year ended December 31, 2022 as compared to the year ended December 31, 2021, primarily due to higher net income and an increase in loans originated for sale, partially offset by increases in the provision for loan losses and proceeds from sale of loans. Various other, less material items made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up the remainder of the change. Cash provided by operating activities is subject to variability period-over-period as a result of timing differences, including with respect to the collection of receivables and payments of interest expense, accounts payable, and bonuses.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operating results, see “Results of Operations”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increased by $381.9 million for the year ended December 31, 2022 compared to the year ended December 31, 2021, primarily due to an increase in originations of loans held for investment, net of repayments, partially offset by a decrease in purchases of securities available-for-sale.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increased by $64.4 million for the year ended December 31, 2022 compared to the year ended December 31, 2021, primarily due to issuance of subordinated notes, use of FHLB advances, and fewer cash dividends paid, partially offset by the redemption of subordinated notes and no issuance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consolidated financial statements. The Bank and Bancorp are subject to minimum risk-based and leverage capital requirements under federal regulations implementing the Basel III framework, and the Bank is subject to regulatory thresholds that must be met for an insured depository institution to be classified as “well-capitalized” under the prompt corrective action framework. Under capital adequacy guidelines, the Bank must meet specific capital guidelines that involve quantitative measures of its assets, liabilities, and certain off-balance sheet items, as calculated under regulatory accounting practices. Capital amounts for Bancorp and the Bank, as well as the Bank’s prompt corrective action classification, are also subject to qualitative judgments by the regulators about components of capital, risk weightings, and other factors. As of December 31, 2022, both Bancorp and the Bank were in compliance with all applicable regulatory capital requirements, and the Bank qualified as “well-capitalized” under the prompt corrective action framework.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4" w:name="page75"/>
    <w:bookmarkEnd w:id="74"/>
    <w:p>
      <w:pPr>
        <w:jc w:val="both"/>
        <w:spacing w:after="0" w:line="308" w:lineRule="auto"/>
        <w:rPr>
          <w:sz w:val="20"/>
          <w:szCs w:val="20"/>
          <w:color w:val="auto"/>
        </w:rPr>
      </w:pPr>
      <w:r>
        <w:rPr>
          <w:rFonts w:ascii="Arial" w:cs="Arial" w:eastAsia="Arial" w:hAnsi="Arial"/>
          <w:sz w:val="17"/>
          <w:szCs w:val="17"/>
          <w:color w:val="auto"/>
        </w:rPr>
        <w:t>The capital adequacy ratios as of December 31, 2022 and December 31, 2021 for Bancorp and the Bank are presented in the following tables. As of December 31, 2022 and December 31, 2021, Bancorp’s Tier 2 capital included subordinated debt, which was not included at the Bank level.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rPr>
              <w:t>Required for 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spacing w:after="0" w:line="184" w:lineRule="exact"/>
              <w:rPr>
                <w:sz w:val="20"/>
                <w:szCs w:val="20"/>
                <w:color w:val="auto"/>
              </w:rPr>
            </w:pPr>
            <w:r>
              <w:rPr>
                <w:rFonts w:ascii="Arial" w:cs="Arial" w:eastAsia="Arial" w:hAnsi="Arial"/>
                <w:sz w:val="18"/>
                <w:szCs w:val="18"/>
                <w:b w:val="1"/>
                <w:bCs w:val="1"/>
                <w:color w:val="auto"/>
                <w:w w:val="91"/>
              </w:rPr>
              <w:t>Capitalized under</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spacing w:after="0" w:line="181" w:lineRule="exact"/>
              <w:rPr>
                <w:sz w:val="20"/>
                <w:szCs w:val="20"/>
                <w:color w:val="auto"/>
              </w:rPr>
            </w:pPr>
            <w:r>
              <w:rPr>
                <w:rFonts w:ascii="Arial" w:cs="Arial" w:eastAsia="Arial" w:hAnsi="Arial"/>
                <w:sz w:val="18"/>
                <w:szCs w:val="18"/>
                <w:b w:val="1"/>
                <w:bCs w:val="1"/>
                <w:color w:val="auto"/>
                <w:w w:val="92"/>
              </w:rPr>
              <w:t>Prompt Corrective</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Bancorp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rPr>
              <w:t>Actual Ratio</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ind w:left="340"/>
              <w:spacing w:after="0" w:line="210" w:lineRule="exact"/>
              <w:rPr>
                <w:sz w:val="20"/>
                <w:szCs w:val="20"/>
                <w:color w:val="auto"/>
              </w:rPr>
            </w:pPr>
            <w:r>
              <w:rPr>
                <w:rFonts w:ascii="Arial" w:cs="Arial" w:eastAsia="Arial" w:hAnsi="Arial"/>
                <w:sz w:val="18"/>
                <w:szCs w:val="18"/>
                <w:b w:val="1"/>
                <w:bCs w:val="1"/>
                <w:color w:val="auto"/>
              </w:rPr>
              <w:t>Adequacy Purposes</w:t>
            </w:r>
            <w:r>
              <w:rPr>
                <w:rFonts w:ascii="Arial" w:cs="Arial" w:eastAsia="Arial" w:hAnsi="Arial"/>
                <w:sz w:val="23"/>
                <w:szCs w:val="23"/>
                <w:b w:val="1"/>
                <w:bCs w:val="1"/>
                <w:color w:val="auto"/>
                <w:vertAlign w:val="superscript"/>
              </w:rPr>
              <w:t>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Action Provisions</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3"/>
          </w:tcPr>
          <w:p>
            <w:pPr>
              <w:ind w:left="400"/>
              <w:spacing w:after="0"/>
              <w:rPr>
                <w:sz w:val="20"/>
                <w:szCs w:val="20"/>
                <w:color w:val="auto"/>
              </w:rPr>
            </w:pPr>
            <w:r>
              <w:rPr>
                <w:rFonts w:ascii="Arial" w:cs="Arial" w:eastAsia="Arial" w:hAnsi="Arial"/>
                <w:sz w:val="18"/>
                <w:szCs w:val="18"/>
                <w:b w:val="1"/>
                <w:bCs w:val="1"/>
                <w:color w:val="auto"/>
              </w:rPr>
              <w:t>Ratio</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Ratio</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4"/>
          </w:tcPr>
          <w:p>
            <w:pPr>
              <w:ind w:left="30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57"/>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366,113</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12.46 %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235,065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263,993</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176,191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540" w:type="dxa"/>
            <w:vAlign w:val="bottom"/>
            <w:gridSpan w:val="2"/>
          </w:tcPr>
          <w:p>
            <w:pPr>
              <w:ind w:left="20"/>
              <w:spacing w:after="0"/>
              <w:rPr>
                <w:sz w:val="20"/>
                <w:szCs w:val="20"/>
                <w:color w:val="auto"/>
              </w:rPr>
            </w:pPr>
            <w:r>
              <w:rPr>
                <w:rFonts w:ascii="Arial" w:cs="Arial" w:eastAsia="Arial" w:hAnsi="Arial"/>
                <w:sz w:val="18"/>
                <w:szCs w:val="18"/>
                <w:color w:val="auto"/>
                <w:w w:val="95"/>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263,993</w:t>
            </w: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8.99 %</w:t>
            </w:r>
          </w:p>
        </w:tc>
        <w:tc>
          <w:tcPr>
            <w:tcW w:w="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132,144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263,993</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285,128</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163,177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233,397</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11.44 %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122,382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233,397</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233,397</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9.47 %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53"/>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6"/>
            <w:vMerge w:val="restart"/>
          </w:tcPr>
          <w:p>
            <w:pPr>
              <w:ind w:left="180"/>
              <w:spacing w:after="0"/>
              <w:rPr>
                <w:sz w:val="20"/>
                <w:szCs w:val="20"/>
                <w:color w:val="auto"/>
              </w:rPr>
            </w:pPr>
            <w:r>
              <w:rPr>
                <w:rFonts w:ascii="Arial" w:cs="Arial" w:eastAsia="Arial" w:hAnsi="Arial"/>
                <w:sz w:val="18"/>
                <w:szCs w:val="18"/>
                <w:b w:val="1"/>
                <w:bCs w:val="1"/>
                <w:color w:val="auto"/>
              </w:rPr>
              <w:t>Required for 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400"/>
              <w:spacing w:after="0" w:line="176" w:lineRule="exact"/>
              <w:rPr>
                <w:sz w:val="20"/>
                <w:szCs w:val="20"/>
                <w:color w:val="auto"/>
              </w:rPr>
            </w:pPr>
            <w:r>
              <w:rPr>
                <w:rFonts w:ascii="Arial" w:cs="Arial" w:eastAsia="Arial" w:hAnsi="Arial"/>
                <w:sz w:val="18"/>
                <w:szCs w:val="18"/>
                <w:b w:val="1"/>
                <w:bCs w:val="1"/>
                <w:color w:val="auto"/>
              </w:rPr>
              <w:t>Capitalized under</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ind w:right="90"/>
              <w:spacing w:after="0" w:line="176" w:lineRule="exact"/>
              <w:rPr>
                <w:sz w:val="20"/>
                <w:szCs w:val="20"/>
                <w:color w:val="auto"/>
              </w:rPr>
            </w:pPr>
            <w:r>
              <w:rPr>
                <w:rFonts w:ascii="Arial" w:cs="Arial" w:eastAsia="Arial" w:hAnsi="Arial"/>
                <w:sz w:val="18"/>
                <w:szCs w:val="18"/>
                <w:b w:val="1"/>
                <w:bCs w:val="1"/>
                <w:color w:val="auto"/>
                <w:w w:val="91"/>
              </w:rPr>
              <w:t>Prompt Corrective</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the Bank</w:t>
            </w: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Adequacy Purposes</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b w:val="1"/>
                <w:bCs w:val="1"/>
                <w:color w:val="auto"/>
                <w:w w:val="88"/>
              </w:rPr>
              <w:t>Action Provisions</w:t>
            </w:r>
          </w:p>
        </w:tc>
        <w:tc>
          <w:tcPr>
            <w:tcW w:w="0" w:type="dxa"/>
            <w:vAlign w:val="bottom"/>
          </w:tcPr>
          <w:p>
            <w:pPr>
              <w:spacing w:after="0"/>
              <w:rPr>
                <w:sz w:val="1"/>
                <w:szCs w:val="1"/>
                <w:color w:val="auto"/>
              </w:rPr>
            </w:pPr>
          </w:p>
        </w:tc>
      </w:tr>
      <w:tr>
        <w:trPr>
          <w:trHeight w:val="24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Ratio</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234,795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293,494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234,763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5"/>
        </w:trPr>
        <w:tc>
          <w:tcPr>
            <w:tcW w:w="3540" w:type="dxa"/>
            <w:vAlign w:val="bottom"/>
            <w:gridSpan w:val="2"/>
          </w:tcPr>
          <w:p>
            <w:pPr>
              <w:ind w:left="20"/>
              <w:spacing w:after="0"/>
              <w:rPr>
                <w:sz w:val="20"/>
                <w:szCs w:val="20"/>
                <w:color w:val="auto"/>
              </w:rPr>
            </w:pPr>
            <w:r>
              <w:rPr>
                <w:rFonts w:ascii="Arial" w:cs="Arial" w:eastAsia="Arial" w:hAnsi="Arial"/>
                <w:sz w:val="18"/>
                <w:szCs w:val="18"/>
                <w:color w:val="auto"/>
                <w:w w:val="95"/>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190,745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153,315</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203,848</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163,078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2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132,501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98,555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123,193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80" w:right="20"/>
        <w:spacing w:after="0" w:line="258" w:lineRule="auto"/>
        <w:rPr>
          <w:sz w:val="20"/>
          <w:szCs w:val="20"/>
          <w:color w:val="auto"/>
        </w:rPr>
      </w:pPr>
      <w:r>
        <w:rPr>
          <w:rFonts w:ascii="Arial" w:cs="Arial" w:eastAsia="Arial" w:hAnsi="Arial"/>
          <w:sz w:val="18"/>
          <w:szCs w:val="18"/>
          <w:color w:val="auto"/>
        </w:rPr>
        <w:t>Prior to September 30, 2022, Bancorp operated under the Small Bank Holding Company Policy Statement and therefore, was not subject to Basel III capital adequacy requirements. The listed capital adequacy ratios exclude capital conservation buffers.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For a discussion of the expected impact of accounting pronouncements recently adopted and accounting pronouncements recently issued but not yet adopted by us as of December 31, 2022, see Note 2, Recently Issued Accounting Standards, of our audited consolidated financial statements included elsewhere in this Annual Report on Form 10-K. On January 1, 2023, the Company will adopt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 Measurement of Credit Losses on Financial Instruments</w:t>
      </w:r>
      <w:r>
        <w:rPr>
          <w:rFonts w:ascii="Arial" w:cs="Arial" w:eastAsia="Arial" w:hAnsi="Arial"/>
          <w:sz w:val="17"/>
          <w:szCs w:val="17"/>
          <w:color w:val="auto"/>
        </w:rPr>
        <w:t>, which replaces the current “incurred loss” model for recognizing credit losses with</w:t>
      </w:r>
      <w:r>
        <w:rPr>
          <w:rFonts w:ascii="Arial" w:cs="Arial" w:eastAsia="Arial" w:hAnsi="Arial"/>
          <w:sz w:val="17"/>
          <w:szCs w:val="17"/>
          <w:i w:val="1"/>
          <w:iCs w:val="1"/>
          <w:color w:val="auto"/>
        </w:rPr>
        <w:t xml:space="preserve"> </w:t>
      </w:r>
      <w:r>
        <w:rPr>
          <w:rFonts w:ascii="Arial" w:cs="Arial" w:eastAsia="Arial" w:hAnsi="Arial"/>
          <w:sz w:val="17"/>
          <w:szCs w:val="17"/>
          <w:color w:val="auto"/>
        </w:rPr>
        <w:t>an “expected loss” model referred to as the Current Expected Credit Loss model. The Company estimates the adoption of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ASU No. 2016-13 will result in an increase to our allowance for credit losses and reserve for unfunded commitments totaling between $5.0 million to $7.0 million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reconciliation table provides a more detailed analysis of these non-GAAP financial measures along with their most directly comparable financial measures calculated in accordance with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ind w:left="20"/>
              <w:spacing w:after="0"/>
              <w:rPr>
                <w:sz w:val="20"/>
                <w:szCs w:val="20"/>
                <w:color w:val="auto"/>
              </w:rPr>
            </w:pPr>
            <w:r>
              <w:rPr>
                <w:rFonts w:ascii="Arial" w:cs="Arial" w:eastAsia="Arial" w:hAnsi="Arial"/>
                <w:sz w:val="18"/>
                <w:szCs w:val="18"/>
                <w:b w:val="1"/>
                <w:bCs w:val="1"/>
                <w:color w:val="auto"/>
              </w:rPr>
              <w:t>Allowance for loan losses to total loans held for investment, excluding PPP loans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792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2022</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2021</w:t>
            </w:r>
          </w:p>
        </w:tc>
      </w:tr>
      <w:tr>
        <w:trPr>
          <w:trHeight w:val="22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(numerator)</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23,243</w:t>
            </w:r>
          </w:p>
        </w:tc>
      </w:tr>
      <w:tr>
        <w:trPr>
          <w:trHeight w:val="223"/>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Total loans held for investment</w:t>
            </w: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2,791,326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1,934,460</w:t>
            </w:r>
          </w:p>
        </w:tc>
      </w:tr>
      <w:tr>
        <w:trPr>
          <w:trHeight w:val="230"/>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PPP loans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22,124</w:t>
            </w:r>
          </w:p>
        </w:tc>
      </w:tr>
      <w:tr>
        <w:trPr>
          <w:trHeight w:val="223"/>
        </w:trPr>
        <w:tc>
          <w:tcPr>
            <w:tcW w:w="7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loans held for investment, excluding PPP loans (denominator)</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2,791,326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1,912,336</w:t>
            </w:r>
          </w:p>
        </w:tc>
      </w:tr>
      <w:tr>
        <w:trPr>
          <w:trHeight w:val="24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loan losses to total loans held for investment, excluding PPP loans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92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10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c>
          <w:tcPr>
            <w:tcW w:w="3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926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(Moss Adams LLP; PCAOB ID# 659)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4600" w:type="dxa"/>
            <w:vAlign w:val="bottom"/>
            <w:gridSpan w:val="5"/>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Income for the years ended December 31, 2022 and 2021</w:t>
            </w:r>
          </w:p>
        </w:tc>
        <w:tc>
          <w:tcPr>
            <w:tcW w:w="3100" w:type="dxa"/>
            <w:vAlign w:val="bottom"/>
            <w:gridSpan w:val="4"/>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Comprehensive Income for the years ended December 31, 2022 and 2021</w:t>
            </w:r>
          </w:p>
        </w:tc>
        <w:tc>
          <w:tcPr>
            <w:tcW w:w="1920" w:type="dxa"/>
            <w:vAlign w:val="bottom"/>
            <w:gridSpan w:val="2"/>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926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Shareholders' Equity for the years ended December 31, 2022 and 2021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9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Statements of Cash Flows for the years ended December 31, 2022 and 2021</w:t>
            </w:r>
          </w:p>
        </w:tc>
        <w:tc>
          <w:tcPr>
            <w:tcW w:w="13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300" w:type="dxa"/>
            <w:vAlign w:val="bottom"/>
            <w:tcBorders>
              <w:top w:val="single" w:sz="8" w:color="0000FF"/>
            </w:tcBorders>
            <w:gridSpan w:val="4"/>
          </w:tcPr>
          <w:p>
            <w:pPr>
              <w:spacing w:after="0"/>
              <w:rPr>
                <w:sz w:val="20"/>
                <w:szCs w:val="20"/>
                <w:color w:val="auto"/>
              </w:rPr>
            </w:pPr>
          </w:p>
        </w:tc>
        <w:tc>
          <w:tcPr>
            <w:tcW w:w="2800" w:type="dxa"/>
            <w:vAlign w:val="bottom"/>
            <w:gridSpan w:val="3"/>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r>
      <w:tr>
        <w:trPr>
          <w:trHeight w:val="938"/>
        </w:trPr>
        <w:tc>
          <w:tcPr>
            <w:tcW w:w="6180" w:type="dxa"/>
            <w:vAlign w:val="bottom"/>
            <w:gridSpan w:val="5"/>
          </w:tcPr>
          <w:p>
            <w:pPr>
              <w:jc w:val="right"/>
              <w:ind w:right="46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Five Star Bancorp and Subsidiary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Five Star Bancorp (and subsidiary) (the “Company”) as of December 31, 2022 and 2021, the related consolidated statements of income, comprehensive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2022 and 2021, and the consolidated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Notes 1 and 15 to the consolidated financial statements, the Company changed its method of accounting for leases as of January 1, 2022 due to the adoption of Accounting Standards Update No. 2016-02, which established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the standards of the PCAOB. As part of our audits, we are required to obtain an understanding of internal control over financial reporting, but not for the purpose of expressing an opinion on the effectiveness of the Company’s internal control over financial reporting in accordance with the standards of the PCAOB. Accordingly, we express no such opinion.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due from financial institutions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136,074</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Interest-bearing deposits in banks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227,430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289,255</w:t>
            </w:r>
          </w:p>
        </w:tc>
      </w:tr>
      <w:tr>
        <w:trPr>
          <w:trHeight w:val="243"/>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425,329</w:t>
            </w: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Time deposits in banks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14,464</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Securities available-for-sale, at fair value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115,988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148,807</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Securities held-to-maturity, at amortized cost (fair value of $3,432 and $5,197 at December 31, 2022 and 2021,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4,946</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10,671</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2,791,326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1,934,460</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loan losses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(23,243)</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net of allowance for loan losses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1,911,217</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Federal Home Loan Bank of San Francisco (“FHLB”)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6,723</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 right-of-use asset (“ROUA”)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Premises and equipment,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1,773</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Bank-owned life insurance (“BOLI”)</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11,203</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receivable and other assets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34,077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21,628</w:t>
            </w: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2,556,761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Non-interest-bearing</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971,246</w:t>
            </w:r>
          </w:p>
        </w:tc>
        <w:tc>
          <w:tcPr>
            <w:tcW w:w="10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902,118</w:t>
            </w:r>
          </w:p>
        </w:tc>
      </w:tr>
      <w:tr>
        <w:trPr>
          <w:trHeight w:val="245"/>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Interest-bearing</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1,810,758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1,383,772</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Total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2,782,004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2,285,890</w:t>
            </w:r>
          </w:p>
        </w:tc>
      </w:tr>
      <w:tr>
        <w:trPr>
          <w:trHeight w:val="171"/>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Subordinated notes,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73,606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28,386</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FHLB advances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Operating lease liability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payable and other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14,481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7,439</w:t>
            </w:r>
          </w:p>
        </w:tc>
      </w:tr>
      <w:tr>
        <w:trPr>
          <w:trHeight w:val="217"/>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2,974,334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2,321,715</w:t>
            </w:r>
          </w:p>
        </w:tc>
      </w:tr>
      <w:tr>
        <w:trPr>
          <w:trHeight w:val="148"/>
        </w:trPr>
        <w:tc>
          <w:tcPr>
            <w:tcW w:w="8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Commitments and contingencies (Note 15)</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71"/>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7"/>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0"/>
              </w:rPr>
              <w:t>Preferred stock, no par value; 10,000,000 shares authorized; zero issued and outstanding at December 31, 2022 and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7"/>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2021, respectively</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8"/>
        </w:trPr>
        <w:tc>
          <w:tcPr>
            <w:tcW w:w="8180" w:type="dxa"/>
            <w:vAlign w:val="bottom"/>
          </w:tcPr>
          <w:p>
            <w:pPr>
              <w:ind w:left="180"/>
              <w:spacing w:after="0"/>
              <w:rPr>
                <w:sz w:val="20"/>
                <w:szCs w:val="20"/>
                <w:color w:val="auto"/>
              </w:rPr>
            </w:pPr>
            <w:r>
              <w:rPr>
                <w:rFonts w:ascii="Arial" w:cs="Arial" w:eastAsia="Arial" w:hAnsi="Arial"/>
                <w:sz w:val="17"/>
                <w:szCs w:val="17"/>
                <w:color w:val="auto"/>
                <w:w w:val="98"/>
              </w:rPr>
              <w:t>Common stock, no par value; 100,000,000 shares authorized; 17,241,926 shares issued and outstanding at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9"/>
        </w:trPr>
        <w:tc>
          <w:tcPr>
            <w:tcW w:w="8180" w:type="dxa"/>
            <w:vAlign w:val="bottom"/>
          </w:tcPr>
          <w:p>
            <w:pPr>
              <w:ind w:left="360"/>
              <w:spacing w:after="0"/>
              <w:rPr>
                <w:sz w:val="20"/>
                <w:szCs w:val="20"/>
                <w:color w:val="auto"/>
              </w:rPr>
            </w:pPr>
            <w:r>
              <w:rPr>
                <w:rFonts w:ascii="Arial" w:cs="Arial" w:eastAsia="Arial" w:hAnsi="Arial"/>
                <w:sz w:val="17"/>
                <w:szCs w:val="17"/>
                <w:color w:val="auto"/>
              </w:rPr>
              <w:t>December 31, 2022; 17,224,848 shares issued and outstanding at December 31, 2021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219,543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218,444</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17,168</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Accumulated other comprehensive loss,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w:t>
            </w:r>
          </w:p>
        </w:tc>
      </w:tr>
      <w:tr>
        <w:trPr>
          <w:trHeight w:val="223"/>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235,046</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3,227,159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2,556,761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dividend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Loans, including fees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111,795</w:t>
            </w:r>
          </w:p>
        </w:tc>
        <w:tc>
          <w:tcPr>
            <w:tcW w:w="10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78,894</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Taxable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Nontaxable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821</w:t>
            </w:r>
          </w:p>
        </w:tc>
      </w:tr>
      <w:tr>
        <w:trPr>
          <w:trHeight w:val="245"/>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Interest-bearing deposits in other banks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117,918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81,583</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2,199</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FHLB advances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Subordinated notes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w:t>
            </w: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77,611</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loan losses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r>
      <w:tr>
        <w:trPr>
          <w:trHeight w:val="243"/>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 after provision for loan losses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75,911</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Non-interest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Service charges on deposit accounts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424</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gain on sale of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Gain on sale of loans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4,082</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Loan-related fees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FHLB stock dividends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Earnings on BOLI</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w:t>
            </w:r>
          </w:p>
        </w:tc>
      </w:tr>
      <w:tr>
        <w:trPr>
          <w:trHeight w:val="234"/>
        </w:trPr>
        <w:tc>
          <w:tcPr>
            <w:tcW w:w="8180" w:type="dxa"/>
            <w:vAlign w:val="bottom"/>
          </w:tcPr>
          <w:p>
            <w:pPr>
              <w:ind w:left="20"/>
              <w:spacing w:after="0"/>
              <w:rPr>
                <w:sz w:val="20"/>
                <w:szCs w:val="20"/>
                <w:color w:val="auto"/>
              </w:rPr>
            </w:pPr>
            <w:r>
              <w:rPr>
                <w:rFonts w:ascii="Arial" w:cs="Arial" w:eastAsia="Arial" w:hAnsi="Arial"/>
                <w:sz w:val="17"/>
                <w:szCs w:val="17"/>
                <w:color w:val="auto"/>
              </w:rPr>
              <w:t>Non-interest expense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Salaries and employee benefits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19,825</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Occupancy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1,938</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Data processing and software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Federal Deposit Insurance Corporation (“FDIC”) insurance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Professional services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w:t>
            </w: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Advertising and promotional</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1,300</w:t>
            </w: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Loan-related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w:t>
            </w:r>
          </w:p>
        </w:tc>
      </w:tr>
      <w:tr>
        <w:trPr>
          <w:trHeight w:val="223"/>
        </w:trPr>
        <w:tc>
          <w:tcPr>
            <w:tcW w:w="8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36,043</w:t>
            </w: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47,148</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4,707</w:t>
            </w:r>
          </w:p>
        </w:tc>
      </w:tr>
      <w:tr>
        <w:trPr>
          <w:trHeight w:val="243"/>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2021</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holding loss on securities available-for-sale during the period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Reclassification adjustment for net realized gains included in net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7"/>
        </w:trPr>
        <w:tc>
          <w:tcPr>
            <w:tcW w:w="8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Income tax benefit related to net unrealized loss and reclassification adjustment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77"/>
        </w:trPr>
        <w:tc>
          <w:tcPr>
            <w:tcW w:w="8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(1,911)</w:t>
            </w:r>
          </w:p>
        </w:tc>
      </w:tr>
      <w:tr>
        <w:trPr>
          <w:trHeight w:val="277"/>
        </w:trPr>
        <w:tc>
          <w:tcPr>
            <w:tcW w:w="8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40,530</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Accumulated 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2580" w:type="dxa"/>
            <w:vAlign w:val="bottom"/>
            <w:gridSpan w:val="4"/>
            <w:vMerge w:val="restart"/>
          </w:tcPr>
          <w:p>
            <w:pPr>
              <w:jc w:val="right"/>
              <w:ind w:right="630"/>
              <w:spacing w:after="0"/>
              <w:rPr>
                <w:sz w:val="20"/>
                <w:szCs w:val="20"/>
                <w:color w:val="auto"/>
              </w:rPr>
            </w:pPr>
            <w:r>
              <w:rPr>
                <w:rFonts w:ascii="Arial" w:cs="Arial" w:eastAsia="Arial" w:hAnsi="Arial"/>
                <w:sz w:val="18"/>
                <w:szCs w:val="18"/>
                <w:color w:val="auto"/>
              </w:rPr>
              <w:t>Common Stock</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6"/>
                <w:szCs w:val="16"/>
                <w:color w:val="auto"/>
              </w:rPr>
            </w:pPr>
          </w:p>
        </w:tc>
        <w:tc>
          <w:tcPr>
            <w:tcW w:w="150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88"/>
              </w:rPr>
              <w:t>Comprehensive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200" w:type="dxa"/>
            <w:vAlign w:val="bottom"/>
          </w:tcPr>
          <w:p>
            <w:pPr>
              <w:spacing w:after="0"/>
              <w:rPr>
                <w:sz w:val="11"/>
                <w:szCs w:val="11"/>
                <w:color w:val="auto"/>
              </w:rPr>
            </w:pPr>
          </w:p>
        </w:tc>
        <w:tc>
          <w:tcPr>
            <w:tcW w:w="25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color w:val="auto"/>
                <w:w w:val="90"/>
              </w:rPr>
              <w:t>Income (Loss),</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340" w:type="dxa"/>
            <w:vAlign w:val="bottom"/>
            <w:gridSpan w:val="2"/>
            <w:vMerge w:val="restart"/>
          </w:tcPr>
          <w:p>
            <w:pPr>
              <w:ind w:left="38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line="20" w:lineRule="exact"/>
              <w:rPr>
                <w:sz w:val="1"/>
                <w:szCs w:val="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line="20" w:lineRule="exact"/>
              <w:rPr>
                <w:sz w:val="1"/>
                <w:szCs w:val="1"/>
                <w:color w:val="auto"/>
              </w:rPr>
            </w:pPr>
          </w:p>
        </w:tc>
      </w:tr>
      <w:tr>
        <w:trPr>
          <w:trHeight w:val="229"/>
        </w:trPr>
        <w:tc>
          <w:tcPr>
            <w:tcW w:w="4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Net of Taxes</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11,000,273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133,775</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42,441</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 offering</w:t>
            </w:r>
          </w:p>
        </w:tc>
        <w:tc>
          <w:tcPr>
            <w:tcW w:w="1240" w:type="dxa"/>
            <w:vAlign w:val="bottom"/>
          </w:tcPr>
          <w:p>
            <w:pPr>
              <w:jc w:val="right"/>
              <w:spacing w:after="0"/>
              <w:rPr>
                <w:sz w:val="20"/>
                <w:szCs w:val="20"/>
                <w:color w:val="auto"/>
              </w:rPr>
            </w:pPr>
            <w:r>
              <w:rPr>
                <w:rFonts w:ascii="Arial" w:cs="Arial" w:eastAsia="Arial" w:hAnsi="Arial"/>
                <w:sz w:val="18"/>
                <w:szCs w:val="18"/>
                <w:color w:val="auto"/>
              </w:rPr>
              <w:t>6,054,750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111,243</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retained deficit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Cash dividends paid ($4.55 per share)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(51,942)</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stock compensation expense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Cumulative effect of adoption of Accounting Standards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Codification (“ASC”) 842 on retained earnings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Cash dividends paid ($1.05 per share)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54"/>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7"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44,801</w:t>
            </w:r>
          </w:p>
        </w:tc>
        <w:tc>
          <w:tcPr>
            <w:tcW w:w="10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42,441</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Provision for loan losses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Loans originated for sale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(48,169)</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Gain on sale of loans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(4,082)</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sale of loans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43,024</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Net gain on sale of securities available-for-sale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Earnings on BOLI</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Stock compensation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Director stock compensation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Change in deferred loan fees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and accretion of security premiums and discounts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Amortization of subordinated notes issuance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Decrease in operating lease liability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operating lease ROUA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Deferred tax provision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(4,001)</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Extinguishment of redeemed subordinated note issuance costs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Arial" w:cs="Arial" w:eastAsia="Arial" w:hAnsi="Arial"/>
                <w:sz w:val="17"/>
                <w:szCs w:val="17"/>
                <w:color w:val="auto"/>
              </w:rPr>
              <w:t>Net changes in: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receivable and other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(3,050)</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Interest payable and other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28,657</w:t>
            </w:r>
          </w:p>
        </w:tc>
        <w:tc>
          <w:tcPr>
            <w:tcW w:w="0" w:type="dxa"/>
            <w:vAlign w:val="bottom"/>
          </w:tcPr>
          <w:p>
            <w:pPr>
              <w:spacing w:after="0"/>
              <w:rPr>
                <w:sz w:val="1"/>
                <w:szCs w:val="1"/>
                <w:color w:val="auto"/>
              </w:rPr>
            </w:pPr>
          </w:p>
        </w:tc>
      </w:tr>
      <w:tr>
        <w:trPr>
          <w:trHeight w:val="228"/>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 of securities available-for-sale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47,096</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Maturities, prepayments, and calls of securities available-for-sale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18,732</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securities available-for-sale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(99,686)</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Net change in time deposits in banks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9,241</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originations, net of repayments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(848,283)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(426,882)</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Purchase of premises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FHLB stock</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Purchase of BOLI</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(455,011)</w:t>
            </w:r>
          </w:p>
        </w:tc>
        <w:tc>
          <w:tcPr>
            <w:tcW w:w="0" w:type="dxa"/>
            <w:vAlign w:val="bottom"/>
          </w:tcPr>
          <w:p>
            <w:pPr>
              <w:spacing w:after="0"/>
              <w:rPr>
                <w:sz w:val="1"/>
                <w:szCs w:val="1"/>
                <w:color w:val="auto"/>
              </w:rPr>
            </w:pPr>
          </w:p>
        </w:tc>
      </w:tr>
      <w:tr>
        <w:trPr>
          <w:trHeight w:val="228"/>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deposits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496,114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501,889</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Proceeds from issuance of stock</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111,243</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FHLB advances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Cash dividends paid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(15,301)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(51,942)</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subordinated note issuance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Arial" w:cs="Arial" w:eastAsia="Arial" w:hAnsi="Arial"/>
                <w:sz w:val="17"/>
                <w:szCs w:val="17"/>
                <w:color w:val="auto"/>
              </w:rPr>
              <w:t>Subordinated note issuance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Subordinated note redemption</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625,609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561,190</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134,836</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425,329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290,493</w:t>
            </w: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paid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Arial" w:cs="Arial" w:eastAsia="Arial" w:hAnsi="Arial"/>
                <w:sz w:val="17"/>
                <w:szCs w:val="17"/>
                <w:color w:val="auto"/>
              </w:rPr>
              <w:t>Income taxes paid</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5,200</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141"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141"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Supplemental disclosure of noncash investing and financing activities: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ind w:left="180"/>
              <w:spacing w:after="0"/>
              <w:rPr>
                <w:sz w:val="20"/>
                <w:szCs w:val="20"/>
                <w:color w:val="auto"/>
              </w:rPr>
            </w:pPr>
            <w:r>
              <w:rPr>
                <w:rFonts w:ascii="Arial" w:cs="Arial" w:eastAsia="Arial" w:hAnsi="Arial"/>
                <w:sz w:val="17"/>
                <w:szCs w:val="17"/>
                <w:color w:val="auto"/>
              </w:rPr>
              <w:t>Transfer from loans held for investment to loans held for sale</w:t>
            </w:r>
          </w:p>
        </w:tc>
        <w:tc>
          <w:tcPr>
            <w:tcW w:w="18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10,671</w:t>
            </w:r>
          </w:p>
        </w:tc>
        <w:tc>
          <w:tcPr>
            <w:tcW w:w="5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4,820</w:t>
            </w:r>
          </w:p>
        </w:tc>
      </w:tr>
      <w:tr>
        <w:trPr>
          <w:trHeight w:val="25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loss on securities</w:t>
            </w:r>
          </w:p>
        </w:tc>
        <w:tc>
          <w:tcPr>
            <w:tcW w:w="18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(18,291)</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w:t>
            </w:r>
          </w:p>
        </w:tc>
      </w:tr>
      <w:tr>
        <w:trPr>
          <w:trHeight w:val="234"/>
        </w:trPr>
        <w:tc>
          <w:tcPr>
            <w:tcW w:w="6820" w:type="dxa"/>
            <w:vAlign w:val="bottom"/>
          </w:tcPr>
          <w:p>
            <w:pPr>
              <w:ind w:left="180"/>
              <w:spacing w:after="0"/>
              <w:rPr>
                <w:sz w:val="20"/>
                <w:szCs w:val="20"/>
                <w:color w:val="auto"/>
              </w:rPr>
            </w:pPr>
            <w:r>
              <w:rPr>
                <w:rFonts w:ascii="Arial" w:cs="Arial" w:eastAsia="Arial" w:hAnsi="Arial"/>
                <w:sz w:val="17"/>
                <w:szCs w:val="17"/>
                <w:color w:val="auto"/>
              </w:rPr>
              <w:t>Operating lease liabilities recorded in conjunction with adoption of ASC 842</w:t>
            </w:r>
          </w:p>
        </w:tc>
        <w:tc>
          <w:tcPr>
            <w:tcW w:w="18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5,221</w:t>
            </w:r>
          </w:p>
        </w:tc>
        <w:tc>
          <w:tcPr>
            <w:tcW w:w="5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ROUA recorded in conjunction with adoption of ASC 842</w:t>
            </w:r>
          </w:p>
        </w:tc>
        <w:tc>
          <w:tcPr>
            <w:tcW w:w="18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4,974</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6820" w:type="dxa"/>
            <w:vAlign w:val="bottom"/>
          </w:tcPr>
          <w:p>
            <w:pPr>
              <w:ind w:left="180"/>
              <w:spacing w:after="0"/>
              <w:rPr>
                <w:sz w:val="20"/>
                <w:szCs w:val="20"/>
                <w:color w:val="auto"/>
              </w:rPr>
            </w:pPr>
            <w:r>
              <w:rPr>
                <w:rFonts w:ascii="Arial" w:cs="Arial" w:eastAsia="Arial" w:hAnsi="Arial"/>
                <w:sz w:val="17"/>
                <w:szCs w:val="17"/>
                <w:color w:val="auto"/>
              </w:rPr>
              <w:t>Cumulative effect of adoption of ASC 842 on retained earnings</w:t>
            </w:r>
          </w:p>
        </w:tc>
        <w:tc>
          <w:tcPr>
            <w:tcW w:w="18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5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Disposal of premises and equipment</w:t>
            </w:r>
          </w:p>
        </w:tc>
        <w:tc>
          <w:tcPr>
            <w:tcW w:w="18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r>
      <w:tr>
        <w:trPr>
          <w:trHeight w:val="226"/>
        </w:trPr>
        <w:tc>
          <w:tcPr>
            <w:tcW w:w="6820" w:type="dxa"/>
            <w:vAlign w:val="bottom"/>
          </w:tcPr>
          <w:p>
            <w:pPr>
              <w:ind w:left="180"/>
              <w:spacing w:after="0"/>
              <w:rPr>
                <w:sz w:val="20"/>
                <w:szCs w:val="20"/>
                <w:color w:val="auto"/>
              </w:rPr>
            </w:pPr>
            <w:r>
              <w:rPr>
                <w:rFonts w:ascii="Arial" w:cs="Arial" w:eastAsia="Arial" w:hAnsi="Arial"/>
                <w:sz w:val="17"/>
                <w:szCs w:val="17"/>
                <w:color w:val="auto"/>
              </w:rPr>
              <w:t>Reclassification of retained deficit</w:t>
            </w:r>
          </w:p>
        </w:tc>
        <w:tc>
          <w:tcPr>
            <w:tcW w:w="18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4,321</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a broad range of banking products and services to customers who are predominantly small and medium-sized businesses, professionals, and individuals primarily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publicly filed a Registration Statement on Form S-1 with the U.S. Securities and Exchange Commission (“SEC”) in connection with its IPO (the “Registration Statement”), which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$111,243,000. The net proceeds less other related expenses, including audit fees, legal fees, listing fees, and other expenses, totaled $109,082,000.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Presentation and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as contained within the Financial Accounting Standards Board’s (“FASB”) Accounting Standards Codification (“ASC”), including Accounting Standards Updates (“ASU”) and the rules and regulations of the SEC, including the instructions to Regulation S-X.</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Five Star Bancorp and its wholly owned subsidiary, Five Star Bank. All significant intercompany transactions and balances are eliminated in consolidation.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 smaller reporting company, and, as such, may take advantage of specified reduced reporting requirements and is relieved of other significant requirements that are otherwise generally applicable to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18"/>
          <w:szCs w:val="18"/>
          <w:color w:val="auto"/>
        </w:rPr>
        <w:t>consolidated financial statements and the disclosures provided, and actual results could differ. The allowance for loan losses is the most significant accounting estimate reflected in the Company’s consolidated financial statements. Other estimates include fair value measurements, valuation of servicing assets, and deferred tax asset valuation.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defines cash and cash equivalents as cash, due from financial institutions, interest-bearing deposits in banks with short 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Available-for-Sale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 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Investments with fair values that are less than amortized cost are considered impaired. Impairment may result from either a decline in the financial condition of the issuing entity or, in the case of fixed interest rate investments, from rising interest rates, or both. At each consolidated financial statement date, management assesses each investment to determine if impaired investments are temporarily impaired or if the impairment is other-than-temporary. Various factors are considered in the assessment, including the nature of the investment, the cause of the impairment, the severity and duration of the impairment, credit ratings, and other credit-related factors such as third-party guarantees and volatility of the security’s fair value. This assessment also includes a determination as to whether the Company intends to sell the security, or if it is more likely than not that the Company will be required to sell the security before recovery of its amortized cost basis less any current-period credit losses. If the Company intends to sell a security or if it is more likely than not that the Company will be required to sell the security before recovery, an other-than-temporary impairment (“OTTI”) write-down is recognized in earnings equal to the entire difference between the security’s amortized cost basis and its fair value. For debt securities that are considered to be OTTI and that the Company does not intend to sell and will not be required to sell prior to recovery of the amortized cost basis, the amount of impairment is separated into the amount that is credit-related (credit loss component) and the amount due to all other factors. The credit loss component is recognized in earnings and is calculated as the difference between the security’s amortized cost basis and the present value of its expected future cash flows. The remaining difference between the security’s fair value and the present value of the future expected cash flows is deemed to be due to factors that are not credit-related and is recognized in other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Held-to-Maturity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Allowance for Loan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are reported at the principal amount outstanding, net of deferred loan fees and costs and the allowance for loan losses. Interest on loans is accrued daily based on the principal outstanding.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fees, net of certain direct costs of origination, are deferred and recognized in interest income using the level-yield method without anticipating prepayments. During the years ended December 31, 2022 and 2021, salaries and employee benefits totaling $6,155,000 and $5,198,000, respectively, were deferred as loan origination costs.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represents the estimated probable incurred loan losses in the Company’s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Audit Committee of the board of directors reviews the adequacy of the allowance at least quarterly.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allowance consists of: (i) specific allowances for individually identified impaired loans (ASC 310-10,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(ii) general allowances for pools of loans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which incorporate quantitative (e.g., historical loan loss rates) and qualitative risk factors (e.g., portfolio growth and trends, credit concentrations, economic and regulatory factors, etc.); and (iii) unallocated allowances, if any.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first component, specific allowances, results from the analysis of identified problem credits and the evaluation of sources of repayment, including collateral, as applicable. Through management’s ongoing credit monitoring process, individual loans are identified that have conditions indicating the borrower may be unable to pay all amounts due in accordance with contractual terms. These loans are evaluated for impairment individually by management. Management considers an originated loan to be impaired when it is probable that collection of all amounts due according to the contractual terms of the loan agreement is unlikely. Loans that experience insignificant payment delays and payment shortfalls generally are not classified as impaired. Management determines the significance of payment delays and payment shortfalls on a case-by-case basis, taking into consideration all of the facts and circumstances surrounding the loan and the borrower, including the length of the delay, the reasons for the delay, the borrower’s prior payment record, and the amount of the shortfall in relation to the principal and interest owed. Interest income is recognized on impaired loans in the same manner as non-accrual loans.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the fair value of the impaired loan is less than the recorded investment in the loan, the difference is recorded as an impairment through the establishment of a specific allowance. For loans determined to be impaired, the extent of the impairment is measured based on the present value of expected future cash flows discounted at the loan’s effective interest rate at origination, based on the loan’s observable market price, or based on the fair value of the collateral if the loan is collateral dependent or if foreclosure is imminent. Generally, with problem credits that are collateral dependent, management obtains appraisals of the collateral at least annually. Appraisals may be obtained more frequently if management believes the collateral value is subject to market volatility, if a specific event has occurred to the collateral, or if the Company believes foreclosure is imminent.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component, general allowances, is an estimate of the probable inherent losses in each loan pool with similar risk characteristics. This analysis encompasses the entire loan portfolio, excluding individually identified impaired loans. The model determines general allowances by loan segment based on quantitative (loss history) and qualitative risk factors.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component, unallocated allowances, is maintained to cover other uncertainties that could affect management’s estimate of probable losses. The unallocated allowances reflect the margin of imprecision inherent in the underlying assumptions used in the methodologies for estimating specific and general losses in the portfolio. While management believes the best information available is used to determine the allowance for loan losses, the results of operations could be significantly affected if circumstances differ substantially from the assumptions used in determining the allowance. A decline in local and national economic conditions, or significant changes in other assumptions, could result in a material increase in the allowance for loan losses and may adversely affect the Company’s financial condition and results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operations. While the Company believes the estimates and assumptions used in the determination of the adequacy of the allowance for loan losses are reasonable, there can be no assurance that such estimates and assumptions will not be proved incorrect in the future, that the actual amounts of future provisions will not exceed the amounts of past provisions, or that any increased provisions that may be required will not adversely impact the financial condition and results of operations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 loan to be a troubled debt restructure (“TDR”) when the Company has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the Company’s internal underwriting policy. A TDR loan is generally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loan is modified, it is measured based upon the present value of future cash flows discounted at the effective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passage of the Coronavirus Aid, Relief, and Economic Security Act (“CARES Act”), as well as the revised interagency guidance issued in April 2020, the “Interagency Statement on Loan Modifications and Reporting for Financial Institutions Working With Customers Affected by the Coronavirus (Revised),” banks have been provided the option, for loans meeting specific criteria, to temporarily suspend certain requirements under GAAP related to TDRs for a limited time to account for the effects of COVID-19. As a result, the Company has not recognized eligible COVID-19 loan modifications as TDRs. The CARES Act, as amended by the Consolidated Appropriations Act, specified that COVID-19-related loan modifications executed between March 1, 2020 and the earlier of: (i) 60 days after the date of termination of the national emergency declared by the President; and (ii) January 1, 2022, on loans that were current as of December 31, 2019 are not TDRs. Additionally, loans qualifying for these modifications are not required to be reported as delinquent, non-accrual, impaired, or criticized solely as a result of a COVID-19-related loan modification.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Home Loan Bank stock represents the Company’s investment in the stock of the Federal Home Loan Bank of San Francisco (“FHLB”) and is carried at par value. While technically these are considered equity securities, there is no market for FHLB stock. Therefore, the shares are considered as other investment securities.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periodically evaluates FHLB stock for OTTI.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The normal estimated lives used in determining depreciation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7560" w:type="dxa"/>
            <w:vAlign w:val="bottom"/>
            <w:shd w:val="clear" w:color="auto" w:fill="CCEEFF"/>
          </w:tcPr>
          <w:p>
            <w:pPr>
              <w:jc w:val="center"/>
              <w:ind w:left="5990"/>
              <w:spacing w:after="0"/>
              <w:rPr>
                <w:sz w:val="20"/>
                <w:szCs w:val="20"/>
                <w:color w:val="auto"/>
              </w:rPr>
            </w:pPr>
            <w:r>
              <w:rPr>
                <w:rFonts w:ascii="Arial" w:cs="Arial" w:eastAsia="Arial" w:hAnsi="Arial"/>
                <w:sz w:val="18"/>
                <w:szCs w:val="18"/>
                <w:color w:val="auto"/>
                <w:w w:val="88"/>
              </w:rPr>
              <w:t>3 - 12 years</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7560" w:type="dxa"/>
            <w:vAlign w:val="bottom"/>
          </w:tcPr>
          <w:p>
            <w:pPr>
              <w:jc w:val="center"/>
              <w:ind w:left="5990"/>
              <w:spacing w:after="0"/>
              <w:rPr>
                <w:sz w:val="20"/>
                <w:szCs w:val="20"/>
                <w:color w:val="auto"/>
              </w:rPr>
            </w:pPr>
            <w:r>
              <w:rPr>
                <w:rFonts w:ascii="Arial" w:cs="Arial" w:eastAsia="Arial" w:hAnsi="Arial"/>
                <w:sz w:val="18"/>
                <w:szCs w:val="18"/>
                <w:color w:val="auto"/>
                <w:w w:val="88"/>
              </w:rPr>
              <w:t>5 - 10 years</w:t>
            </w: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560" w:type="dxa"/>
            <w:vAlign w:val="bottom"/>
            <w:shd w:val="clear" w:color="auto" w:fill="CCEEFF"/>
          </w:tcPr>
          <w:p>
            <w:pPr>
              <w:jc w:val="center"/>
              <w:ind w:left="5990"/>
              <w:spacing w:after="0"/>
              <w:rPr>
                <w:sz w:val="20"/>
                <w:szCs w:val="20"/>
                <w:color w:val="auto"/>
              </w:rPr>
            </w:pPr>
            <w:r>
              <w:rPr>
                <w:rFonts w:ascii="Arial" w:cs="Arial" w:eastAsia="Arial" w:hAnsi="Arial"/>
                <w:sz w:val="18"/>
                <w:szCs w:val="18"/>
                <w:color w:val="auto"/>
                <w:w w:val="88"/>
              </w:rPr>
              <w:t>5 - 15 years</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Automobiles</w:t>
            </w:r>
          </w:p>
        </w:tc>
        <w:tc>
          <w:tcPr>
            <w:tcW w:w="7560" w:type="dxa"/>
            <w:vAlign w:val="bottom"/>
          </w:tcPr>
          <w:p>
            <w:pPr>
              <w:jc w:val="center"/>
              <w:ind w:left="5990"/>
              <w:spacing w:after="0"/>
              <w:rPr>
                <w:sz w:val="20"/>
                <w:szCs w:val="20"/>
                <w:color w:val="auto"/>
              </w:rPr>
            </w:pPr>
            <w:r>
              <w:rPr>
                <w:rFonts w:ascii="Arial" w:cs="Arial" w:eastAsia="Arial" w:hAnsi="Arial"/>
                <w:sz w:val="18"/>
                <w:szCs w:val="18"/>
                <w:color w:val="auto"/>
                <w:w w:val="89"/>
              </w:rPr>
              <w:t>3 - 5 years</w:t>
            </w:r>
          </w:p>
        </w:tc>
      </w:tr>
      <w:tr>
        <w:trPr>
          <w:trHeight w:val="918"/>
        </w:trPr>
        <w:tc>
          <w:tcPr>
            <w:tcW w:w="3680" w:type="dxa"/>
            <w:vAlign w:val="bottom"/>
          </w:tcPr>
          <w:p>
            <w:pPr>
              <w:spacing w:after="0"/>
              <w:rPr>
                <w:sz w:val="24"/>
                <w:szCs w:val="24"/>
                <w:color w:val="auto"/>
              </w:rPr>
            </w:pPr>
          </w:p>
        </w:tc>
        <w:tc>
          <w:tcPr>
            <w:tcW w:w="7560" w:type="dxa"/>
            <w:vAlign w:val="bottom"/>
          </w:tcPr>
          <w:p>
            <w:pPr>
              <w:jc w:val="right"/>
              <w:ind w:right="5430"/>
              <w:spacing w:after="0"/>
              <w:rPr>
                <w:sz w:val="20"/>
                <w:szCs w:val="20"/>
                <w:color w:val="auto"/>
              </w:rPr>
            </w:pPr>
            <w:r>
              <w:rPr>
                <w:rFonts w:ascii="Arial" w:cs="Arial" w:eastAsia="Arial" w:hAnsi="Arial"/>
                <w:sz w:val="18"/>
                <w:szCs w:val="18"/>
                <w:color w:val="auto"/>
              </w:rPr>
              <w:t>86</w:t>
            </w:r>
          </w:p>
        </w:tc>
      </w:tr>
      <w:tr>
        <w:trPr>
          <w:trHeight w:val="115"/>
        </w:trPr>
        <w:tc>
          <w:tcPr>
            <w:tcW w:w="3680" w:type="dxa"/>
            <w:vAlign w:val="bottom"/>
            <w:tcBorders>
              <w:bottom w:val="single" w:sz="8" w:color="9A9A9A"/>
            </w:tcBorders>
          </w:tcPr>
          <w:p>
            <w:pPr>
              <w:spacing w:after="0"/>
              <w:rPr>
                <w:sz w:val="10"/>
                <w:szCs w:val="10"/>
                <w:color w:val="auto"/>
              </w:rPr>
            </w:pPr>
          </w:p>
        </w:tc>
        <w:tc>
          <w:tcPr>
            <w:tcW w:w="7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Real Estate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Real estate properties acquired through, or in lieu of, loan foreclosure, are classified as other real estate owned (“OREO”), are to be sold, and are initially recorded at fair value of the property at the date of foreclosure less estimated selling costs. Any write-downs in value are recorded against the allowance for loan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2022 and 2021, the Bank did not foreclose on any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Premises, equipment, and other long-term assets are reviewed for impairment when events indicate that their carrying amount may not be recoverable from future undiscounted cash flows. If impaired, the assets are adjusted to reflect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records an ROUA on the consolidated balance sheets for those leases that convey rights to control use of identified assets for a period of time in exchange for consideration. The Company records a lease liability on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investments with readily determinable fair values are carried at fair value, with changes in fair value reported in net income. Equity investments without readily determinable fair values are carried at cost, less impairment, if any, and adjusted for changes resulting from observable price changes in orderly transactions for the identical or similar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9" w:name="page90"/>
    <w:bookmarkEnd w:id="89"/>
    <w:p>
      <w:pPr>
        <w:jc w:val="both"/>
        <w:spacing w:after="0" w:line="296" w:lineRule="auto"/>
        <w:rPr>
          <w:sz w:val="20"/>
          <w:szCs w:val="20"/>
          <w:color w:val="auto"/>
        </w:rPr>
      </w:pPr>
      <w:r>
        <w:rPr>
          <w:rFonts w:ascii="Arial" w:cs="Arial" w:eastAsia="Arial" w:hAnsi="Arial"/>
          <w:sz w:val="16"/>
          <w:szCs w:val="16"/>
          <w:color w:val="auto"/>
        </w:rPr>
        <w:t>Included in the loan portfolio are loans guaranteed by the Small Business Administration (the “SBA”), the Farm Service Agency, the Federal Agriculture Mortgage Corporation, and the United States Department of Agriculture,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Government-guaranteed loans held for sale totaled $9,416,000 and $10,671,000 at December 31, 2022 and 2021, respectively.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The amortized assets are assessed for impairment or increased obligations at the loan level, based on the fair value on a periodic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 and Related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include off-balance sheet credit instruments, such as commitments to make loans, and financial standby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Reserves for unfunded commitments are included as a component of Interest payable and other liabilities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 is recognized for stock options and restricted stock awards (“RSAs”) issued to executives, directors, and employees, based on the fair value of these awards at the date of grant. A Black-Scholes model is utilized to estimate the grant date fair value of stock options, while the fair value of the Company’s common stock at the date of grant is used for RSAs.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has entered into a non-qualified retirement plan for the Chief Executive Officer based on a continuation of employment. The present value of annual post-retirement payments is allocated to expense over the years of required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historically elected to be taxed for U. S. federal income tax purposes as an S Corporation. In conjunction with the IPO, the Company filed consents from the requisite amount of shareholders to revoke its S Corporation election with the Internal Revenue Service (the “IRS”), resulting in the commencement of taxation as a C Corporation for U.S. federal and California state income tax purposes in the second quarter of fiscal year 2021. Upon termination of the Company’s S Corporation status, the Company commenced paying U.S. federal income tax and a higher California state income tax on taxable earnings for each year (including the short year beginning on the date the Company’s status as an S Corporation terminated).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termination of S Corporation status, deferred tax assets and liabilities were recognized for the future tax consequences attributable to differences between the financial statement carrying amounts of existing assets and liabilities and their respective tax basis.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0" w:name="page91"/>
    <w:bookmarkEnd w:id="90"/>
    <w:p>
      <w:pPr>
        <w:jc w:val="both"/>
        <w:ind w:right="20"/>
        <w:spacing w:after="0" w:line="277" w:lineRule="auto"/>
        <w:rPr>
          <w:sz w:val="20"/>
          <w:szCs w:val="20"/>
          <w:color w:val="auto"/>
        </w:rPr>
      </w:pPr>
      <w:r>
        <w:rPr>
          <w:rFonts w:ascii="Arial" w:cs="Arial" w:eastAsia="Arial" w:hAnsi="Arial"/>
          <w:sz w:val="18"/>
          <w:szCs w:val="18"/>
          <w:color w:val="auto"/>
        </w:rPr>
        <w:t>The Company files its income taxes on a consolidated basis with its subsidiary. The allocation of income tax expense represents each entity’s proportionate share of the consolidated provision for income taxes.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uncertain tax positions in accordance with FASB ASC Topic No. 740,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 tax position is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or Loss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 (“EPS”)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2022 and 2021, there were no outstanding stock options. The Company has two forms of outstanding common stock: common stock and unvested RSAs. Following the Company’s IPO, holders of unvested RSAs receive non-forfeitable dividends at the same rate as common shareholders and they both share equally in undistributed earnings; therefore the RSAs are considered participating securities. However, under the two-class method, the difference in EPS is not significant for these participating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share and per share data)</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17,128,282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14,972,637</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17,165,610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14,995,213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Basic EPS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Anti-dilutive shares, which are excluded from the dilutive EPS calculation, were deemed to be immaterial.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pro forma EPS is calculated by applying an effective tax rate of 19.80%, which is the actual effective tax rate, excluding the effects of the discrete deferred tax adjustment of $4,638,000, as discussed in Note 11, Income Taxes. For the year ended December 31, 2022, pro forma EPS is actual EPS, given that the Company was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 C Corporation for the entirety of the year. The following reconciliation table provides a detailed calculation of pro forma EPS: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share and per share data)</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before provision for income taxes - 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47,148</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Actual/pro forma provision for income taxes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w:t>
            </w:r>
          </w:p>
        </w:tc>
      </w:tr>
      <w:tr>
        <w:trPr>
          <w:trHeight w:val="256"/>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Actual/pro forma net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37,813</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17,128,282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14,972,637</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17,165,610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14,995,213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Basic EPS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subordinated notes are recorded at par with related debt issuance costs reported as a direct reduction from the carrying amount. Issuance costs are amortized over the remaining maturity of the notes and reflected in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various estimated fair value information as of December 31, 2022 and 2021.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from time to time, the Company may be required to record certain assets at fair value on a non-recurring basis, such as loans held for sale, certain collateral dependent impaired loans held for investment, and held-to-maturity securities that are other-than-temporarily impaired. These non-recurring fair value adjustments typically involve write-downs of individual assets due to application of lower of cost or fair value accounting.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As a result, if other assumptions had been used, the Company’s recorded earnings or disclosures could have been materially different from those reflected in these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and transactions subsequent to December 31, 2022 for recognition or disclosure. Additional detail can be found in Note 19,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reported in previous consolidated financial statements have been reclassified to conform to current year presentation. These reclassifications did not affect previously reported amounts of net income, total assets,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reflect recent accounting standards that have been adopted or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January 1, 2023, the Company adopted ASU No.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which replaces the current “incurred loss” model for recognizing credit losses with an “expected loss” model referred to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 Expected Credit Loss (“CECL”) model. The CECL model will apply to estimated credit losses on loans receivable, held-to-maturity debt securities, unfunded loan commitments, and certain other financial assets measured at amortized cost. Under ASU 2016-13,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will adopt this standard using a modified retrospective approach through a cumulative-effect adjustment to retained earnings as of the beginning of the first reporting period in which the guidance is effective. A prospective transition approach is required for debt securities for which an OTTI had been recognized before the effective date. The Company currently intends to phase the impact of </w:t>
      </w:r>
      <w:r>
        <w:rPr>
          <w:rFonts w:ascii="Arial" w:cs="Arial" w:eastAsia="Arial" w:hAnsi="Arial"/>
          <w:sz w:val="16"/>
          <w:szCs w:val="16"/>
          <w:i w:val="1"/>
          <w:iCs w:val="1"/>
          <w:color w:val="auto"/>
        </w:rPr>
        <w:t>Topic 326</w:t>
      </w:r>
      <w:r>
        <w:rPr>
          <w:rFonts w:ascii="Arial" w:cs="Arial" w:eastAsia="Arial" w:hAnsi="Arial"/>
          <w:sz w:val="16"/>
          <w:szCs w:val="16"/>
          <w:color w:val="auto"/>
        </w:rPr>
        <w:t xml:space="preserve"> into regulatory capital over three years in accordance with a final ruling effective April 2019 adopted by the Federal Reserve and other U.S. banking agencies.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In January 2021, the FASB issued ASU No.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LIBOR administrators have indicated that certain LIBOR settings will continue to be published through June 30, 2023. An entity may choose to elect the amendments in these updates at an interim period subsequent to March 12, 2020, with adoption methods varying based on transaction type. In December 2022, the FASB issued ASU No. 2022-06, which defers from December 31, 2022 to December 31, 2024 when an entity can no longer apply relief in </w:t>
      </w:r>
      <w:r>
        <w:rPr>
          <w:rFonts w:ascii="Arial" w:cs="Arial" w:eastAsia="Arial" w:hAnsi="Arial"/>
          <w:sz w:val="17"/>
          <w:szCs w:val="17"/>
          <w:i w:val="1"/>
          <w:iCs w:val="1"/>
          <w:color w:val="auto"/>
        </w:rPr>
        <w:t>Topic 848</w:t>
      </w:r>
      <w:r>
        <w:rPr>
          <w:rFonts w:ascii="Arial" w:cs="Arial" w:eastAsia="Arial" w:hAnsi="Arial"/>
          <w:sz w:val="17"/>
          <w:szCs w:val="17"/>
          <w:color w:val="auto"/>
        </w:rPr>
        <w:t>. This was done as the relief permitted until December 31, 2022 would not cover the period until June 30, 2023 when certain LIBOR settings would continue to be published through. The Company has not elected to apply these amendments; however, the Company is assessing the applicability of these ASUs and continues to monitor guidance for reference rate reform from the FASB and its impact on the Company’s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investment securities portfolio includes obligations of states and political subdivisions, securities issued by U.S. federal government agencies such as the Government National Mortgage Association (the “GNMA”) and the SBA, and securities issued by U.S. government-sponsored enterprises (“GSEs”), such as the Federal National Mortgage Association (the “FNMA”), the Federal Home Loan Mortgage Corporation (the “FHLMC”), and the FHLB. The Company also invests in residential and commercial mortgage-backed securities, collateralized mortgage obligations issued or guaranteed by the GSEs, and corporate bonds, as reflected in the following tables.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amortized cost and fair value related to securities held-to-maturity as of December 31, 2022 and 2021 is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Gross Unrealized</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Gains</w:t>
            </w:r>
          </w:p>
        </w:tc>
        <w:tc>
          <w:tcPr>
            <w:tcW w:w="1060" w:type="dxa"/>
            <w:vAlign w:val="bottom"/>
          </w:tcPr>
          <w:p>
            <w:pPr>
              <w:jc w:val="right"/>
              <w:spacing w:after="0"/>
              <w:rPr>
                <w:sz w:val="20"/>
                <w:szCs w:val="20"/>
                <w:color w:val="auto"/>
              </w:rPr>
            </w:pPr>
            <w:r>
              <w:rPr>
                <w:rFonts w:ascii="Arial" w:cs="Arial" w:eastAsia="Arial" w:hAnsi="Arial"/>
                <w:sz w:val="18"/>
                <w:szCs w:val="18"/>
                <w:color w:val="auto"/>
              </w:rPr>
              <w:t>(Losses)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57"/>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held-to-maturity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held-to-maturity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securities issued by states and political subdivisions, for OTTI purposes,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related to securities available-for-sale as of December 31, 2022 and 2021 is presented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Gross Unrealized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57"/>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81,513</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available-for-sale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4" w:name="page95"/>
    <w:bookmarkEnd w:id="94"/>
    <w:p>
      <w:pPr>
        <w:jc w:val="both"/>
        <w:ind w:right="20"/>
        <w:spacing w:after="0" w:line="263" w:lineRule="auto"/>
        <w:rPr>
          <w:sz w:val="20"/>
          <w:szCs w:val="20"/>
          <w:color w:val="auto"/>
        </w:rPr>
      </w:pPr>
      <w:r>
        <w:rPr>
          <w:rFonts w:ascii="Arial" w:cs="Arial" w:eastAsia="Arial" w:hAnsi="Arial"/>
          <w:sz w:val="18"/>
          <w:szCs w:val="18"/>
          <w:color w:val="auto"/>
        </w:rPr>
        <w:t>The amortized cost and fair value of investment debt securities by contractual maturity at December 31, 2022 and 2021 are shown below. Expected maturities may differ from contractual maturities if the issuers of the securities have the right to call or prepay obligations with or without call or prepayment penalties.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Within one year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 one but within five years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 five years through ten years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 ten years</w:t>
      </w:r>
    </w:p>
    <w:p>
      <w:pPr>
        <w:spacing w:after="0" w:line="2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Investment securities not due at a single maturity date: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rPr>
              <w:t>Held-to-Maturity</w:t>
            </w:r>
          </w:p>
        </w:tc>
        <w:tc>
          <w:tcPr>
            <w:tcW w:w="180" w:type="dxa"/>
            <w:vAlign w:val="bottom"/>
          </w:tcPr>
          <w:p>
            <w:pPr>
              <w:spacing w:after="0"/>
              <w:rPr>
                <w:sz w:val="21"/>
                <w:szCs w:val="21"/>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color w:val="auto"/>
              </w:rPr>
              <w:t>Available-for-Sale</w:t>
            </w:r>
          </w:p>
        </w:tc>
        <w:tc>
          <w:tcPr>
            <w:tcW w:w="180" w:type="dxa"/>
            <w:vAlign w:val="bottom"/>
          </w:tcPr>
          <w:p>
            <w:pPr>
              <w:spacing w:after="0"/>
              <w:rPr>
                <w:sz w:val="21"/>
                <w:szCs w:val="21"/>
                <w:color w:val="auto"/>
              </w:rPr>
            </w:pPr>
          </w:p>
        </w:tc>
        <w:tc>
          <w:tcPr>
            <w:tcW w:w="1620" w:type="dxa"/>
            <w:vAlign w:val="bottom"/>
            <w:gridSpan w:val="5"/>
          </w:tcPr>
          <w:p>
            <w:pPr>
              <w:ind w:left="60"/>
              <w:spacing w:after="0"/>
              <w:rPr>
                <w:sz w:val="20"/>
                <w:szCs w:val="20"/>
                <w:color w:val="auto"/>
              </w:rPr>
            </w:pPr>
            <w:r>
              <w:rPr>
                <w:rFonts w:ascii="Arial" w:cs="Arial" w:eastAsia="Arial" w:hAnsi="Arial"/>
                <w:sz w:val="18"/>
                <w:szCs w:val="18"/>
                <w:color w:val="auto"/>
              </w:rPr>
              <w:t>Held-to-Maturity</w:t>
            </w:r>
          </w:p>
        </w:tc>
        <w:tc>
          <w:tcPr>
            <w:tcW w:w="180" w:type="dxa"/>
            <w:vAlign w:val="bottom"/>
          </w:tcPr>
          <w:p>
            <w:pPr>
              <w:spacing w:after="0"/>
              <w:rPr>
                <w:sz w:val="21"/>
                <w:szCs w:val="21"/>
                <w:color w:val="auto"/>
              </w:rPr>
            </w:pPr>
          </w:p>
        </w:tc>
        <w:tc>
          <w:tcPr>
            <w:tcW w:w="1580" w:type="dxa"/>
            <w:vAlign w:val="bottom"/>
            <w:gridSpan w:val="4"/>
          </w:tcPr>
          <w:p>
            <w:pPr>
              <w:jc w:val="right"/>
              <w:ind w:right="130"/>
              <w:spacing w:after="0"/>
              <w:rPr>
                <w:sz w:val="20"/>
                <w:szCs w:val="20"/>
                <w:color w:val="auto"/>
              </w:rPr>
            </w:pPr>
            <w:r>
              <w:rPr>
                <w:rFonts w:ascii="Arial" w:cs="Arial" w:eastAsia="Arial" w:hAnsi="Arial"/>
                <w:sz w:val="18"/>
                <w:szCs w:val="18"/>
                <w:color w:val="auto"/>
                <w:w w:val="94"/>
              </w:rPr>
              <w:t>Available-for-Sale</w:t>
            </w:r>
          </w:p>
        </w:tc>
      </w:tr>
      <w:tr>
        <w:trPr>
          <w:trHeight w:val="215"/>
        </w:trPr>
        <w:tc>
          <w:tcPr>
            <w:tcW w:w="9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Amortized</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37"/>
        </w:trPr>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5"/>
              </w:rPr>
              <w:t>Fair Value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Cost</w:t>
            </w: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Fair Value</w:t>
            </w:r>
          </w:p>
        </w:tc>
      </w:tr>
      <w:tr>
        <w:trPr>
          <w:trHeight w:val="243"/>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57"/>
        </w:trPr>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56"/>
        </w:trPr>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39,402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33,164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40,528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40,867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-316230</wp:posOffset>
            </wp:positionV>
            <wp:extent cx="710628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8255</wp:posOffset>
            </wp:positionV>
            <wp:extent cx="7106285" cy="266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26606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-650875</wp:posOffset>
            </wp:positionV>
            <wp:extent cx="710628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3560" w:space="440"/>
            <w:col w:w="7240"/>
          </w:cols>
          <w:pgMar w:left="320" w:top="1151"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400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14,317</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19,824</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19,682</w:t>
            </w:r>
          </w:p>
        </w:tc>
        <w:tc>
          <w:tcPr>
            <w:tcW w:w="40" w:type="dxa"/>
            <w:vAlign w:val="bottom"/>
          </w:tcPr>
          <w:p>
            <w:pPr>
              <w:spacing w:after="0"/>
              <w:rPr>
                <w:sz w:val="21"/>
                <w:szCs w:val="21"/>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73,111</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82,517</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81,513</w:t>
            </w:r>
          </w:p>
        </w:tc>
        <w:tc>
          <w:tcPr>
            <w:tcW w:w="40" w:type="dxa"/>
            <w:vAlign w:val="bottom"/>
          </w:tcPr>
          <w:p>
            <w:pPr>
              <w:spacing w:after="0"/>
              <w:rPr>
                <w:sz w:val="22"/>
                <w:szCs w:val="22"/>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w:t>
            </w:r>
          </w:p>
        </w:tc>
        <w:tc>
          <w:tcPr>
            <w:tcW w:w="40" w:type="dxa"/>
            <w:vAlign w:val="bottom"/>
          </w:tcPr>
          <w:p>
            <w:pPr>
              <w:spacing w:after="0"/>
              <w:rPr>
                <w:sz w:val="22"/>
                <w:szCs w:val="22"/>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40" w:type="dxa"/>
            <w:vAlign w:val="bottom"/>
          </w:tcPr>
          <w:p>
            <w:pPr>
              <w:spacing w:after="0"/>
              <w:rPr>
                <w:sz w:val="22"/>
                <w:szCs w:val="22"/>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3,756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$ 135,087</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$ 115,988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$ 149,610</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$ 148,807</w:t>
            </w:r>
          </w:p>
        </w:tc>
        <w:tc>
          <w:tcPr>
            <w:tcW w:w="40" w:type="dxa"/>
            <w:vAlign w:val="bottom"/>
          </w:tcPr>
          <w:p>
            <w:pPr>
              <w:spacing w:after="0"/>
              <w:rPr>
                <w:sz w:val="19"/>
                <w:szCs w:val="19"/>
                <w:color w:val="auto"/>
              </w:rPr>
            </w:pPr>
          </w:p>
        </w:tc>
      </w:tr>
      <w:tr>
        <w:trPr>
          <w:trHeight w:val="21"/>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8"/>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w w:val="91"/>
              </w:rPr>
              <w:t>Sales proceeds of investment securities and gross realized gains and/or losses are shown in the following table: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Sales proceeds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47,096</w:t>
            </w:r>
          </w:p>
        </w:tc>
      </w:tr>
      <w:tr>
        <w:trPr>
          <w:trHeight w:val="25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527"/>
        </w:trPr>
        <w:tc>
          <w:tcPr>
            <w:tcW w:w="8180" w:type="dxa"/>
            <w:vAlign w:val="bottom"/>
            <w:gridSpan w:val="2"/>
          </w:tcPr>
          <w:p>
            <w:pPr>
              <w:spacing w:after="0"/>
              <w:rPr>
                <w:sz w:val="20"/>
                <w:szCs w:val="20"/>
                <w:color w:val="auto"/>
              </w:rPr>
            </w:pPr>
            <w:r>
              <w:rPr>
                <w:rFonts w:ascii="Arial" w:cs="Arial" w:eastAsia="Arial" w:hAnsi="Arial"/>
                <w:sz w:val="18"/>
                <w:szCs w:val="18"/>
                <w:color w:val="auto"/>
              </w:rPr>
              <w:t>Pledged investment securities are shown in the following table: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Pledged to the State of California:</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Securing deposits of public funds and borrowings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63,363</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pledged 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December 31,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color w:val="auto"/>
              </w:rPr>
              <w:t>Total securities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&lt; 12 continuous months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12 continuous months or more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a loss position</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Unrealized Loss</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Unrealized Loss</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6"/>
              </w:rPr>
              <w:t>Unrealized Loss</w:t>
            </w:r>
          </w:p>
        </w:tc>
        <w:tc>
          <w:tcPr>
            <w:tcW w:w="0" w:type="dxa"/>
            <w:vAlign w:val="bottom"/>
          </w:tcPr>
          <w:p>
            <w:pPr>
              <w:spacing w:after="0"/>
              <w:rPr>
                <w:sz w:val="1"/>
                <w:szCs w:val="1"/>
                <w:color w:val="auto"/>
              </w:rPr>
            </w:pPr>
          </w:p>
        </w:tc>
      </w:tr>
      <w:tr>
        <w:trPr>
          <w:trHeight w:val="250"/>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8,392</w:t>
            </w:r>
          </w:p>
        </w:tc>
        <w:tc>
          <w:tcPr>
            <w:tcW w:w="12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tcPr>
          <w:p>
            <w:pPr>
              <w:spacing w:after="0"/>
              <w:rPr>
                <w:sz w:val="22"/>
                <w:szCs w:val="22"/>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(11,841)</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11,670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36,377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7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Collateralized mortgage</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68"/>
        </w:trPr>
        <w:tc>
          <w:tcPr>
            <w:tcW w:w="2700" w:type="dxa"/>
            <w:vAlign w:val="bottom"/>
            <w:tcBorders>
              <w:top w:val="single" w:sz="8" w:color="CCEEFF"/>
            </w:tcBorders>
            <w:gridSpan w:val="2"/>
            <w:shd w:val="clear" w:color="auto" w:fill="CCEEFF"/>
          </w:tcPr>
          <w:p>
            <w:pPr>
              <w:ind w:left="180"/>
              <w:spacing w:after="0" w:line="168" w:lineRule="exact"/>
              <w:rPr>
                <w:sz w:val="20"/>
                <w:szCs w:val="20"/>
                <w:color w:val="auto"/>
              </w:rPr>
            </w:pPr>
            <w:r>
              <w:rPr>
                <w:rFonts w:ascii="Arial" w:cs="Arial" w:eastAsia="Arial" w:hAnsi="Arial"/>
                <w:sz w:val="18"/>
                <w:szCs w:val="18"/>
                <w:color w:val="auto"/>
              </w:rPr>
              <w:t>Total temporarily impaired</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32,552</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78,693</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111,245</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(19,202)</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73,972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75,372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188"/>
        </w:trPr>
        <w:tc>
          <w:tcPr>
            <w:tcW w:w="27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14,421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subdivisions</w:t>
            </w:r>
          </w:p>
        </w:tc>
        <w:tc>
          <w:tcPr>
            <w:tcW w:w="2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8"/>
        </w:trPr>
        <w:tc>
          <w:tcPr>
            <w:tcW w:w="2700" w:type="dxa"/>
            <w:vAlign w:val="bottom"/>
            <w:tcBorders>
              <w:top w:val="single" w:sz="8" w:color="CCEEFF"/>
            </w:tcBorders>
            <w:gridSpan w:val="2"/>
            <w:shd w:val="clear" w:color="auto" w:fill="CCEEFF"/>
          </w:tcPr>
          <w:p>
            <w:pPr>
              <w:ind w:left="180"/>
              <w:spacing w:after="0" w:line="168" w:lineRule="exact"/>
              <w:rPr>
                <w:sz w:val="20"/>
                <w:szCs w:val="20"/>
                <w:color w:val="auto"/>
              </w:rPr>
            </w:pPr>
            <w:r>
              <w:rPr>
                <w:rFonts w:ascii="Arial" w:cs="Arial" w:eastAsia="Arial" w:hAnsi="Arial"/>
                <w:sz w:val="18"/>
                <w:szCs w:val="18"/>
                <w:color w:val="auto"/>
              </w:rPr>
              <w:t>Total temporarily impaired</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89,921</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15,206</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105,127</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152 and 91 available-for-sale securities in unrealized loss positions at December 31, 2022 and 2021, respectively. As of December 31, 2022, the investment portfolio included 62 investment securities that had been in a continuous loss position for twelve months or more and 90 investment securities that had been in a loss position for less than twelve months.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evaluates each available-for-sale investment security in an unrealized loss position to determine if the impairment is temporary or other than temporary and has determined that no investment security is OTTI.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6" w:name="page97"/>
    <w:bookmarkEnd w:id="96"/>
    <w:p>
      <w:pPr>
        <w:jc w:val="both"/>
        <w:spacing w:after="0" w:line="308" w:lineRule="auto"/>
        <w:rPr>
          <w:sz w:val="20"/>
          <w:szCs w:val="20"/>
          <w:color w:val="auto"/>
        </w:rPr>
      </w:pPr>
      <w:r>
        <w:rPr>
          <w:rFonts w:ascii="Arial" w:cs="Arial" w:eastAsia="Arial" w:hAnsi="Arial"/>
          <w:sz w:val="17"/>
          <w:szCs w:val="17"/>
          <w:color w:val="auto"/>
        </w:rPr>
        <w:t>There was one held-to-maturity security in a continuous unrealized loss position at December 31, 2022. This security was in an unrealized loss position for less than twelve months. There were no held-to-maturity securities in a continuous loss position for more than twelve months.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FHLB capital stock</w:t>
      </w:r>
      <w:r>
        <w:rPr>
          <w:rFonts w:ascii="Arial" w:cs="Arial" w:eastAsia="Arial" w:hAnsi="Arial"/>
          <w:sz w:val="17"/>
          <w:szCs w:val="17"/>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$10,890,000 and $6,723,000 of FHLB stock at December 31, 2022 and 2021,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2022 and 2021. For the years ended December 31, 2022 and 2021, cash dividends received on FHLB capital stock in the amount of $546,000 and $372,000, respectively, were recorded as non-interest income on the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product type within the Company’s portfolio as of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2,394,674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1,586,232</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54,214</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28,562</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137,062</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21,136</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Paycheck Protection Program (“PPP”)</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Consumer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17,167</w:t>
            </w: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1,936,066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Less: Net deferred loan fees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5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Allowance for loan losses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Loans held for investment, net of allowance for loan losses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2,762,937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1,911,217</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an established methodology to determine the adequacy of the allowance for loan losses that assesses the risks and losses inherent in the loan portfolio. For purposes of determining the allowance for loan losses, the Bank has segmented certain loans in the portfolio by product type. Loans are segmented into the following pools: commercial, real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7" w:name="page98"/>
    <w:bookmarkEnd w:id="97"/>
    <w:p>
      <w:pPr>
        <w:jc w:val="both"/>
        <w:spacing w:after="0" w:line="301" w:lineRule="auto"/>
        <w:rPr>
          <w:sz w:val="20"/>
          <w:szCs w:val="20"/>
          <w:color w:val="auto"/>
        </w:rPr>
      </w:pPr>
      <w:r>
        <w:rPr>
          <w:rFonts w:ascii="Arial" w:cs="Arial" w:eastAsia="Arial" w:hAnsi="Arial"/>
          <w:sz w:val="16"/>
          <w:szCs w:val="16"/>
          <w:color w:val="auto"/>
        </w:rPr>
        <w:t>estate, and consumer. The Company further subdivides these segments into classes based on the associated risks within those segments. Commercial loans are divided into the following two classes: secured and unsecured loans. Real estate loans are divided into the following six classes: commercial real estate, commercial land and development, commercial construction, residential construction, residential real estate, and farmland. For each class of loans, management exercises significant judgment to determine the estimation method that fits the credit risk characteristics of its portfolio segment.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an internally developed model in this process. Management must use judgment in establishing additional input metrics for the modeling processes. The models and assumptions used to determine the allowance are independently validated and reviewed, at least annually, to ensure that their theoretical foundation, assumptions, data integrity, computational processes, reporting practices, and end-user controls are appropriate and properly documented.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 and PPP Loans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CARES Act, which was passed in March 2020, the Company funded over 1,500 loans to eligible small businesses and non-profit organizations who participated in the PPP administered by the SBA. PPP loans have terms of two or five years and earn interest at 1.00%. In addition, the Bank received a fee of 1.00% to 5.00% from the SBA depending on the loan amount, which was netted with loan origination costs and amortized into interest income under the effective yield method over the contractual life of the loan. The recognition of fees and costs is accelerated when the loan is forgiven by the SBA and/or paid off prior to maturity. PPP loans are fully guaranteed by the SBA and are expected to be forgiven by the SBA if they meet the requirements of the program. There were no PPP loans outstanding at December 31, 2022. The balance of PPP loans at December 31, 2021 was $22,124,000.</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CARES Act also required the SBA to make payments on new and existing 7(a) loans for up to six months. These were not deferments but rather full payments of principal and interest that the borrower will not be responsible for in the future. As of December 31, 2022 and 2021, the principal outstanding on loans that received one or more of these payments under the CARES Act was $1,649,000 and $46,601,000,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Real estate loans</w:t>
      </w:r>
      <w:r>
        <w:rPr>
          <w:rFonts w:ascii="Arial" w:cs="Arial" w:eastAsia="Arial" w:hAnsi="Arial"/>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Construction loans</w:t>
      </w:r>
      <w:r>
        <w:rPr>
          <w:rFonts w:ascii="Arial" w:cs="Arial" w:eastAsia="Arial" w:hAnsi="Arial"/>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18"/>
          <w:szCs w:val="18"/>
          <w:color w:val="auto"/>
        </w:rPr>
        <w:t>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customers are primarily located in the Greater Sacramento and North Valley regions of California. As of December 31, 2022, approximately 92% of the Company’s loans were real estate related, 7% were commercial, and 1% were consumer.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Pass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Watch</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Substandard</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Doubtful</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2,379,766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6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2,771,150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2,793,466</w:t>
            </w:r>
          </w:p>
        </w:tc>
      </w:tr>
      <w:tr>
        <w:trPr>
          <w:trHeight w:val="21"/>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Pass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Watch</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Substandard</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Doubtful</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1,575,006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1,586,232</w:t>
            </w:r>
          </w:p>
        </w:tc>
      </w:tr>
      <w:tr>
        <w:trPr>
          <w:trHeight w:val="263"/>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r>
      <w:tr>
        <w:trPr>
          <w:trHeight w:val="25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54,214</w:t>
            </w:r>
          </w:p>
        </w:tc>
      </w:tr>
      <w:tr>
        <w:trPr>
          <w:trHeight w:val="263"/>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r>
      <w:tr>
        <w:trPr>
          <w:trHeight w:val="25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28,562</w:t>
            </w:r>
          </w:p>
        </w:tc>
      </w:tr>
      <w:tr>
        <w:trPr>
          <w:trHeight w:val="263"/>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137,062</w:t>
            </w:r>
          </w:p>
        </w:tc>
      </w:tr>
      <w:tr>
        <w:trPr>
          <w:trHeight w:val="25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21,136</w:t>
            </w:r>
          </w:p>
        </w:tc>
      </w:tr>
      <w:tr>
        <w:trPr>
          <w:trHeight w:val="263"/>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17,167</w:t>
            </w:r>
          </w:p>
        </w:tc>
      </w:tr>
      <w:tr>
        <w:trPr>
          <w:trHeight w:val="255"/>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1,936,066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age analysis of past due loans by class as of December 31, 2022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Arial" w:cs="Arial" w:eastAsia="Arial" w:hAnsi="Arial"/>
                <w:sz w:val="18"/>
                <w:szCs w:val="18"/>
                <w:color w:val="auto"/>
              </w:rPr>
              <w:t>Greater Than</w:t>
            </w:r>
          </w:p>
        </w:tc>
        <w:tc>
          <w:tcPr>
            <w:tcW w:w="1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color w:val="auto"/>
              </w:rPr>
              <w:t>Total Past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9"/>
              </w:rPr>
              <w:t>Total Loans</w:t>
            </w:r>
          </w:p>
        </w:tc>
      </w:tr>
      <w:tr>
        <w:trPr>
          <w:trHeight w:val="24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Days</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Days</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Receivable</w:t>
            </w: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2,394,674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6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2,793,272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2,793,466</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2021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Past Due</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30-89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5"/>
              </w:rPr>
              <w:t>Greater Than 90</w:t>
            </w: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Total Past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30"/>
              <w:spacing w:after="0" w:line="176" w:lineRule="exact"/>
              <w:rPr>
                <w:sz w:val="20"/>
                <w:szCs w:val="20"/>
                <w:color w:val="auto"/>
              </w:rPr>
            </w:pPr>
            <w:r>
              <w:rPr>
                <w:rFonts w:ascii="Arial" w:cs="Arial" w:eastAsia="Arial" w:hAnsi="Arial"/>
                <w:sz w:val="18"/>
                <w:szCs w:val="18"/>
                <w:color w:val="auto"/>
                <w:w w:val="99"/>
              </w:rPr>
              <w:t>Total Loans</w:t>
            </w:r>
          </w:p>
        </w:tc>
      </w:tr>
      <w:tr>
        <w:trPr>
          <w:trHeight w:val="24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Days</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Days</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Receivable</w:t>
            </w: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1,586,232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1,586,232</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54,214</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28,562</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137,062</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21,136</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9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334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17,167</w:t>
            </w:r>
          </w:p>
        </w:tc>
      </w:tr>
      <w:tr>
        <w:trPr>
          <w:trHeight w:val="254"/>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1,936,066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Impaired Loans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12"/>
          </w:tcPr>
          <w:p>
            <w:pPr>
              <w:spacing w:after="0"/>
              <w:rPr>
                <w:sz w:val="20"/>
                <w:szCs w:val="20"/>
                <w:color w:val="auto"/>
              </w:rPr>
            </w:pPr>
            <w:r>
              <w:rPr>
                <w:rFonts w:ascii="Arial" w:cs="Arial" w:eastAsia="Arial" w:hAnsi="Arial"/>
                <w:sz w:val="18"/>
                <w:szCs w:val="18"/>
                <w:color w:val="auto"/>
                <w:w w:val="95"/>
              </w:rPr>
              <w:t>Information related to impaired loans as of December 31, 2022 and 2021 consisted of the following: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color w:val="auto"/>
                <w:w w:val="89"/>
              </w:rPr>
              <w:t>December 31, 2022</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Recorded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90"/>
              </w:rPr>
              <w:t>Related</w:t>
            </w:r>
          </w:p>
        </w:tc>
        <w:tc>
          <w:tcPr>
            <w:tcW w:w="140" w:type="dxa"/>
            <w:vAlign w:val="bottom"/>
          </w:tcPr>
          <w:p>
            <w:pPr>
              <w:spacing w:after="0"/>
              <w:rPr>
                <w:sz w:val="14"/>
                <w:szCs w:val="14"/>
                <w:color w:val="auto"/>
              </w:rPr>
            </w:pP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color w:val="auto"/>
                <w:w w:val="97"/>
              </w:rPr>
              <w:t>Recorded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4"/>
                <w:szCs w:val="14"/>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Allowance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3"/>
              </w:rPr>
              <w:t>Investment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7"/>
              </w:rPr>
              <w:t>Allowance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 an allowance recorded: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Total by category:</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Total impaired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one collateral dependent loan was in the process of foreclosure: a commercial term loan secured by a single family residence with an unpaid principal balance of $175,000 and no related allowance. No collateral dependent loans were in process of foreclosure at December 31, 2021. In addition, the weighted average loan-to-value of impaired, collateral dependent loans was approximately 82.42% and 70.67% at December 31, 2022 and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Information related to impaired loans for the years ended December 31,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color w:val="auto"/>
              </w:rPr>
              <w:t>Years ended December 31,</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8"/>
                <w:szCs w:val="18"/>
                <w:color w:val="auto"/>
                <w:w w:val="94"/>
              </w:rPr>
              <w:t>Average Recorded</w:t>
            </w:r>
          </w:p>
        </w:tc>
        <w:tc>
          <w:tcPr>
            <w:tcW w:w="12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Arial" w:cs="Arial" w:eastAsia="Arial" w:hAnsi="Arial"/>
                <w:sz w:val="18"/>
                <w:szCs w:val="18"/>
                <w:color w:val="auto"/>
                <w:w w:val="98"/>
              </w:rPr>
              <w:t>Interest Income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21"/>
                <w:szCs w:val="21"/>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Recognized</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1"/>
                <w:szCs w:val="21"/>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Recognized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 no related allowance recorded:</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With an allowance recorded: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by category: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Consumer and other</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impaired loans</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Non-accrual loans, segregated by class, are as follows as of December 31, 2022 and 2021: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non-accrual loans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foregone interest income related to non-accrual loans was $39,000 and $33,000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may include certain loans that have been modified in a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restructure and may only be returned to accruing status after considering the borrower’s sustained repayment performance for a reasonable period, generally six months.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one loan outstanding with a TDR designation at December 31, 2022: a nonaccrual, commercial secured loan which had not defaulted with an outstanding balance of $29,000 and reserves covering the amount of the outstanding balance. There were no loans outstanding with a TDR designation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CARES Act, as amended, specified that to be eligible not to be considered a TDR, a loan modification must be: (i) related to the COVID-19 pandemic;</w:t>
      </w:r>
    </w:p>
    <w:p>
      <w:pPr>
        <w:spacing w:after="0" w:line="46"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executed on a loan that was not more than 30 days past due as of December 31, 2019; and (iii) executed between March 1, 2020 and the earlier of: (i)</w:t>
      </w:r>
    </w:p>
    <w:p>
      <w:pPr>
        <w:spacing w:after="0" w:line="32"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60 days after the date of termination of the federal national emergency; or (ii) January 1, 2022. The Company elected to apply the temporary accounting relief provisions for loan modifications that met certain criteria, which would otherwise be designated TDRs under existing GAAP. As of December 31, 2022, no borrowing relationships were continuing to benefit from payment relief. The Company accrued and recognized interest income on loans under payment relief based on the original contractual interest rates. When payments resumed at the end of the relief period, the payments were generally applied to accrued interest due until accrued interest was fully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loan losses for the year ended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7"/>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1"/>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19,216</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28,389</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following table discloses activity in the allowance for loan losses for the year ended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7"/>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1"/>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12,869</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Unallocated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by impairment methodology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8"/>
          </w:tcPr>
          <w:p>
            <w:pPr>
              <w:jc w:val="center"/>
              <w:ind w:right="240"/>
              <w:spacing w:after="0"/>
              <w:rPr>
                <w:sz w:val="20"/>
                <w:szCs w:val="20"/>
                <w:color w:val="auto"/>
              </w:rPr>
            </w:pPr>
            <w:r>
              <w:rPr>
                <w:rFonts w:ascii="Arial" w:cs="Arial" w:eastAsia="Arial" w:hAnsi="Arial"/>
                <w:sz w:val="18"/>
                <w:szCs w:val="18"/>
                <w:color w:val="auto"/>
                <w:w w:val="90"/>
              </w:rPr>
              <w:t>Ending allowance balance allocated to:</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91"/>
              </w:rPr>
              <w:t>Ending balance of:</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color w:val="auto"/>
                <w:w w:val="89"/>
              </w:rPr>
              <w:t>Loans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20"/>
              <w:spacing w:after="0" w:line="169" w:lineRule="exact"/>
              <w:rPr>
                <w:sz w:val="20"/>
                <w:szCs w:val="20"/>
                <w:color w:val="auto"/>
              </w:rPr>
            </w:pPr>
            <w:r>
              <w:rPr>
                <w:rFonts w:ascii="Arial" w:cs="Arial" w:eastAsia="Arial" w:hAnsi="Arial"/>
                <w:sz w:val="18"/>
                <w:szCs w:val="18"/>
                <w:color w:val="auto"/>
                <w:w w:val="89"/>
              </w:rPr>
              <w:t>Loans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color w:val="auto"/>
                <w:w w:val="89"/>
              </w:rPr>
              <w:t>Loans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color w:val="auto"/>
                <w:w w:val="89"/>
              </w:rPr>
              <w:t>Loans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9"/>
              </w:rPr>
              <w:t>individually</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4"/>
              </w:rPr>
              <w:t>collectively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7"/>
              </w:rPr>
              <w:t>individually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6"/>
              </w:rPr>
              <w:t>collectively</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8"/>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2"/>
              </w:rPr>
              <w:t>evaluated for</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0"/>
              </w:rPr>
              <w:t>evaluated for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evaluated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2"/>
              </w:rPr>
              <w:t>evaluated for</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impairment</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2"/>
              </w:rPr>
              <w:t>impairment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impairment</w:t>
            </w: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5"/>
              </w:rPr>
              <w:t>Total loans</w:t>
            </w: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2,394,568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29"/>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2,793,466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following table summarizes the allocation of the allowance for loan losses by impairment methodology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8"/>
          </w:tcPr>
          <w:p>
            <w:pPr>
              <w:jc w:val="center"/>
              <w:ind w:right="240"/>
              <w:spacing w:after="0"/>
              <w:rPr>
                <w:sz w:val="20"/>
                <w:szCs w:val="20"/>
                <w:color w:val="auto"/>
              </w:rPr>
            </w:pPr>
            <w:r>
              <w:rPr>
                <w:rFonts w:ascii="Arial" w:cs="Arial" w:eastAsia="Arial" w:hAnsi="Arial"/>
                <w:sz w:val="18"/>
                <w:szCs w:val="18"/>
                <w:color w:val="auto"/>
                <w:w w:val="90"/>
              </w:rPr>
              <w:t>Ending allowance balance allocated to:</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91"/>
              </w:rPr>
              <w:t>Ending balance of:</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color w:val="auto"/>
                <w:w w:val="89"/>
              </w:rPr>
              <w:t>Loans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20"/>
              <w:spacing w:after="0" w:line="169" w:lineRule="exact"/>
              <w:rPr>
                <w:sz w:val="20"/>
                <w:szCs w:val="20"/>
                <w:color w:val="auto"/>
              </w:rPr>
            </w:pPr>
            <w:r>
              <w:rPr>
                <w:rFonts w:ascii="Arial" w:cs="Arial" w:eastAsia="Arial" w:hAnsi="Arial"/>
                <w:sz w:val="18"/>
                <w:szCs w:val="18"/>
                <w:color w:val="auto"/>
                <w:w w:val="89"/>
              </w:rPr>
              <w:t>Loans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color w:val="auto"/>
                <w:w w:val="89"/>
              </w:rPr>
              <w:t>Loans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color w:val="auto"/>
                <w:w w:val="89"/>
              </w:rPr>
              <w:t>Loans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9"/>
              </w:rPr>
              <w:t>individually</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4"/>
              </w:rPr>
              <w:t>collectively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7"/>
              </w:rPr>
              <w:t>individually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6"/>
              </w:rPr>
              <w:t>collectively</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evaluated for</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evaluated for</w:t>
            </w:r>
          </w:p>
        </w:tc>
        <w:tc>
          <w:tcPr>
            <w:tcW w:w="18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evaluated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evaluated for</w:t>
            </w:r>
          </w:p>
        </w:tc>
        <w:tc>
          <w:tcPr>
            <w:tcW w:w="18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color w:val="auto"/>
                <w:w w:val="95"/>
              </w:rPr>
              <w:t>Total loans</w:t>
            </w:r>
          </w:p>
        </w:tc>
        <w:tc>
          <w:tcPr>
            <w:tcW w:w="0" w:type="dxa"/>
            <w:vAlign w:val="bottom"/>
          </w:tcPr>
          <w:p>
            <w:pPr>
              <w:spacing w:after="0"/>
              <w:rPr>
                <w:sz w:val="1"/>
                <w:szCs w:val="1"/>
                <w:color w:val="auto"/>
              </w:rPr>
            </w:pPr>
          </w:p>
        </w:tc>
      </w:tr>
      <w:tr>
        <w:trPr>
          <w:trHeight w:val="229"/>
        </w:trPr>
        <w:tc>
          <w:tcPr>
            <w:tcW w:w="3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impairment</w:t>
            </w: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2"/>
              </w:rPr>
              <w:t>impairment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impairment</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1,586,110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1,586,232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28,562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137,062</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21,136</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1,935,478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1,936,066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FHLB line of credit is secured under terms of a collateral agreement by a pledge of certain qualifying loans with unpaid principal balances of $1,627,056,000 and $941,160,000 at December 31, 2022 and 2021, respectively. In addition, the Company pledges eligible tenants in common loans, which totaled $41,934,000 and $33,391,000 at December 31, 2022 and 2021, respectively, to secure its borrowing capacity with the Federal Reserve Bank of San Francisco. See Note 9, Long Term Debt and Other Borrowings, for further discussion of these borrowings.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5: Premises and Equipment, Net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Premises and equipment, net, were as follows as of December 31, 2022 and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r>
      <w:tr>
        <w:trPr>
          <w:trHeight w:val="256"/>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Tenant improvements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r>
      <w:tr>
        <w:trPr>
          <w:trHeight w:val="250"/>
        </w:trPr>
        <w:tc>
          <w:tcPr>
            <w:tcW w:w="8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r>
      <w:tr>
        <w:trPr>
          <w:trHeight w:val="25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occupancy, furniture, fixtures, and equipment was $649,000 and $607,000 for the years ended December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Bank-owned Life Insurance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owns life insurance policies on the lives of certain current and former officers designated by the board of directors to fund our employee benefit programs. Death benefits provided under the specific terms of these insurance policies are estimated to be $32,931,000 at December 31, 2022. The benefits to employees’ beneficiaries are limited to each employee’s active service period. The investment in BOLI policies is reported at their cash surrender value, net of surrender charges, of $14,669,000 and $11,203,000 at December 31, 2022 and 2021, respectively. The cash surrender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6" w:name="page107"/>
    <w:bookmarkEnd w:id="106"/>
    <w:p>
      <w:pPr>
        <w:jc w:val="both"/>
        <w:spacing w:after="0" w:line="263" w:lineRule="auto"/>
        <w:rPr>
          <w:sz w:val="20"/>
          <w:szCs w:val="20"/>
          <w:color w:val="auto"/>
        </w:rPr>
      </w:pPr>
      <w:r>
        <w:rPr>
          <w:rFonts w:ascii="Arial" w:cs="Arial" w:eastAsia="Arial" w:hAnsi="Arial"/>
          <w:sz w:val="18"/>
          <w:szCs w:val="18"/>
          <w:color w:val="auto"/>
        </w:rPr>
        <w:t>includes both the original premiums paid for the life insurance policies and the accumulated accretion of policy income since inception of the policies, net of mortality costs and other fees. Income of $412,000 and $237,000 was recognized on these life insurance policies for the years ended December 31, 2022 and 2021,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7: Interest Receivable and Other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Interest receivable and other assets consisted of the following as of December 31, 2022 and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5,741</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r>
      <w:tr>
        <w:trPr>
          <w:trHeight w:val="254"/>
        </w:trPr>
        <w:tc>
          <w:tcPr>
            <w:tcW w:w="8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Servicing assets represent the assets related to servicing loans for others, including collecting payments, maintaining escrow accounts, disbursing payments to investors, and conducting foreclosure proceedings. The Company serviced loans with unpaid principal balances of $192,880,000 and $194,649,000 as of December 31, 2022 and 2021, respectively, on behalf of others.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8: Interest-Bearing Deposits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Interest-bearing deposits consisted of the following as of December 31, 2022 and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278,406</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88,536</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1,073,532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912,558</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Time accounts, $250 or more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77,868</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26,404</w:t>
            </w: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Total interest-bearing deposits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1,383,772</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 deposits totaled $342,514,000 and $104,272,000 as of December 31, 2022 and 2021, respectively. There were $124,993,000 of brokered time deposits as of December 31, 2022 and no brokered time deposits as of December 31, 2021. As of December 31, 2022, scheduled maturities of time deposits for the next five years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339,306</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60" w:type="dxa"/>
            <w:vAlign w:val="bottom"/>
          </w:tcPr>
          <w:p>
            <w:pPr>
              <w:ind w:left="180"/>
              <w:spacing w:after="0"/>
              <w:rPr>
                <w:sz w:val="20"/>
                <w:szCs w:val="20"/>
                <w:color w:val="auto"/>
              </w:rPr>
            </w:pPr>
            <w:r>
              <w:rPr>
                <w:rFonts w:ascii="Arial" w:cs="Arial" w:eastAsia="Arial" w:hAnsi="Arial"/>
                <w:sz w:val="18"/>
                <w:szCs w:val="18"/>
                <w:color w:val="auto"/>
              </w:rPr>
              <w:t>Total time deposits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342,514</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color w:val="auto"/>
        </w:rPr>
        <w:t>traditional out-of-market brokered deposits. There were no one-way deposits at December 31, 2022 and 2021. The composition of network deposits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CDARS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22,411</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ICS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307,636</w:t>
            </w:r>
          </w:p>
        </w:tc>
      </w:tr>
      <w:tr>
        <w:trPr>
          <w:trHeight w:val="255"/>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network deposits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330,047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the years ended December 31, 2022 and 2021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Time accounts, $250 or more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Total interest expense on interest-bearing deposits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 Term Debt and Other Borrowings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Subordinated notes</w:t>
      </w:r>
      <w:r>
        <w:rPr>
          <w:rFonts w:ascii="Arial" w:cs="Arial" w:eastAsia="Arial" w:hAnsi="Arial"/>
          <w:sz w:val="17"/>
          <w:szCs w:val="17"/>
          <w:color w:val="auto"/>
        </w:rPr>
        <w:t>: On August 17, 2022, the Company completed a private placement of $75,000,000 of fixed-to-floating rate subordinated notes to certain qualified investors, of which $19,250,000 was purchased by existing or former members of the board of directors and their affiliates. The notes will be used for capital management and general corporate purposes, including, without limitation, the redemption of previously existing subordinated notes. The subordinated notes have a maturity date of September 1, 2032 and bear interest, payable semi-annually, at the rate of 6.00% per annum until September 1, 2027. On that date, the interest rate will be adjusted to float at a rate equal to the three-month Secured Overnight Financing Rate plus 329.0 basis points (8.03% as of December 31, 2022)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5, 2022, the Company exercised its right of redemption on subordinated notes issued in two series: $3,750,000 aggregate principal amount originally issued in 2019, and $25,000,000 aggregate principal amount originally issued in 2017. On December 15, 2022, the subordinated notes were redeemed for cash by the Company at 100% of their principal amount, plus accrued and unpaid interest, in accordance with the subordinated note purchase agreements applicable to each series. Remaining unamortized deferred financing costs associated with such notes were expensed and included in other operating expenses on the consolidated statements of income.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subordinated notes have been structured to qualify as Tier 2 capital for regulatory capital purposes. Debt issuance costs incurred in conjunction with the notes were $1,454,000, of which $61,000 has been amortized through December 31, 2022. The Company reflects debt issuance costs as a direct deduction from the face of the note. The debt issuance costs are amortized into interest expense through the maturity period. At December 31, 2022 and 2021, the Company’s subordinated debt carrying value was $73,606,000 and $28,386,000, respectively.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The Company has an agreement with the FHLB that granted the FHLB a blanket lien on all loans receivable (except for construction and agricultural loans) as collateral for a borrowing line. Based on the dollar volume of qualifying loan collateral, the Company had a total financing availability of $1,002,838,000 at December 31, 2022 and $696,285,000 at December 31, 2021. At December 31, 2022, the Company had outstanding borrowings of $100,000,000 and no borrowings outstanding at December 31, 2021. As of December 31, 2022 and 2021, the Company had letters of credit issued on its behalf totaling $686,500,000 and $420,500,000, respectively, as discussed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letters of credit totaling $206,500,000 were pledged to secure State of California deposits and $480,000,000 were pledged to secure local agency deposits. As of December 31, 2021, letters of credit totaling $80,500,000 were pledged to secure State of California deposits and $340,000,000 were pledged to secure local agency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8"/>
          <w:szCs w:val="18"/>
          <w:color w:val="auto"/>
        </w:rPr>
        <w:t>deposits. The letters of credit issued and outstanding borrowings reduced the Company’s available borrowing capacity to $216,338,000 and $275,785,000 as of December 31, 2022 and 2021,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the Company had seven unsecured federal funds lines of credit totaling $190,000,000 with seven of its correspondent banks, respectively. At December 31, 2021, the Company had five unsecured federal funds lines of credit totaling $150,000,000 with five of its correspondent banks, respectively. There were no amounts outstanding at December 31, 2022 and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2022 and 2021, the Company had the ability to borrow from the Federal Reserve Discount Window. At December 31, 2022 and 2021, the borrowing capacity under this arrangement was $21,868,000 and $16,999,000, respectively. There were no amounts outstanding at December 31, 2022 and 2021. The borrowing line is secured by liens on the Company’s construction and agricultural loan portfolios.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401(k) Benefit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401(k) benefit plan covers substantially all employees and allows voluntary employee contributions up to the lesser of 80% of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2022 and 2021 was $634,000 and $593,000,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its IPO and became a taxable C Corporation. Prior to that date, as an S Corporation, the Company had no U.S. federal income tax expense. As such, any periods prior to May 5, 2021 will only reflect an effective state income tax rate and corresponding tax expense.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termination of the Subchapter S corporation status,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$4,638,000 increase to the net deferred tax asset to $5,370,000 and a reduction to the provision for income taxes of $4,638,000 during the year ended December 31, 2021.</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provision for income tax for the years ended December 31, 2022 and 2021 differs from the statutory federal rate of 21.00% due to the following items, which relate primarily to the Company’s conversion from an S Corporation to a C Corporation for the year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Increase (decrease) resulting from:</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Benefit of S Corporation status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 adjustment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r>
      <w:tr>
        <w:trPr>
          <w:trHeight w:val="230"/>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the Company’s effective tax rate differed from the statutory California tax rate of 3.50% used prior to May 5, 2021 and the statutory federal and state tax rate, net of federal benefit, of 29.56% used May 5, 2021 and after, as the effective tax rate primarily represents the weighted average rate between the S Corporation tax rate of 3.50% and the C Corporation tax rate of 29.56% based on the number of days the Company was each type of corporation during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The components of the consolidated provision for income taxes are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Deferred tax assets and liabilities were due to the following as of December 31, 2022 and 2021: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Allowance for credit losses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Supplemental employee retirement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Gain on available-for-sale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loss on securities available-for-sale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State tax</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loan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State tax</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ROUA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deferred tax asset valuation allowance was established during 2022 or 2021, as management believes it is more likely than not the Company will realize the benefits of these deductible differences as of December 31, 2022 and 2021.</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unrecognized tax benefits were outstanding as of December 31, 2022 or 2021. The Company files tax returns in the U.S. federal and California state jurisdictions. The Company is no longer subject to examinations for federal and state tax purposes for the years before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interest or penalties in 2022 and 2021. It is the Company’s policy to record such accruals in its income taxes accounts.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the Company paid approximately $26,967,000 to shareholders of record as of May 3, 2021, for the Accumulated Adjustments Account (“AAA”) payout under the Company’s Tax Sharing Agreement. The AAA represents previously taxed, but undistributed, earnings. Upon completion of the 2022 tax return, the Company paid $4,953,000 on March 17, 2022 to shareholders of record as of May 3, 2021, which covered the remaining amount in the AAA account.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The following is a summary of loans to related parties in 2022 and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New loans or advances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7,828</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81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Transfers out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hanging="492"/>
        <w:spacing w:after="0" w:line="234" w:lineRule="auto"/>
        <w:tabs>
          <w:tab w:leader="none" w:pos="491"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As a result of a change in employment with the Company, a loan balance belonging to a previously related party was transferred out of the classification of related party loans. The change was not the result of any disagreement with the Company or due to any matter relating to its operations, policies, or practices.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and 2021, deposits from related parties (directors, executive officers, and principal shareholders) totaled $51,960,000 and $32,410,000, respectively. Property management fees totaling $1,000 and $12,000 in 2022 and 2021, respectively, were paid to an entity owned by certain members of the Company’s board of directors.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a loan production office from a partnership comprised of certain shareholders and members of the board of directors, which is further described in Note 15,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 Incentive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our shareholders. The stock options granted under the Equity Incentive Plan may be either non-statutory stock options or incentive stock options. There were no stock options outstanding at December 31, 2022 or 2021, respectively.</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number of shares of our common stock reserved and available for grant and issuance pursuant to the Equity Incentive Plan will not exceed 1,700,000 shares, less RSAs granted, plus any RSAs that become available upon forfeiture. Each of these shares may be issued as an incentive stock option. At December 31, 2022, 1,519,826 shares remained available for issuance pursuant to grant awards under the Plan. The Equity Incentive Plan does not contain an “evergreen” provision pursuant to which shares authorized for issuance may be automatically replenished.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stock-based compensation consists of RSAs granted under its historical stock-based incentive arrangement (the “Historical Incentive Plan”) and RSAs issued under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loan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7"/>
          <w:szCs w:val="17"/>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monthly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Non-cash stock compensation expense recognized for the years ended December 31, 2022 and 2021 was $1,099,000 and $1,440,000,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the Company granted as compensation to members of the board of directors a total of 15,156 shares scheduled to vest monthly in equal installments over one year contingent on continued service. In 2021, the Company granted a total of 41,640 fully vested shares to members of the board of directors as compensation for their service.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2022, there was approximately $1,642,000 of unrecognized compensation expense related to the 96,826 unvested restricted shares. Additionally, as of December 31, 2022, the weighed-average term remaining on the unvested restricted shares was 3.53 years.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years ended December 31, 2022 and 2021 was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restricted shares: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9"/>
              </w:rPr>
              <w:t>Weighted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89"/>
              </w:rPr>
              <w:t>Average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480" w:type="dxa"/>
            <w:vAlign w:val="bottom"/>
            <w:vMerge w:val="restart"/>
          </w:tcPr>
          <w:p>
            <w:pPr>
              <w:jc w:val="right"/>
              <w:ind w:right="41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0"/>
              </w:rPr>
              <w:t>Grant Date</w:t>
            </w:r>
          </w:p>
        </w:tc>
        <w:tc>
          <w:tcPr>
            <w:tcW w:w="1480" w:type="dxa"/>
            <w:vAlign w:val="bottom"/>
            <w:vMerge w:val="restart"/>
          </w:tcPr>
          <w:p>
            <w:pPr>
              <w:jc w:val="right"/>
              <w:ind w:right="41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Fair Value</w:t>
            </w: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balance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Shares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Shares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the period balance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declared cash dividends on its common shares totaling $15,301,000. Of those total dividends, during 2022, $4,953,000 was paid out for certain shareholders affected by the Company's termination of its S corporation status. This distribution was for the remaining balance on the Company's federal AAA for previously taxed, but undistributed,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2" w:name="page113"/>
    <w:bookmarkEnd w:id="112"/>
    <w:p>
      <w:pPr>
        <w:jc w:val="both"/>
        <w:spacing w:after="0" w:line="277" w:lineRule="auto"/>
        <w:rPr>
          <w:sz w:val="20"/>
          <w:szCs w:val="20"/>
          <w:color w:val="auto"/>
        </w:rPr>
      </w:pPr>
      <w:r>
        <w:rPr>
          <w:rFonts w:ascii="Arial" w:cs="Arial" w:eastAsia="Arial" w:hAnsi="Arial"/>
          <w:sz w:val="18"/>
          <w:szCs w:val="18"/>
          <w:color w:val="auto"/>
        </w:rPr>
        <w:t>does for on-balance sheet instruments, including obtaining collateral at exercise of the commitment. The contractual amounts of unfunded loan commitments and standby letters of credit not reflected in the consolidated balance sheets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137,354</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Undisbursed construction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46,584</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Undisbursed commercial real estate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47,793</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Agricultural lines of credit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9,955</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Undisbursed agricultural real estate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r>
      <w:tr>
        <w:trPr>
          <w:trHeight w:val="248"/>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commitments and standby letters of credit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248,877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$125,000 and $100,000 as of December 31, 2022 and 2021, respectively, which is recorded in interest payable and other liabilities in the consolidated balance sheets.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91.84% of the Company’s loan portfolio at December 31, 2022 and 89.31% of the Company’s loan portfolio at December 31, 2021.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 concentrations</w:t>
      </w:r>
      <w:r>
        <w:rPr>
          <w:rFonts w:ascii="Arial" w:cs="Arial" w:eastAsia="Arial" w:hAnsi="Arial"/>
          <w:sz w:val="18"/>
          <w:szCs w:val="18"/>
          <w:color w:val="auto"/>
        </w:rPr>
        <w:t>: At December 31, 2022, the Company had 90 deposit relationships that exceeded $5,000,000 each, totaling $1,804,400,000, or approximately 64.86% of total deposits. The Company’s largest single deposit relationship at December 31, 2022 totaled $180,000,000, or approximately 6.47% of total deposits. Management maintains the Company’s liquidity position and lines of credit with correspondent banks to mitigate the risk of large withdrawals by the Company’s large depositors.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Correspondent banking agreements</w:t>
      </w:r>
      <w:r>
        <w:rPr>
          <w:rFonts w:ascii="Arial" w:cs="Arial" w:eastAsia="Arial" w:hAnsi="Arial"/>
          <w:sz w:val="16"/>
          <w:szCs w:val="16"/>
          <w:color w:val="auto"/>
        </w:rPr>
        <w:t>: The Company maintains funds on deposit with other FDIC-insured financial institutions under correspondent banking agreements. Uninsured deposits through these agreements totaled $16,163,000 and $147,219,000 at December 31,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for its banking operations under non-cancelable operating leases of various terms. The leases expire at dates through 2032 and provide for renewal options from less than one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sublease agreement for space adjacent to the Redding location. The sublease has renewal terms extended to December 31, 2023.</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leases its Sacramento loan production office from a partnership comprised of certain shareholders and members of the Company's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was $30,000 and $140,000 for the years ended December 31, 2022 and 2021, respectively, under these leases.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3" w:name="page114"/>
    <w:bookmarkEnd w:id="113"/>
    <w:p>
      <w:pPr>
        <w:jc w:val="both"/>
        <w:spacing w:after="0" w:line="269" w:lineRule="auto"/>
        <w:rPr>
          <w:sz w:val="20"/>
          <w:szCs w:val="20"/>
          <w:color w:val="auto"/>
        </w:rPr>
      </w:pPr>
      <w:r>
        <w:rPr>
          <w:rFonts w:ascii="Arial" w:cs="Arial" w:eastAsia="Arial" w:hAnsi="Arial"/>
          <w:sz w:val="16"/>
          <w:szCs w:val="16"/>
          <w:color w:val="auto"/>
        </w:rPr>
        <w:t xml:space="preserve">The Company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January 1, 2022, which requires the Company to record an ROUA on the consolidated balance sheets for those leases that convey rights to control use of identified assets for a period of time in exchange for consideration. The Company is also required to record a lease liability on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twelve months or less) within the ROUA and lease liability. Known or determinable adjustments to the required minimum future lease payments were included in the calculation of the Company’s ROUA and lease liability. Adjustments to the required minimum future lease payments that are variable and will not be determinable until a future period, if any, such as changes in the Consumer Price Index, are included as variable lease costs. Additionally, expected variable payments for common area maintenance, taxes, and insurance were unknown and not determinable at lease commencement and, therefore, were not included in the determination of the Company’s ROUA and lease liability.</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2022, the rate for the remaining lease term as of January 1, 2022 was used.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w w:val="96"/>
              </w:rPr>
              <w:t>As of December 31, 2022, the Company's ROUA and lease liability were $3,981,000 and $4,243,000, respectively.</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lease expense for the year ended December 31, 2022:</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45"/>
        </w:trPr>
        <w:tc>
          <w:tcPr>
            <w:tcW w:w="8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color w:val="auto"/>
                <w:w w:val="96"/>
              </w:rPr>
              <w:t>Twelve months ended</w:t>
            </w:r>
          </w:p>
        </w:tc>
      </w:tr>
      <w:tr>
        <w:trPr>
          <w:trHeight w:val="230"/>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December 31, 2022</w:t>
            </w:r>
          </w:p>
        </w:tc>
      </w:tr>
      <w:tr>
        <w:trPr>
          <w:trHeight w:val="223"/>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9"/>
        </w:trPr>
        <w:tc>
          <w:tcPr>
            <w:tcW w:w="8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8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the adoption of ASU 2016-02, rent expense under operating leases was $1,064,000 for the year ended December 31, 2021, partially offset by rent income of $21,000 during the same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operating lease term and discount rate at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December 31,</w:t>
            </w:r>
          </w:p>
        </w:tc>
      </w:tr>
      <w:tr>
        <w:trPr>
          <w:trHeight w:val="237"/>
        </w:trPr>
        <w:tc>
          <w:tcPr>
            <w:tcW w:w="4540" w:type="dxa"/>
            <w:vAlign w:val="bottom"/>
          </w:tcPr>
          <w:p>
            <w:pPr>
              <w:spacing w:after="0"/>
              <w:rPr>
                <w:sz w:val="20"/>
                <w:szCs w:val="20"/>
                <w:color w:val="auto"/>
              </w:rPr>
            </w:pPr>
          </w:p>
        </w:tc>
        <w:tc>
          <w:tcPr>
            <w:tcW w:w="6700" w:type="dxa"/>
            <w:vAlign w:val="bottom"/>
            <w:gridSpan w:val="2"/>
          </w:tcPr>
          <w:p>
            <w:pPr>
              <w:jc w:val="right"/>
              <w:ind w:right="550"/>
              <w:spacing w:after="0"/>
              <w:rPr>
                <w:sz w:val="20"/>
                <w:szCs w:val="20"/>
                <w:color w:val="auto"/>
              </w:rPr>
            </w:pPr>
            <w:r>
              <w:rPr>
                <w:rFonts w:ascii="Arial" w:cs="Arial" w:eastAsia="Arial" w:hAnsi="Arial"/>
                <w:sz w:val="18"/>
                <w:szCs w:val="18"/>
                <w:color w:val="auto"/>
              </w:rPr>
              <w:t>2022</w:t>
            </w: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50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years</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2.18 %</w:t>
            </w:r>
          </w:p>
        </w:tc>
      </w:tr>
      <w:tr>
        <w:trPr>
          <w:trHeight w:val="904"/>
        </w:trPr>
        <w:tc>
          <w:tcPr>
            <w:tcW w:w="4540" w:type="dxa"/>
            <w:vAlign w:val="bottom"/>
          </w:tcPr>
          <w:p>
            <w:pPr>
              <w:spacing w:after="0"/>
              <w:rPr>
                <w:sz w:val="24"/>
                <w:szCs w:val="24"/>
                <w:color w:val="auto"/>
              </w:rPr>
            </w:pPr>
          </w:p>
        </w:tc>
        <w:tc>
          <w:tcPr>
            <w:tcW w:w="5060" w:type="dxa"/>
            <w:vAlign w:val="bottom"/>
          </w:tcPr>
          <w:p>
            <w:pPr>
              <w:jc w:val="right"/>
              <w:ind w:right="3750"/>
              <w:spacing w:after="0"/>
              <w:rPr>
                <w:sz w:val="20"/>
                <w:szCs w:val="20"/>
                <w:color w:val="auto"/>
              </w:rPr>
            </w:pPr>
            <w:r>
              <w:rPr>
                <w:rFonts w:ascii="Arial" w:cs="Arial" w:eastAsia="Arial" w:hAnsi="Arial"/>
                <w:sz w:val="18"/>
                <w:szCs w:val="18"/>
                <w:color w:val="auto"/>
              </w:rPr>
              <w:t>112</w:t>
            </w:r>
          </w:p>
        </w:tc>
        <w:tc>
          <w:tcPr>
            <w:tcW w:w="164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following table shows the future minimum lease payments under the Company’s operating lease arrangements as of December 31,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December 31, 2022</w:t>
            </w:r>
          </w:p>
        </w:tc>
      </w:tr>
      <w:tr>
        <w:trPr>
          <w:trHeight w:val="223"/>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expected operating lease payments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 for present value of expected cash flows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48"/>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liability at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the adoption of ASC 842, the Company accounted for operating leases under ASC 840. For comparability purposes in the year of adoption, undiscounted future minimum lease payments under the predecessor standard of ASC 840 as of December 31, 2021 are provided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December 31, 2021</w:t>
            </w:r>
          </w:p>
        </w:tc>
      </w:tr>
      <w:tr>
        <w:trPr>
          <w:trHeight w:val="223"/>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r>
      <w:tr>
        <w:trPr>
          <w:trHeight w:val="248"/>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Requirements and Restrictions on Retained Earnings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the below table) of total capital, Tier 1 capital, and common equity Tier 1 capital (as defined in the regulations) to risk-weighted assets and of Tier 1 capital to average assets. Historically, as a bank holding company with less than $3.0 billion in total consolidated assets and that met certain other criteria, we had been operating under the Small Bank Holding Company Policy Statement, which provides an exemption from the Board of Governors of the Federal Reserve System’s generally applicable risk-based capital ratio and leverage ratio requirements. Because the Company's total consolidated assets exceeded the $3.0 billion threshold as 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5" w:name="page116"/>
    <w:bookmarkEnd w:id="115"/>
    <w:p>
      <w:pPr>
        <w:jc w:val="both"/>
        <w:spacing w:after="0" w:line="273" w:lineRule="auto"/>
        <w:rPr>
          <w:sz w:val="20"/>
          <w:szCs w:val="20"/>
          <w:color w:val="auto"/>
        </w:rPr>
      </w:pPr>
      <w:r>
        <w:rPr>
          <w:rFonts w:ascii="Arial" w:cs="Arial" w:eastAsia="Arial" w:hAnsi="Arial"/>
          <w:sz w:val="17"/>
          <w:szCs w:val="17"/>
          <w:color w:val="auto"/>
        </w:rPr>
        <w:t>September 30, 2022, the Company is no longer subject to this policy statement and its capital adequacy will be evaluated relative to the Federal Reserve's generally applicable capital requirements. A bank holding company that crosses the $3.0 billion total consolidated assets threshold as of June 30 of a particular year is no longer permitted to file reports as a small holding company beginning the following March. The Company's total consolidated assets were not in excess of $3.0 billion as of June 30, 2022, and so the Company has accordingly prepared and filed financial reports with the Federal Reserve as a small bank holding company. If the Company's total consolidated assets remain in excess of $3.0 billion as of June 30, 2023, starting in March 2024, the Company will cease filing financial reports with the Federal Reserve as though it were a small holding company.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Management believes that, as of December 31, 2022, the Company and the Bank met all capital adequacy requirements to which they are subject.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the Bank was categorized as “well-capitalized” under the regulatory framework for prompt corrective action. To be categorized as well-capitalized, an institution must maintain minimum total risk-based, Tier 1 risk-based, and Tier 1 leverage ratios as set forth in the below table. There are no conditions or events since that notification that management believes have changed the Bank’s category.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source of cash for the Company is dividends from the Bank. Dividends from the Bank to the Company are restricted under California law to the lesser of: (i) the Bank’s retained earnings; or (ii) the Bank’s net income for the latest three fiscal years, less dividends previously declared during that period. As of December 31, 2022 and 2021, the maximum amount available for dividend distribution under this restriction was approximately $33,867,000 and $15,464,000, respectively. If a proposed dividend exceeds the limit, the Bank may still pay a dividend to the Holding Company if it obtains approval from the California Department of Financial Protection and Innovation and the dividend does not exceed the greater of: (i) the retained earnings of the Bank; (ii) the net income of the Bank for its last fiscal year; or (iii) the net income of the Bank for its current fiscal year.</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and the Bank’s actual capital amounts and ratios as of December 31, 2022 and 2021 are presented in the following tables. As of December 31, 2022 and 2021, Bancorp's Tier 2 capital included subordinated debt, which was not included at the bank level.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1"/>
              </w:rPr>
              <w:t>Ratio to be Well-</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vMerge w:val="restart"/>
          </w:tcPr>
          <w:p>
            <w:pPr>
              <w:ind w:left="300"/>
              <w:spacing w:after="0"/>
              <w:rPr>
                <w:sz w:val="20"/>
                <w:szCs w:val="20"/>
                <w:color w:val="auto"/>
              </w:rPr>
            </w:pPr>
            <w:r>
              <w:rPr>
                <w:rFonts w:ascii="Arial" w:cs="Arial" w:eastAsia="Arial" w:hAnsi="Arial"/>
                <w:sz w:val="18"/>
                <w:szCs w:val="18"/>
                <w:color w:val="auto"/>
              </w:rPr>
              <w:t>Required for Capital</w:t>
            </w:r>
          </w:p>
        </w:tc>
        <w:tc>
          <w:tcPr>
            <w:tcW w:w="23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9"/>
              </w:rPr>
              <w:t>Capitalized under</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238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2"/>
              </w:rPr>
              <w:t>Prompt Corrective</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Bancorp</w:t>
            </w:r>
          </w:p>
        </w:tc>
        <w:tc>
          <w:tcPr>
            <w:tcW w:w="2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Actual Ratio</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300"/>
              <w:spacing w:after="0" w:line="210" w:lineRule="exact"/>
              <w:rPr>
                <w:sz w:val="20"/>
                <w:szCs w:val="20"/>
                <w:color w:val="auto"/>
              </w:rPr>
            </w:pPr>
            <w:r>
              <w:rPr>
                <w:rFonts w:ascii="Arial" w:cs="Arial" w:eastAsia="Arial" w:hAnsi="Arial"/>
                <w:sz w:val="18"/>
                <w:szCs w:val="18"/>
                <w:color w:val="auto"/>
              </w:rPr>
              <w:t>Adequacy Purposes</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Action Provisions</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Ratio</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Ratio</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Ratio</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366,113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12.46 %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235,065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263,993</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176,191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3640" w:type="dxa"/>
            <w:vAlign w:val="bottom"/>
            <w:gridSpan w:val="2"/>
          </w:tcPr>
          <w:p>
            <w:pPr>
              <w:ind w:left="20"/>
              <w:spacing w:after="0"/>
              <w:rPr>
                <w:sz w:val="20"/>
                <w:szCs w:val="20"/>
                <w:color w:val="auto"/>
              </w:rPr>
            </w:pPr>
            <w:r>
              <w:rPr>
                <w:rFonts w:ascii="Arial" w:cs="Arial" w:eastAsia="Arial" w:hAnsi="Arial"/>
                <w:sz w:val="18"/>
                <w:szCs w:val="18"/>
                <w:color w:val="auto"/>
                <w:w w:val="98"/>
              </w:rPr>
              <w:t>Common equity tier 1 capital (to risk-weighted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263,993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8.99 %</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132,144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263,993</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163,177</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233,397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122,382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Common equity tier 1 capital (to risk-weighted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233,397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ind w:left="7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918"/>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3"/>
          </w:tcPr>
          <w:p>
            <w:pPr>
              <w:jc w:val="center"/>
              <w:ind w:right="130"/>
              <w:spacing w:after="0"/>
              <w:rPr>
                <w:sz w:val="20"/>
                <w:szCs w:val="20"/>
                <w:color w:val="auto"/>
              </w:rPr>
            </w:pPr>
            <w:r>
              <w:rPr>
                <w:rFonts w:ascii="Arial" w:cs="Arial" w:eastAsia="Arial" w:hAnsi="Arial"/>
                <w:sz w:val="18"/>
                <w:szCs w:val="18"/>
                <w:color w:val="auto"/>
                <w:w w:val="93"/>
              </w:rPr>
              <w:t>Ratio to be Well-</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8"/>
                <w:szCs w:val="18"/>
                <w:color w:val="auto"/>
              </w:rPr>
              <w:t>Required for Capital</w:t>
            </w:r>
          </w:p>
        </w:tc>
        <w:tc>
          <w:tcPr>
            <w:tcW w:w="220" w:type="dxa"/>
            <w:vAlign w:val="bottom"/>
          </w:tcPr>
          <w:p>
            <w:pPr>
              <w:spacing w:after="0"/>
              <w:rPr>
                <w:sz w:val="16"/>
                <w:szCs w:val="16"/>
                <w:color w:val="auto"/>
              </w:rPr>
            </w:pPr>
          </w:p>
        </w:tc>
        <w:tc>
          <w:tcPr>
            <w:tcW w:w="2300" w:type="dxa"/>
            <w:vAlign w:val="bottom"/>
            <w:gridSpan w:val="3"/>
          </w:tcPr>
          <w:p>
            <w:pPr>
              <w:jc w:val="center"/>
              <w:ind w:right="170"/>
              <w:spacing w:after="0" w:line="189" w:lineRule="exact"/>
              <w:rPr>
                <w:sz w:val="20"/>
                <w:szCs w:val="20"/>
                <w:color w:val="auto"/>
              </w:rPr>
            </w:pPr>
            <w:r>
              <w:rPr>
                <w:rFonts w:ascii="Arial" w:cs="Arial" w:eastAsia="Arial" w:hAnsi="Arial"/>
                <w:sz w:val="18"/>
                <w:szCs w:val="18"/>
                <w:color w:val="auto"/>
                <w:w w:val="91"/>
              </w:rPr>
              <w:t>Capitalized under</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Prompt Corrective</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the Bank</w:t>
            </w: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Actual Ratio</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Adequacy Purposes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4"/>
              </w:rPr>
              <w:t>Action Provisions</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Ratio</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Ratio</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Ratio</w:t>
            </w: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356,301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12.14 %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234,795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293,494</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234,763</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190,745</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153,315</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279,152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203,848</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122,309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163,078</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2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132,501</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255,807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123,193</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spacing w:after="0" w:line="151"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Prior to September 30, 2022, Bancorp operated under the Small Bank Holding Company Policy Statement and therefore, was not subject to Basel III capital adequacy requirements. The listed capital adequacy ratios exclude capital conservation buffers.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Note 17: Fair Value of Assets and Liabilities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80" w:type="dxa"/>
            <w:vAlign w:val="bottom"/>
            <w:gridSpan w:val="14"/>
          </w:tcPr>
          <w:p>
            <w:pPr>
              <w:spacing w:after="0"/>
              <w:rPr>
                <w:sz w:val="20"/>
                <w:szCs w:val="20"/>
                <w:color w:val="auto"/>
              </w:rPr>
            </w:pPr>
            <w:r>
              <w:rPr>
                <w:rFonts w:ascii="Arial" w:cs="Arial" w:eastAsia="Arial" w:hAnsi="Arial"/>
                <w:sz w:val="18"/>
                <w:szCs w:val="18"/>
                <w:color w:val="auto"/>
              </w:rPr>
              <w:t>The following table summarizes the Company’s assets and liabilities that were carried at fair value on a recurring basis.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Quoted Prices in</w:t>
            </w: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Measurement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93"/>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3"/>
              </w:rPr>
              <w:t>Significant</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Categories:</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6"/>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Unobservable</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Changes in Fair</w:t>
            </w:r>
          </w:p>
        </w:tc>
        <w:tc>
          <w:tcPr>
            <w:tcW w:w="0" w:type="dxa"/>
            <w:vAlign w:val="bottom"/>
          </w:tcPr>
          <w:p>
            <w:pPr>
              <w:spacing w:after="0"/>
              <w:rPr>
                <w:sz w:val="1"/>
                <w:szCs w:val="1"/>
                <w:color w:val="auto"/>
              </w:rPr>
            </w:pPr>
          </w:p>
        </w:tc>
      </w:tr>
      <w:tr>
        <w:trPr>
          <w:trHeight w:val="189"/>
        </w:trPr>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220" w:type="dxa"/>
            <w:vAlign w:val="bottom"/>
            <w:gridSpan w:val="3"/>
            <w:vMerge w:val="restart"/>
          </w:tcPr>
          <w:p>
            <w:pPr>
              <w:ind w:left="20"/>
              <w:spacing w:after="0"/>
              <w:rPr>
                <w:sz w:val="20"/>
                <w:szCs w:val="20"/>
                <w:color w:val="auto"/>
              </w:rPr>
            </w:pPr>
            <w:r>
              <w:rPr>
                <w:rFonts w:ascii="Arial" w:cs="Arial" w:eastAsia="Arial" w:hAnsi="Arial"/>
                <w:sz w:val="18"/>
                <w:szCs w:val="18"/>
                <w:color w:val="auto"/>
                <w:w w:val="99"/>
              </w:rPr>
              <w:t>Carrying Value</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3"/>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3"/>
              </w:rPr>
              <w:t>Inputs</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Value Recorded</w:t>
            </w:r>
          </w:p>
        </w:tc>
        <w:tc>
          <w:tcPr>
            <w:tcW w:w="0" w:type="dxa"/>
            <w:vAlign w:val="bottom"/>
          </w:tcPr>
          <w:p>
            <w:pPr>
              <w:spacing w:after="0"/>
              <w:rPr>
                <w:sz w:val="1"/>
                <w:szCs w:val="1"/>
                <w:color w:val="auto"/>
              </w:rPr>
            </w:pPr>
          </w:p>
        </w:tc>
      </w:tr>
      <w:tr>
        <w:trPr>
          <w:trHeight w:val="229"/>
        </w:trPr>
        <w:tc>
          <w:tcPr>
            <w:tcW w:w="430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(Level 3)</w:t>
            </w:r>
          </w:p>
        </w:tc>
        <w:tc>
          <w:tcPr>
            <w:tcW w:w="1360" w:type="dxa"/>
            <w:vAlign w:val="bottom"/>
          </w:tcPr>
          <w:p>
            <w:pPr>
              <w:jc w:val="center"/>
              <w:spacing w:after="0" w:line="230" w:lineRule="exact"/>
              <w:rPr>
                <w:sz w:val="20"/>
                <w:szCs w:val="20"/>
                <w:color w:val="auto"/>
              </w:rPr>
            </w:pPr>
            <w:r>
              <w:rPr>
                <w:rFonts w:ascii="Arial" w:cs="Arial" w:eastAsia="Arial" w:hAnsi="Arial"/>
                <w:sz w:val="18"/>
                <w:szCs w:val="18"/>
                <w:color w:val="auto"/>
                <w:w w:val="84"/>
              </w:rPr>
              <w:t>In</w:t>
            </w:r>
            <w:r>
              <w:rPr>
                <w:rFonts w:ascii="Arial" w:cs="Arial" w:eastAsia="Arial" w:hAnsi="Arial"/>
                <w:sz w:val="23"/>
                <w:szCs w:val="23"/>
                <w:color w:val="auto"/>
                <w:w w:val="84"/>
                <w:vertAlign w:val="superscript"/>
              </w:rPr>
              <w:t>1</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1"/>
              </w:rPr>
              <w:t>U.S. government agencies, mortgage-backed securities,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collateralized mortgage obligations, and corporate</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115,988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115,988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Arial" w:cs="Arial" w:eastAsia="Arial" w:hAnsi="Arial"/>
                <w:sz w:val="18"/>
                <w:szCs w:val="18"/>
                <w:color w:val="auto"/>
              </w:rPr>
              <w:t>bonds</w:t>
            </w:r>
          </w:p>
        </w:tc>
        <w:tc>
          <w:tcPr>
            <w:tcW w:w="3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1"/>
              </w:rPr>
              <w:t>U.S. government agencies, mortgage-backed securities,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gridSpan w:val="2"/>
          </w:tcPr>
          <w:p>
            <w:pPr>
              <w:ind w:left="260"/>
              <w:spacing w:after="0" w:line="189" w:lineRule="exact"/>
              <w:rPr>
                <w:sz w:val="20"/>
                <w:szCs w:val="20"/>
                <w:color w:val="auto"/>
              </w:rPr>
            </w:pPr>
            <w:r>
              <w:rPr>
                <w:rFonts w:ascii="Arial" w:cs="Arial" w:eastAsia="Arial" w:hAnsi="Arial"/>
                <w:sz w:val="18"/>
                <w:szCs w:val="18"/>
                <w:color w:val="auto"/>
                <w:w w:val="99"/>
              </w:rPr>
              <w:t>obligations of states and political subdivisions, and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Arial" w:cs="Arial" w:eastAsia="Arial" w:hAnsi="Arial"/>
                <w:sz w:val="18"/>
                <w:szCs w:val="18"/>
                <w:color w:val="auto"/>
              </w:rPr>
              <w:t>collateralized mortgage obligations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148,807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148,807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Other comprehensive income (“OCI”) or net income (“NI”).</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 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December 31, 2022 and 2021, there were no Level 1 available-for-sale securities and no transfers between Level 1 and Level 2 classifications for assets or liabilities measured at fair value on a recurring basis.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8" w:name="page119"/>
    <w:bookmarkEnd w:id="118"/>
    <w:p>
      <w:pPr>
        <w:jc w:val="both"/>
        <w:spacing w:after="0" w:line="263" w:lineRule="auto"/>
        <w:rPr>
          <w:sz w:val="20"/>
          <w:szCs w:val="20"/>
          <w:color w:val="auto"/>
        </w:rPr>
      </w:pPr>
      <w:r>
        <w:rPr>
          <w:rFonts w:ascii="Arial" w:cs="Arial" w:eastAsia="Arial" w:hAnsi="Arial"/>
          <w:sz w:val="18"/>
          <w:szCs w:val="18"/>
          <w:color w:val="auto"/>
        </w:rPr>
        <w:t>The Company’s derivative is comprised of an interest rate swap for a structured lending arrangement and is reported at fair value utilizing Level 2 inputs. The Company obtains fair values from financial institutions that utilize internal models with observable market data inputs to estimate the values of these instruments (Level 2 inputs).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OREO. As of December 31, 2022 and 2021, the Company did not carry any assets measured at fair value on a non-recurring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table below is a summary of fair value estimates for financial instruments as of December 31, 2022 and 2021.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88"/>
              </w:rPr>
              <w:t>December 31, 2022</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89"/>
              </w:rPr>
              <w:t>December 31, 2021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4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5"/>
                <w:szCs w:val="15"/>
                <w:color w:val="auto"/>
              </w:rPr>
            </w:pPr>
          </w:p>
        </w:tc>
        <w:tc>
          <w:tcPr>
            <w:tcW w:w="8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Carrying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60"/>
              <w:spacing w:after="0" w:line="176" w:lineRule="exact"/>
              <w:rPr>
                <w:sz w:val="20"/>
                <w:szCs w:val="20"/>
                <w:color w:val="auto"/>
              </w:rPr>
            </w:pPr>
            <w:r>
              <w:rPr>
                <w:rFonts w:ascii="Arial" w:cs="Arial" w:eastAsia="Arial" w:hAnsi="Arial"/>
                <w:sz w:val="18"/>
                <w:szCs w:val="18"/>
                <w:color w:val="auto"/>
                <w:w w:val="90"/>
              </w:rPr>
              <w:t>Fair</w:t>
            </w:r>
          </w:p>
        </w:tc>
        <w:tc>
          <w:tcPr>
            <w:tcW w:w="100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7"/>
              </w:rPr>
              <w:t>Fair Value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90"/>
              <w:spacing w:after="0" w:line="176" w:lineRule="exact"/>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400"/>
              <w:spacing w:after="0" w:line="176" w:lineRule="exact"/>
              <w:rPr>
                <w:sz w:val="20"/>
                <w:szCs w:val="20"/>
                <w:color w:val="auto"/>
              </w:rPr>
            </w:pPr>
            <w:r>
              <w:rPr>
                <w:rFonts w:ascii="Arial" w:cs="Arial" w:eastAsia="Arial" w:hAnsi="Arial"/>
                <w:sz w:val="18"/>
                <w:szCs w:val="18"/>
                <w:color w:val="auto"/>
                <w:w w:val="96"/>
              </w:rPr>
              <w:t>Fair</w:t>
            </w:r>
          </w:p>
        </w:tc>
        <w:tc>
          <w:tcPr>
            <w:tcW w:w="100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Amounts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Value</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Hierarchy</w:t>
            </w:r>
          </w:p>
        </w:tc>
        <w:tc>
          <w:tcPr>
            <w:tcW w:w="1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Amounts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color w:val="auto"/>
              </w:rPr>
              <w:t>Value</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Hierarchy</w:t>
            </w:r>
          </w:p>
        </w:tc>
        <w:tc>
          <w:tcPr>
            <w:tcW w:w="0" w:type="dxa"/>
            <w:vAlign w:val="bottom"/>
          </w:tcPr>
          <w:p>
            <w:pPr>
              <w:spacing w:after="0"/>
              <w:rPr>
                <w:sz w:val="1"/>
                <w:szCs w:val="1"/>
                <w:color w:val="auto"/>
              </w:rPr>
            </w:pPr>
          </w:p>
        </w:tc>
      </w:tr>
      <w:tr>
        <w:trPr>
          <w:trHeight w:val="229"/>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259,991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259,991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425,329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 in banks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Securities available-for-sale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115,988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 held-to-maturity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9"/>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Loans held for investment, net of allowance for</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 losses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2,762,937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2,570,176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9"/>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FHLB stock and other investments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2,782,004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2,562,600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2,285,890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2,210,555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904"/>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99"/>
              </w:rPr>
              <w:t>117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The following methods and assumptions were used by the Company to estimate the fair value of its financial instruments at December 31, 2022 and 2021:</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securities</w:t>
      </w:r>
      <w:r>
        <w:rPr>
          <w:rFonts w:ascii="Arial" w:cs="Arial" w:eastAsia="Arial" w:hAnsi="Arial"/>
          <w:sz w:val="16"/>
          <w:szCs w:val="16"/>
          <w:color w:val="auto"/>
        </w:rPr>
        <w:t>: See discussion above for the methods and assumptions used by the Company to estimate the fair value of investment securities.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held for investment, net of allowance for loan losses</w:t>
      </w:r>
      <w:r>
        <w:rPr>
          <w:rFonts w:ascii="Arial" w:cs="Arial" w:eastAsia="Arial" w:hAnsi="Arial"/>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receivable and payable</w:t>
      </w:r>
      <w:r>
        <w:rPr>
          <w:rFonts w:ascii="Arial" w:cs="Arial" w:eastAsia="Arial" w:hAnsi="Arial"/>
          <w:sz w:val="18"/>
          <w:szCs w:val="18"/>
          <w:color w:val="auto"/>
        </w:rPr>
        <w:t>: For interest receivable and payable, the carrying amount is estimated to be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 interest rate swap</w:t>
      </w:r>
      <w:r>
        <w:rPr>
          <w:rFonts w:ascii="Arial" w:cs="Arial" w:eastAsia="Arial" w:hAnsi="Arial"/>
          <w:sz w:val="16"/>
          <w:szCs w:val="16"/>
          <w:color w:val="auto"/>
        </w:rPr>
        <w:t>: See above for a discussion of the methods and assumptions used by the Company to estimate the fair value of derivatives.</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Deposits</w:t>
      </w:r>
      <w:r>
        <w:rPr>
          <w:rFonts w:ascii="Arial" w:cs="Arial" w:eastAsia="Arial" w:hAnsi="Arial"/>
          <w:sz w:val="16"/>
          <w:szCs w:val="16"/>
          <w:color w:val="auto"/>
        </w:rPr>
        <w:t>: The fair values for demand deposits are, by definition, equal to the amount payable on demand at the reporting date, as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Commitments to extend credit</w:t>
      </w:r>
      <w:r>
        <w:rPr>
          <w:rFonts w:ascii="Arial" w:cs="Arial" w:eastAsia="Arial" w:hAnsi="Arial"/>
          <w:sz w:val="18"/>
          <w:szCs w:val="18"/>
          <w:color w:val="auto"/>
        </w:rPr>
        <w:t>: Commitments to extend credit are primarily for adjustable rate loans. For these commitments, there are no differences between the committed amounts and their fair values. Commitments to fund fixed rate loans are at rates which approximate fair value at each reporting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The fair value is estimated by discounting the future cash flow using the current three-month LIBOR. The Company’s subordinated notes are not registered securities and were issued through private placements, resulting in a Level 3 classification. The notes are recorded at carrying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Parent Company Only Condensed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banking subsidiary</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Subordinated notes and other liabilities</w:t>
            </w:r>
          </w:p>
        </w:tc>
        <w:tc>
          <w:tcPr>
            <w:tcW w:w="3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28,968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34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264,014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60" w:type="dxa"/>
            <w:vAlign w:val="bottom"/>
            <w:vMerge w:val="restart"/>
          </w:tcPr>
          <w:p>
            <w:pPr>
              <w:jc w:val="right"/>
              <w:ind w:right="2330"/>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7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2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from banking subsidiary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Income before income tax and undistributed banking subsidiary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22,298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undistributed banking subsidiary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center"/>
              <w:ind w:left="29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Years ended December 31, 2022 and 2021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jc w:val="center"/>
              <w:ind w:left="297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81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Stock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Director stock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Equity in undistributed banking subsidiary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subordinated notes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Extinguishment of redeemed subordinated note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accrued expenses and 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23,580</w:t>
            </w: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subsidiary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Proceeds from sale of stock</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111,243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(51,942)</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Proceeds from subordinated note issuance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Subordinated note redemption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19, 2023, the board of directors declared a $0.15 per common share dividend for shareholders of record as of February 6, 2023, which was paid on February 13, 2023 in the amount of $2,589,000.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2022.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include a management’s report regarding internal control over financial reporting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Rule 13a-15(f) under the Exchange Act) that occurred during the three months ended December 31, 2022 that has materially affected, or is reasonably likely to materially affect, such controls.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an emerging growth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the Company’s board of directors, the section entitled </w:t>
      </w:r>
      <w:r>
        <w:rPr>
          <w:rFonts w:ascii="Arial" w:cs="Arial" w:eastAsia="Arial" w:hAnsi="Arial"/>
          <w:sz w:val="18"/>
          <w:szCs w:val="18"/>
          <w:i w:val="1"/>
          <w:iCs w:val="1"/>
          <w:color w:val="auto"/>
        </w:rPr>
        <w:t>“Items to be Voted on by Shareholders —Item 1 —Election of Directors”</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officers of the Company, the section entitled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regarding compliance with Delinquent Section 16(a) Reports, the section entitled </w:t>
      </w:r>
      <w:r>
        <w:rPr>
          <w:rFonts w:ascii="Arial" w:cs="Arial" w:eastAsia="Arial" w:hAnsi="Arial"/>
          <w:sz w:val="18"/>
          <w:szCs w:val="18"/>
          <w:i w:val="1"/>
          <w:iCs w:val="1"/>
          <w:color w:val="auto"/>
        </w:rPr>
        <w:t>“Stock Information —Delinquent Section 16(a) Reports”</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Code of Conduct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information concerning the Company’s Code of Conduct, the information contained under the section entitled </w:t>
      </w:r>
      <w:r>
        <w:rPr>
          <w:rFonts w:ascii="Arial" w:cs="Arial" w:eastAsia="Arial" w:hAnsi="Arial"/>
          <w:sz w:val="16"/>
          <w:szCs w:val="16"/>
          <w:i w:val="1"/>
          <w:iCs w:val="1"/>
          <w:color w:val="auto"/>
        </w:rPr>
        <w:t>“Corporate Governance —Code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in the Company’s Proxy Statement for the 2023 Annual Meeting of Shareholders is incorporated by reference. A copy of the Code of Conduct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to shareholders on the Company’s investor relations website at </w:t>
      </w:r>
      <w:r>
        <w:rPr>
          <w:rFonts w:ascii="Arial" w:cs="Arial" w:eastAsia="Arial" w:hAnsi="Arial"/>
          <w:sz w:val="16"/>
          <w:szCs w:val="16"/>
          <w:u w:val="single" w:color="auto"/>
          <w:color w:val="auto"/>
        </w:rPr>
        <w:t>https://investors.fivestarbank.com/corporate-governance/governance-overview</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Audit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information regarding the Company’s Nominating and Audit Committees, their composition, and the audit committee financial experts, the section entitled </w:t>
      </w:r>
      <w:r>
        <w:rPr>
          <w:rFonts w:ascii="Arial" w:cs="Arial" w:eastAsia="Arial" w:hAnsi="Arial"/>
          <w:sz w:val="18"/>
          <w:szCs w:val="18"/>
          <w:i w:val="1"/>
          <w:iCs w:val="1"/>
          <w:color w:val="auto"/>
        </w:rPr>
        <w:t>“Corporate Governance —Board Committees”</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regarding executive compensation, the sections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in the Company’s Proxy Statement for the 2023 Annual Meeting of Shareholders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herein by reference to the section entitled </w:t>
      </w:r>
      <w:r>
        <w:rPr>
          <w:rFonts w:ascii="Arial" w:cs="Arial" w:eastAsia="Arial" w:hAnsi="Arial"/>
          <w:sz w:val="18"/>
          <w:szCs w:val="18"/>
          <w:i w:val="1"/>
          <w:iCs w:val="1"/>
          <w:color w:val="auto"/>
        </w:rPr>
        <w:t>“Stock Information —Security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 and Management” </w:t>
      </w:r>
      <w:r>
        <w:rPr>
          <w:rFonts w:ascii="Arial" w:cs="Arial" w:eastAsia="Arial" w:hAnsi="Arial"/>
          <w:sz w:val="18"/>
          <w:szCs w:val="18"/>
          <w:color w:val="auto"/>
        </w:rPr>
        <w:t>in the Company’s Proxy Statement for the 2023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herein by reference to the section entitled </w:t>
      </w:r>
      <w:r>
        <w:rPr>
          <w:rFonts w:ascii="Arial" w:cs="Arial" w:eastAsia="Arial" w:hAnsi="Arial"/>
          <w:sz w:val="18"/>
          <w:szCs w:val="18"/>
          <w:i w:val="1"/>
          <w:iCs w:val="1"/>
          <w:color w:val="auto"/>
        </w:rPr>
        <w:t>“Stock Information —Security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 and Management” </w:t>
      </w:r>
      <w:r>
        <w:rPr>
          <w:rFonts w:ascii="Arial" w:cs="Arial" w:eastAsia="Arial" w:hAnsi="Arial"/>
          <w:sz w:val="18"/>
          <w:szCs w:val="18"/>
          <w:color w:val="auto"/>
        </w:rPr>
        <w:t>in the Company’s Proxy Statement for the 2023 Annual Meeting of Shareholders.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about the Company common stock that may be issued upon the exercise of stock options, warrants, and rights under all the Company’s equity compensation plans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Weighted-</w:t>
            </w: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Number of securities remaining</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18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89"/>
              </w:rPr>
              <w:t>Number of securities to</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8"/>
              </w:rPr>
              <w:t>average</w:t>
            </w:r>
          </w:p>
        </w:tc>
        <w:tc>
          <w:tcPr>
            <w:tcW w:w="2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available for issuance under</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1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4"/>
              </w:rPr>
              <w:t>be issued upon exercise of</w:t>
            </w:r>
          </w:p>
        </w:tc>
        <w:tc>
          <w:tcPr>
            <w:tcW w:w="13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1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outstanding</w:t>
            </w: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(excluding securities reflected in</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warrants, and rights</w:t>
            </w:r>
          </w:p>
        </w:tc>
        <w:tc>
          <w:tcPr>
            <w:tcW w:w="14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Equity compensation plan approved by shareholders</w:t>
            </w:r>
            <w:r>
              <w:rPr>
                <w:rFonts w:ascii="Arial" w:cs="Arial" w:eastAsia="Arial" w:hAnsi="Arial"/>
                <w:sz w:val="23"/>
                <w:szCs w:val="23"/>
                <w:color w:val="auto"/>
                <w:vertAlign w:val="superscript"/>
              </w:rPr>
              <w:t>1</w:t>
            </w:r>
          </w:p>
        </w:tc>
        <w:tc>
          <w:tcPr>
            <w:tcW w:w="208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1,519,826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Equity compensation not approved by shareholders</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1,519,826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Plan approved by shareholders is the Five Star Bancorp 2021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certain relationships and related transactions, the section entitled “</w:t>
      </w:r>
      <w:r>
        <w:rPr>
          <w:rFonts w:ascii="Arial" w:cs="Arial" w:eastAsia="Arial" w:hAnsi="Arial"/>
          <w:sz w:val="18"/>
          <w:szCs w:val="18"/>
          <w:i w:val="1"/>
          <w:iCs w:val="1"/>
          <w:color w:val="auto"/>
        </w:rPr>
        <w:t>Other Information —Transactions with Related Parties”</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information regarding director independence, the section entitled </w:t>
      </w:r>
      <w:r>
        <w:rPr>
          <w:rFonts w:ascii="Arial" w:cs="Arial" w:eastAsia="Arial" w:hAnsi="Arial"/>
          <w:sz w:val="18"/>
          <w:szCs w:val="18"/>
          <w:i w:val="1"/>
          <w:iCs w:val="1"/>
          <w:color w:val="auto"/>
        </w:rPr>
        <w:t>“Corporate Governance —Director Independence”</w:t>
      </w:r>
      <w:r>
        <w:rPr>
          <w:rFonts w:ascii="Arial" w:cs="Arial" w:eastAsia="Arial" w:hAnsi="Arial"/>
          <w:sz w:val="18"/>
          <w:szCs w:val="18"/>
          <w:color w:val="auto"/>
        </w:rPr>
        <w:t xml:space="preserve"> in the Company’s Proxy Statement for the 2023 Annual Meeting of Shareholders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For information regarding the principal accountant fees and expenses, the section entitled </w:t>
      </w:r>
      <w:r>
        <w:rPr>
          <w:rFonts w:ascii="Arial" w:cs="Arial" w:eastAsia="Arial" w:hAnsi="Arial"/>
          <w:sz w:val="16"/>
          <w:szCs w:val="16"/>
          <w:i w:val="1"/>
          <w:iCs w:val="1"/>
          <w:color w:val="auto"/>
        </w:rPr>
        <w:t>“Item 2 —Ratification of Selection of Independent Registered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Public Accounting Firm” </w:t>
      </w:r>
      <w:r>
        <w:rPr>
          <w:rFonts w:ascii="Arial" w:cs="Arial" w:eastAsia="Arial" w:hAnsi="Arial"/>
          <w:sz w:val="16"/>
          <w:szCs w:val="16"/>
          <w:color w:val="auto"/>
        </w:rPr>
        <w:t>in the Company’s Proxy Statement for the 2023 Annual Meeting of Shareholders is incorporated herein by reference.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line="258"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statements required in response to this item are incorporated herein by reference from Part II, Item 8 of this Annual Report on Form 10-K.</w:t>
      </w:r>
    </w:p>
    <w:p>
      <w:pPr>
        <w:spacing w:after="0" w:line="1" w:lineRule="exact"/>
        <w:rPr>
          <w:rFonts w:ascii="Arial" w:cs="Arial" w:eastAsia="Arial" w:hAnsi="Arial"/>
          <w:sz w:val="18"/>
          <w:szCs w:val="18"/>
          <w:color w:val="auto"/>
        </w:rPr>
      </w:pPr>
    </w:p>
    <w:p>
      <w:pPr>
        <w:ind w:left="660" w:hanging="652"/>
        <w:spacing w:after="0" w:line="250"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required or applicable, or the required information is shown in the consolidated financial statements or the notes thereto.</w:t>
      </w: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w w:val="99"/>
              </w:rPr>
              <w:t>Incorporated by Reference</w:t>
            </w:r>
          </w:p>
        </w:tc>
        <w:tc>
          <w:tcPr>
            <w:tcW w:w="1600" w:type="dxa"/>
            <w:vAlign w:val="bottom"/>
            <w:tcBorders>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920" w:type="dxa"/>
            <w:vAlign w:val="bottom"/>
            <w:tcBorders>
              <w:bottom w:val="single" w:sz="8" w:color="auto"/>
            </w:tcBorders>
            <w:gridSpan w:val="16"/>
          </w:tcPr>
          <w:p>
            <w:pPr>
              <w:ind w:left="700"/>
              <w:spacing w:after="0"/>
              <w:rPr>
                <w:sz w:val="20"/>
                <w:szCs w:val="20"/>
                <w:color w:val="auto"/>
              </w:rPr>
            </w:pPr>
            <w:r>
              <w:rPr>
                <w:rFonts w:ascii="Arial" w:cs="Arial" w:eastAsia="Arial" w:hAnsi="Arial"/>
                <w:sz w:val="18"/>
                <w:szCs w:val="18"/>
                <w:b w:val="1"/>
                <w:bCs w:val="1"/>
                <w:color w:val="auto"/>
              </w:rPr>
              <w:t>Exhibit Description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File No.</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Filing Date</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96"/>
        </w:trPr>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920" w:type="dxa"/>
            <w:vAlign w:val="bottom"/>
            <w:gridSpan w:val="16"/>
          </w:tcPr>
          <w:p>
            <w:pPr>
              <w:spacing w:after="0" w:line="196" w:lineRule="exact"/>
              <w:rPr>
                <w:rFonts w:ascii="Arial" w:cs="Arial" w:eastAsia="Arial" w:hAnsi="Arial"/>
                <w:sz w:val="18"/>
                <w:szCs w:val="18"/>
                <w:color w:val="0E32E1"/>
              </w:rPr>
            </w:pPr>
            <w:hyperlink r:id="rId165">
              <w:r>
                <w:rPr>
                  <w:rFonts w:ascii="Arial" w:cs="Arial" w:eastAsia="Arial" w:hAnsi="Arial"/>
                  <w:sz w:val="18"/>
                  <w:szCs w:val="18"/>
                  <w:color w:val="0E32E1"/>
                </w:rPr>
                <w:t>Amended and Restated Articles of</w:t>
              </w:r>
            </w:hyperlink>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2480" w:type="dxa"/>
            <w:vAlign w:val="bottom"/>
            <w:tcBorders>
              <w:top w:val="single" w:sz="8" w:color="0E32E1"/>
              <w:bottom w:val="single" w:sz="8" w:color="0E32E1"/>
            </w:tcBorders>
            <w:gridSpan w:val="10"/>
          </w:tcPr>
          <w:p>
            <w:pPr>
              <w:spacing w:after="0" w:line="169" w:lineRule="exact"/>
              <w:rPr>
                <w:rFonts w:ascii="Arial" w:cs="Arial" w:eastAsia="Arial" w:hAnsi="Arial"/>
                <w:sz w:val="18"/>
                <w:szCs w:val="18"/>
                <w:color w:val="0E32E1"/>
                <w:w w:val="89"/>
              </w:rPr>
            </w:pPr>
            <w:hyperlink r:id="rId165">
              <w:r>
                <w:rPr>
                  <w:rFonts w:ascii="Arial" w:cs="Arial" w:eastAsia="Arial" w:hAnsi="Arial"/>
                  <w:sz w:val="18"/>
                  <w:szCs w:val="18"/>
                  <w:color w:val="0E32E1"/>
                  <w:w w:val="89"/>
                </w:rPr>
                <w:t>Incorporation of Five Star Bancorp</w:t>
              </w:r>
            </w:hyperlink>
          </w:p>
        </w:tc>
        <w:tc>
          <w:tcPr>
            <w:tcW w:w="40" w:type="dxa"/>
            <w:vAlign w:val="bottom"/>
            <w:tcBorders>
              <w:bottom w:val="single" w:sz="8" w:color="0E32E1"/>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line="182" w:lineRule="exact"/>
              <w:rPr>
                <w:sz w:val="20"/>
                <w:szCs w:val="20"/>
                <w:color w:val="auto"/>
              </w:rPr>
            </w:pPr>
            <w:r>
              <w:rPr>
                <w:rFonts w:ascii="Arial" w:cs="Arial" w:eastAsia="Arial" w:hAnsi="Arial"/>
                <w:sz w:val="18"/>
                <w:szCs w:val="18"/>
                <w:color w:val="auto"/>
                <w:w w:val="90"/>
              </w:rPr>
              <w:t>001-40379</w:t>
            </w:r>
          </w:p>
        </w:tc>
        <w:tc>
          <w:tcPr>
            <w:tcW w:w="1400" w:type="dxa"/>
            <w:vAlign w:val="bottom"/>
          </w:tcPr>
          <w:p>
            <w:pPr>
              <w:jc w:val="center"/>
              <w:ind w:left="50"/>
              <w:spacing w:after="0" w:line="182" w:lineRule="exact"/>
              <w:rPr>
                <w:sz w:val="20"/>
                <w:szCs w:val="20"/>
                <w:color w:val="auto"/>
              </w:rPr>
            </w:pPr>
            <w:r>
              <w:rPr>
                <w:rFonts w:ascii="Arial" w:cs="Arial" w:eastAsia="Arial" w:hAnsi="Arial"/>
                <w:sz w:val="18"/>
                <w:szCs w:val="18"/>
                <w:color w:val="auto"/>
                <w:w w:val="87"/>
              </w:rPr>
              <w:t>3.1</w:t>
            </w:r>
          </w:p>
        </w:tc>
        <w:tc>
          <w:tcPr>
            <w:tcW w:w="1600" w:type="dxa"/>
            <w:vAlign w:val="bottom"/>
          </w:tcPr>
          <w:p>
            <w:pPr>
              <w:jc w:val="center"/>
              <w:ind w:left="30"/>
              <w:spacing w:after="0" w:line="182" w:lineRule="exact"/>
              <w:rPr>
                <w:sz w:val="20"/>
                <w:szCs w:val="20"/>
                <w:color w:val="auto"/>
              </w:rPr>
            </w:pPr>
            <w:r>
              <w:rPr>
                <w:rFonts w:ascii="Arial" w:cs="Arial" w:eastAsia="Arial" w:hAnsi="Arial"/>
                <w:sz w:val="18"/>
                <w:szCs w:val="18"/>
                <w:color w:val="auto"/>
                <w:w w:val="87"/>
              </w:rPr>
              <w:t>June 17,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920" w:type="dxa"/>
            <w:vAlign w:val="bottom"/>
            <w:gridSpan w:val="16"/>
          </w:tcPr>
          <w:p>
            <w:pPr>
              <w:spacing w:after="0"/>
              <w:rPr>
                <w:rFonts w:ascii="Arial" w:cs="Arial" w:eastAsia="Arial" w:hAnsi="Arial"/>
                <w:sz w:val="18"/>
                <w:szCs w:val="18"/>
                <w:color w:val="0E32E1"/>
                <w:w w:val="93"/>
              </w:rPr>
            </w:pPr>
            <w:hyperlink r:id="rId166">
              <w:r>
                <w:rPr>
                  <w:rFonts w:ascii="Arial" w:cs="Arial" w:eastAsia="Arial" w:hAnsi="Arial"/>
                  <w:sz w:val="18"/>
                  <w:szCs w:val="18"/>
                  <w:color w:val="0E32E1"/>
                  <w:w w:val="93"/>
                </w:rPr>
                <w:t>Amended and Restated Bylaws of Five</w:t>
              </w:r>
            </w:hyperlink>
          </w:p>
        </w:tc>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940" w:type="dxa"/>
            <w:vAlign w:val="bottom"/>
            <w:tcBorders>
              <w:top w:val="single" w:sz="8" w:color="0E32E1"/>
              <w:bottom w:val="single" w:sz="8" w:color="0E32E1"/>
            </w:tcBorders>
          </w:tcPr>
          <w:p>
            <w:pPr>
              <w:spacing w:after="0" w:line="169" w:lineRule="exact"/>
              <w:rPr>
                <w:rFonts w:ascii="Arial" w:cs="Arial" w:eastAsia="Arial" w:hAnsi="Arial"/>
                <w:sz w:val="18"/>
                <w:szCs w:val="18"/>
                <w:color w:val="0E32E1"/>
                <w:w w:val="87"/>
              </w:rPr>
            </w:pPr>
            <w:hyperlink r:id="rId166">
              <w:r>
                <w:rPr>
                  <w:rFonts w:ascii="Arial" w:cs="Arial" w:eastAsia="Arial" w:hAnsi="Arial"/>
                  <w:sz w:val="18"/>
                  <w:szCs w:val="18"/>
                  <w:color w:val="0E32E1"/>
                  <w:w w:val="87"/>
                </w:rPr>
                <w:t>Star Bancorp</w:t>
              </w:r>
            </w:hyperlink>
          </w:p>
        </w:tc>
        <w:tc>
          <w:tcPr>
            <w:tcW w:w="100" w:type="dxa"/>
            <w:vAlign w:val="bottom"/>
            <w:tcBorders>
              <w:top w:val="single" w:sz="8" w:color="0E32E1"/>
            </w:tcBorders>
          </w:tcPr>
          <w:p>
            <w:pPr>
              <w:spacing w:after="0"/>
              <w:rPr>
                <w:sz w:val="15"/>
                <w:szCs w:val="15"/>
                <w:color w:val="auto"/>
              </w:rPr>
            </w:pPr>
          </w:p>
        </w:tc>
        <w:tc>
          <w:tcPr>
            <w:tcW w:w="260" w:type="dxa"/>
            <w:vAlign w:val="bottom"/>
            <w:tcBorders>
              <w:top w:val="single" w:sz="8" w:color="0E32E1"/>
            </w:tcBorders>
          </w:tcPr>
          <w:p>
            <w:pPr>
              <w:spacing w:after="0"/>
              <w:rPr>
                <w:sz w:val="15"/>
                <w:szCs w:val="15"/>
                <w:color w:val="auto"/>
              </w:rPr>
            </w:pPr>
          </w:p>
        </w:tc>
        <w:tc>
          <w:tcPr>
            <w:tcW w:w="420" w:type="dxa"/>
            <w:vAlign w:val="bottom"/>
            <w:tcBorders>
              <w:top w:val="single" w:sz="8" w:color="0E32E1"/>
            </w:tcBorders>
          </w:tcPr>
          <w:p>
            <w:pPr>
              <w:spacing w:after="0"/>
              <w:rPr>
                <w:sz w:val="15"/>
                <w:szCs w:val="15"/>
                <w:color w:val="auto"/>
              </w:rPr>
            </w:pPr>
          </w:p>
        </w:tc>
        <w:tc>
          <w:tcPr>
            <w:tcW w:w="60" w:type="dxa"/>
            <w:vAlign w:val="bottom"/>
            <w:tcBorders>
              <w:top w:val="single" w:sz="8" w:color="0E32E1"/>
            </w:tcBorders>
          </w:tcPr>
          <w:p>
            <w:pPr>
              <w:spacing w:after="0"/>
              <w:rPr>
                <w:sz w:val="15"/>
                <w:szCs w:val="15"/>
                <w:color w:val="auto"/>
              </w:rPr>
            </w:pPr>
          </w:p>
        </w:tc>
        <w:tc>
          <w:tcPr>
            <w:tcW w:w="320" w:type="dxa"/>
            <w:vAlign w:val="bottom"/>
            <w:tcBorders>
              <w:top w:val="single" w:sz="8" w:color="0E32E1"/>
            </w:tcBorders>
          </w:tcPr>
          <w:p>
            <w:pPr>
              <w:spacing w:after="0"/>
              <w:rPr>
                <w:sz w:val="15"/>
                <w:szCs w:val="15"/>
                <w:color w:val="auto"/>
              </w:rPr>
            </w:pPr>
          </w:p>
        </w:tc>
        <w:tc>
          <w:tcPr>
            <w:tcW w:w="140" w:type="dxa"/>
            <w:vAlign w:val="bottom"/>
            <w:tcBorders>
              <w:top w:val="single" w:sz="8" w:color="0E32E1"/>
            </w:tcBorders>
          </w:tcPr>
          <w:p>
            <w:pPr>
              <w:spacing w:after="0"/>
              <w:rPr>
                <w:sz w:val="15"/>
                <w:szCs w:val="15"/>
                <w:color w:val="auto"/>
              </w:rPr>
            </w:pPr>
          </w:p>
        </w:tc>
        <w:tc>
          <w:tcPr>
            <w:tcW w:w="160" w:type="dxa"/>
            <w:vAlign w:val="bottom"/>
            <w:tcBorders>
              <w:top w:val="single" w:sz="8" w:color="0E32E1"/>
            </w:tcBorders>
          </w:tcPr>
          <w:p>
            <w:pPr>
              <w:spacing w:after="0"/>
              <w:rPr>
                <w:sz w:val="15"/>
                <w:szCs w:val="15"/>
                <w:color w:val="auto"/>
              </w:rPr>
            </w:pPr>
          </w:p>
        </w:tc>
        <w:tc>
          <w:tcPr>
            <w:tcW w:w="20" w:type="dxa"/>
            <w:vAlign w:val="bottom"/>
            <w:tcBorders>
              <w:top w:val="single" w:sz="8" w:color="0E32E1"/>
            </w:tcBorders>
          </w:tcPr>
          <w:p>
            <w:pPr>
              <w:spacing w:after="0"/>
              <w:rPr>
                <w:sz w:val="15"/>
                <w:szCs w:val="15"/>
                <w:color w:val="auto"/>
              </w:rPr>
            </w:pPr>
          </w:p>
        </w:tc>
        <w:tc>
          <w:tcPr>
            <w:tcW w:w="260" w:type="dxa"/>
            <w:vAlign w:val="bottom"/>
            <w:tcBorders>
              <w:top w:val="single" w:sz="8" w:color="0E32E1"/>
            </w:tcBorders>
            <w:gridSpan w:val="3"/>
          </w:tcPr>
          <w:p>
            <w:pPr>
              <w:spacing w:after="0"/>
              <w:rPr>
                <w:sz w:val="15"/>
                <w:szCs w:val="15"/>
                <w:color w:val="auto"/>
              </w:rPr>
            </w:pPr>
          </w:p>
        </w:tc>
        <w:tc>
          <w:tcPr>
            <w:tcW w:w="60" w:type="dxa"/>
            <w:vAlign w:val="bottom"/>
            <w:tcBorders>
              <w:top w:val="single" w:sz="8" w:color="0E32E1"/>
            </w:tcBorders>
          </w:tcPr>
          <w:p>
            <w:pPr>
              <w:spacing w:after="0"/>
              <w:rPr>
                <w:sz w:val="15"/>
                <w:szCs w:val="15"/>
                <w:color w:val="auto"/>
              </w:rPr>
            </w:pPr>
          </w:p>
        </w:tc>
        <w:tc>
          <w:tcPr>
            <w:tcW w:w="60" w:type="dxa"/>
            <w:vAlign w:val="bottom"/>
            <w:tcBorders>
              <w:top w:val="single" w:sz="8" w:color="0E32E1"/>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line="182" w:lineRule="exact"/>
              <w:rPr>
                <w:sz w:val="20"/>
                <w:szCs w:val="20"/>
                <w:color w:val="auto"/>
              </w:rPr>
            </w:pPr>
            <w:r>
              <w:rPr>
                <w:rFonts w:ascii="Arial" w:cs="Arial" w:eastAsia="Arial" w:hAnsi="Arial"/>
                <w:sz w:val="18"/>
                <w:szCs w:val="18"/>
                <w:color w:val="auto"/>
                <w:w w:val="90"/>
              </w:rPr>
              <w:t>001-40379</w:t>
            </w:r>
          </w:p>
        </w:tc>
        <w:tc>
          <w:tcPr>
            <w:tcW w:w="1400" w:type="dxa"/>
            <w:vAlign w:val="bottom"/>
          </w:tcPr>
          <w:p>
            <w:pPr>
              <w:jc w:val="center"/>
              <w:ind w:left="50"/>
              <w:spacing w:after="0" w:line="182" w:lineRule="exact"/>
              <w:rPr>
                <w:sz w:val="20"/>
                <w:szCs w:val="20"/>
                <w:color w:val="auto"/>
              </w:rPr>
            </w:pPr>
            <w:r>
              <w:rPr>
                <w:rFonts w:ascii="Arial" w:cs="Arial" w:eastAsia="Arial" w:hAnsi="Arial"/>
                <w:sz w:val="18"/>
                <w:szCs w:val="18"/>
                <w:color w:val="auto"/>
                <w:w w:val="87"/>
              </w:rPr>
              <w:t>3.2</w:t>
            </w:r>
          </w:p>
        </w:tc>
        <w:tc>
          <w:tcPr>
            <w:tcW w:w="1600" w:type="dxa"/>
            <w:vAlign w:val="bottom"/>
          </w:tcPr>
          <w:p>
            <w:pPr>
              <w:jc w:val="center"/>
              <w:ind w:left="10"/>
              <w:spacing w:after="0" w:line="182" w:lineRule="exact"/>
              <w:rPr>
                <w:sz w:val="20"/>
                <w:szCs w:val="20"/>
                <w:color w:val="auto"/>
              </w:rPr>
            </w:pPr>
            <w:r>
              <w:rPr>
                <w:rFonts w:ascii="Arial" w:cs="Arial" w:eastAsia="Arial" w:hAnsi="Arial"/>
                <w:sz w:val="18"/>
                <w:szCs w:val="18"/>
                <w:color w:val="auto"/>
                <w:w w:val="89"/>
              </w:rPr>
              <w:t>August 11, 2022</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920" w:type="dxa"/>
            <w:vAlign w:val="bottom"/>
            <w:gridSpan w:val="16"/>
          </w:tcPr>
          <w:p>
            <w:pPr>
              <w:spacing w:after="0"/>
              <w:rPr>
                <w:rFonts w:ascii="Arial" w:cs="Arial" w:eastAsia="Arial" w:hAnsi="Arial"/>
                <w:sz w:val="18"/>
                <w:szCs w:val="18"/>
                <w:color w:val="0E32E1"/>
                <w:w w:val="97"/>
              </w:rPr>
            </w:pPr>
            <w:hyperlink r:id="rId167">
              <w:r>
                <w:rPr>
                  <w:rFonts w:ascii="Arial" w:cs="Arial" w:eastAsia="Arial" w:hAnsi="Arial"/>
                  <w:sz w:val="18"/>
                  <w:szCs w:val="18"/>
                  <w:color w:val="0E32E1"/>
                  <w:w w:val="97"/>
                </w:rPr>
                <w:t>Form of Common Stock Certificate of</w:t>
              </w:r>
            </w:hyperlink>
          </w:p>
        </w:tc>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1300" w:type="dxa"/>
            <w:vAlign w:val="bottom"/>
            <w:tcBorders>
              <w:top w:val="single" w:sz="8" w:color="0E32E1"/>
              <w:bottom w:val="single" w:sz="8" w:color="0E32E1"/>
            </w:tcBorders>
            <w:gridSpan w:val="3"/>
          </w:tcPr>
          <w:p>
            <w:pPr>
              <w:spacing w:after="0" w:line="169" w:lineRule="exact"/>
              <w:rPr>
                <w:rFonts w:ascii="Arial" w:cs="Arial" w:eastAsia="Arial" w:hAnsi="Arial"/>
                <w:sz w:val="18"/>
                <w:szCs w:val="18"/>
                <w:color w:val="0E32E1"/>
                <w:w w:val="88"/>
              </w:rPr>
            </w:pPr>
            <w:hyperlink r:id="rId167">
              <w:r>
                <w:rPr>
                  <w:rFonts w:ascii="Arial" w:cs="Arial" w:eastAsia="Arial" w:hAnsi="Arial"/>
                  <w:sz w:val="18"/>
                  <w:szCs w:val="18"/>
                  <w:color w:val="0E32E1"/>
                  <w:w w:val="88"/>
                </w:rPr>
                <w:t>Five Star Bancorp</w:t>
              </w:r>
            </w:hyperlink>
          </w:p>
        </w:tc>
        <w:tc>
          <w:tcPr>
            <w:tcW w:w="420" w:type="dxa"/>
            <w:vAlign w:val="bottom"/>
            <w:tcBorders>
              <w:top w:val="single" w:sz="8" w:color="0E32E1"/>
            </w:tcBorders>
          </w:tcPr>
          <w:p>
            <w:pPr>
              <w:spacing w:after="0"/>
              <w:rPr>
                <w:sz w:val="15"/>
                <w:szCs w:val="15"/>
                <w:color w:val="auto"/>
              </w:rPr>
            </w:pPr>
          </w:p>
        </w:tc>
        <w:tc>
          <w:tcPr>
            <w:tcW w:w="60" w:type="dxa"/>
            <w:vAlign w:val="bottom"/>
            <w:tcBorders>
              <w:top w:val="single" w:sz="8" w:color="0E32E1"/>
            </w:tcBorders>
          </w:tcPr>
          <w:p>
            <w:pPr>
              <w:spacing w:after="0"/>
              <w:rPr>
                <w:sz w:val="15"/>
                <w:szCs w:val="15"/>
                <w:color w:val="auto"/>
              </w:rPr>
            </w:pPr>
          </w:p>
        </w:tc>
        <w:tc>
          <w:tcPr>
            <w:tcW w:w="320" w:type="dxa"/>
            <w:vAlign w:val="bottom"/>
            <w:tcBorders>
              <w:top w:val="single" w:sz="8" w:color="0E32E1"/>
            </w:tcBorders>
          </w:tcPr>
          <w:p>
            <w:pPr>
              <w:spacing w:after="0"/>
              <w:rPr>
                <w:sz w:val="15"/>
                <w:szCs w:val="15"/>
                <w:color w:val="auto"/>
              </w:rPr>
            </w:pPr>
          </w:p>
        </w:tc>
        <w:tc>
          <w:tcPr>
            <w:tcW w:w="140" w:type="dxa"/>
            <w:vAlign w:val="bottom"/>
            <w:tcBorders>
              <w:top w:val="single" w:sz="8" w:color="0E32E1"/>
            </w:tcBorders>
          </w:tcPr>
          <w:p>
            <w:pPr>
              <w:spacing w:after="0"/>
              <w:rPr>
                <w:sz w:val="15"/>
                <w:szCs w:val="15"/>
                <w:color w:val="auto"/>
              </w:rPr>
            </w:pPr>
          </w:p>
        </w:tc>
        <w:tc>
          <w:tcPr>
            <w:tcW w:w="160" w:type="dxa"/>
            <w:vAlign w:val="bottom"/>
            <w:tcBorders>
              <w:top w:val="single" w:sz="8" w:color="0E32E1"/>
            </w:tcBorders>
          </w:tcPr>
          <w:p>
            <w:pPr>
              <w:spacing w:after="0"/>
              <w:rPr>
                <w:sz w:val="15"/>
                <w:szCs w:val="15"/>
                <w:color w:val="auto"/>
              </w:rPr>
            </w:pPr>
          </w:p>
        </w:tc>
        <w:tc>
          <w:tcPr>
            <w:tcW w:w="20" w:type="dxa"/>
            <w:vAlign w:val="bottom"/>
            <w:tcBorders>
              <w:top w:val="single" w:sz="8" w:color="0E32E1"/>
            </w:tcBorders>
          </w:tcPr>
          <w:p>
            <w:pPr>
              <w:spacing w:after="0"/>
              <w:rPr>
                <w:sz w:val="15"/>
                <w:szCs w:val="15"/>
                <w:color w:val="auto"/>
              </w:rPr>
            </w:pPr>
          </w:p>
        </w:tc>
        <w:tc>
          <w:tcPr>
            <w:tcW w:w="260" w:type="dxa"/>
            <w:vAlign w:val="bottom"/>
            <w:tcBorders>
              <w:top w:val="single" w:sz="8" w:color="0E32E1"/>
            </w:tcBorders>
            <w:gridSpan w:val="3"/>
          </w:tcPr>
          <w:p>
            <w:pPr>
              <w:spacing w:after="0"/>
              <w:rPr>
                <w:sz w:val="15"/>
                <w:szCs w:val="15"/>
                <w:color w:val="auto"/>
              </w:rPr>
            </w:pPr>
          </w:p>
        </w:tc>
        <w:tc>
          <w:tcPr>
            <w:tcW w:w="60" w:type="dxa"/>
            <w:vAlign w:val="bottom"/>
            <w:tcBorders>
              <w:top w:val="single" w:sz="8" w:color="0E32E1"/>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line="182" w:lineRule="exact"/>
              <w:rPr>
                <w:sz w:val="20"/>
                <w:szCs w:val="20"/>
                <w:color w:val="auto"/>
              </w:rPr>
            </w:pPr>
            <w:r>
              <w:rPr>
                <w:rFonts w:ascii="Arial" w:cs="Arial" w:eastAsia="Arial" w:hAnsi="Arial"/>
                <w:sz w:val="18"/>
                <w:szCs w:val="18"/>
                <w:color w:val="auto"/>
                <w:w w:val="89"/>
              </w:rPr>
              <w:t>333-255143</w:t>
            </w:r>
          </w:p>
        </w:tc>
        <w:tc>
          <w:tcPr>
            <w:tcW w:w="1400" w:type="dxa"/>
            <w:vAlign w:val="bottom"/>
          </w:tcPr>
          <w:p>
            <w:pPr>
              <w:jc w:val="center"/>
              <w:ind w:left="50"/>
              <w:spacing w:after="0" w:line="182" w:lineRule="exact"/>
              <w:rPr>
                <w:sz w:val="20"/>
                <w:szCs w:val="20"/>
                <w:color w:val="auto"/>
              </w:rPr>
            </w:pPr>
            <w:r>
              <w:rPr>
                <w:rFonts w:ascii="Arial" w:cs="Arial" w:eastAsia="Arial" w:hAnsi="Arial"/>
                <w:sz w:val="18"/>
                <w:szCs w:val="18"/>
                <w:color w:val="auto"/>
                <w:w w:val="87"/>
              </w:rPr>
              <w:t>4.1</w:t>
            </w:r>
          </w:p>
        </w:tc>
        <w:tc>
          <w:tcPr>
            <w:tcW w:w="160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5"/>
              </w:rPr>
              <w:t>April 26,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920" w:type="dxa"/>
            <w:vAlign w:val="bottom"/>
            <w:gridSpan w:val="16"/>
          </w:tcPr>
          <w:p>
            <w:pPr>
              <w:spacing w:after="0"/>
              <w:rPr>
                <w:rFonts w:ascii="Arial" w:cs="Arial" w:eastAsia="Arial" w:hAnsi="Arial"/>
                <w:sz w:val="18"/>
                <w:szCs w:val="18"/>
                <w:color w:val="0E32E1"/>
                <w:w w:val="99"/>
              </w:rPr>
            </w:pPr>
            <w:hyperlink r:id="rId168">
              <w:r>
                <w:rPr>
                  <w:rFonts w:ascii="Arial" w:cs="Arial" w:eastAsia="Arial" w:hAnsi="Arial"/>
                  <w:sz w:val="18"/>
                  <w:szCs w:val="18"/>
                  <w:color w:val="0E32E1"/>
                  <w:w w:val="99"/>
                </w:rPr>
                <w:t>Form of 6.0% Fixed-to-Floating Rate</w:t>
              </w:r>
            </w:hyperlink>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Exhibit A of</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2100" w:type="dxa"/>
            <w:vAlign w:val="bottom"/>
            <w:tcBorders>
              <w:top w:val="single" w:sz="8" w:color="0E32E1"/>
              <w:bottom w:val="single" w:sz="8" w:color="0E32E1"/>
            </w:tcBorders>
            <w:gridSpan w:val="6"/>
          </w:tcPr>
          <w:p>
            <w:pPr>
              <w:spacing w:after="0" w:line="142" w:lineRule="exact"/>
              <w:rPr>
                <w:rFonts w:ascii="Arial" w:cs="Arial" w:eastAsia="Arial" w:hAnsi="Arial"/>
                <w:sz w:val="16"/>
                <w:szCs w:val="16"/>
                <w:color w:val="0E32E1"/>
              </w:rPr>
            </w:pPr>
            <w:hyperlink r:id="rId168">
              <w:r>
                <w:rPr>
                  <w:rFonts w:ascii="Arial" w:cs="Arial" w:eastAsia="Arial" w:hAnsi="Arial"/>
                  <w:sz w:val="16"/>
                  <w:szCs w:val="16"/>
                  <w:color w:val="0E32E1"/>
                </w:rPr>
                <w:t>Subordinated Note Due 2032</w:t>
              </w:r>
            </w:hyperlink>
          </w:p>
        </w:tc>
        <w:tc>
          <w:tcPr>
            <w:tcW w:w="140" w:type="dxa"/>
            <w:vAlign w:val="bottom"/>
            <w:tcBorders>
              <w:top w:val="single" w:sz="8" w:color="0E32E1"/>
              <w:bottom w:val="single" w:sz="8" w:color="0E32E1"/>
            </w:tcBorders>
            <w:vMerge w:val="restart"/>
          </w:tcPr>
          <w:p>
            <w:pPr>
              <w:spacing w:after="0"/>
              <w:rPr>
                <w:sz w:val="13"/>
                <w:szCs w:val="13"/>
                <w:color w:val="auto"/>
              </w:rPr>
            </w:pPr>
          </w:p>
        </w:tc>
        <w:tc>
          <w:tcPr>
            <w:tcW w:w="160" w:type="dxa"/>
            <w:vAlign w:val="bottom"/>
            <w:tcBorders>
              <w:top w:val="single" w:sz="8" w:color="0E32E1"/>
              <w:bottom w:val="single" w:sz="8" w:color="0E32E1"/>
            </w:tcBorders>
            <w:vMerge w:val="restart"/>
          </w:tcPr>
          <w:p>
            <w:pPr>
              <w:spacing w:after="0"/>
              <w:rPr>
                <w:sz w:val="13"/>
                <w:szCs w:val="13"/>
                <w:color w:val="auto"/>
              </w:rPr>
            </w:pPr>
          </w:p>
        </w:tc>
        <w:tc>
          <w:tcPr>
            <w:tcW w:w="20" w:type="dxa"/>
            <w:vAlign w:val="bottom"/>
            <w:tcBorders>
              <w:top w:val="single" w:sz="8" w:color="0E32E1"/>
              <w:bottom w:val="single" w:sz="8" w:color="0E32E1"/>
            </w:tcBorders>
            <w:vMerge w:val="restart"/>
          </w:tcPr>
          <w:p>
            <w:pPr>
              <w:spacing w:after="0"/>
              <w:rPr>
                <w:sz w:val="13"/>
                <w:szCs w:val="13"/>
                <w:color w:val="auto"/>
              </w:rPr>
            </w:pPr>
          </w:p>
        </w:tc>
        <w:tc>
          <w:tcPr>
            <w:tcW w:w="260" w:type="dxa"/>
            <w:vAlign w:val="bottom"/>
            <w:tcBorders>
              <w:top w:val="single" w:sz="8" w:color="0E32E1"/>
              <w:bottom w:val="single" w:sz="8" w:color="0E32E1"/>
            </w:tcBorders>
            <w:gridSpan w:val="3"/>
            <w:vMerge w:val="restart"/>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001-40379</w:t>
            </w:r>
          </w:p>
        </w:tc>
        <w:tc>
          <w:tcPr>
            <w:tcW w:w="1400" w:type="dxa"/>
            <w:vAlign w:val="bottom"/>
            <w:vMerge w:val="restart"/>
          </w:tcPr>
          <w:p>
            <w:pPr>
              <w:jc w:val="center"/>
              <w:ind w:left="50"/>
              <w:spacing w:after="0"/>
              <w:rPr>
                <w:sz w:val="20"/>
                <w:szCs w:val="20"/>
                <w:color w:val="auto"/>
              </w:rPr>
            </w:pPr>
            <w:r>
              <w:rPr>
                <w:rFonts w:ascii="Arial" w:cs="Arial" w:eastAsia="Arial" w:hAnsi="Arial"/>
                <w:sz w:val="18"/>
                <w:szCs w:val="18"/>
                <w:color w:val="auto"/>
                <w:w w:val="85"/>
              </w:rPr>
              <w:t>10.1</w:t>
            </w:r>
          </w:p>
        </w:tc>
        <w:tc>
          <w:tcPr>
            <w:tcW w:w="16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August 17, 2022</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1780" w:type="dxa"/>
            <w:vAlign w:val="bottom"/>
            <w:gridSpan w:val="5"/>
            <w:vMerge w:val="restart"/>
          </w:tcPr>
          <w:p>
            <w:pPr>
              <w:spacing w:after="0"/>
              <w:rPr>
                <w:rFonts w:ascii="Arial" w:cs="Arial" w:eastAsia="Arial" w:hAnsi="Arial"/>
                <w:sz w:val="18"/>
                <w:szCs w:val="18"/>
                <w:color w:val="0E32E1"/>
                <w:w w:val="90"/>
              </w:rPr>
            </w:pPr>
            <w:hyperlink r:id="rId169">
              <w:r>
                <w:rPr>
                  <w:rFonts w:ascii="Arial" w:cs="Arial" w:eastAsia="Arial" w:hAnsi="Arial"/>
                  <w:sz w:val="18"/>
                  <w:szCs w:val="18"/>
                  <w:color w:val="0E32E1"/>
                  <w:w w:val="90"/>
                </w:rPr>
                <w:t>Description of Securities</w:t>
              </w:r>
            </w:hyperlink>
          </w:p>
        </w:tc>
        <w:tc>
          <w:tcPr>
            <w:tcW w:w="3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7"/>
              </w:rPr>
              <w:t>4.3</w:t>
            </w:r>
          </w:p>
        </w:tc>
        <w:tc>
          <w:tcPr>
            <w:tcW w:w="1780" w:type="dxa"/>
            <w:vAlign w:val="bottom"/>
            <w:tcBorders>
              <w:bottom w:val="single" w:sz="8" w:color="0E32E1"/>
            </w:tcBorders>
            <w:gridSpan w:val="5"/>
            <w:vMerge w:val="continue"/>
          </w:tcPr>
          <w:p>
            <w:pPr>
              <w:spacing w:after="0"/>
              <w:rPr>
                <w:sz w:val="17"/>
                <w:szCs w:val="17"/>
                <w:color w:val="auto"/>
              </w:rPr>
            </w:pPr>
          </w:p>
        </w:tc>
        <w:tc>
          <w:tcPr>
            <w:tcW w:w="4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0"/>
              </w:rPr>
              <w:t>001-40379</w:t>
            </w:r>
          </w:p>
        </w:tc>
        <w:tc>
          <w:tcPr>
            <w:tcW w:w="1400" w:type="dxa"/>
            <w:vAlign w:val="bottom"/>
          </w:tcPr>
          <w:p>
            <w:pPr>
              <w:jc w:val="center"/>
              <w:ind w:left="50"/>
              <w:spacing w:after="0" w:line="202" w:lineRule="exact"/>
              <w:rPr>
                <w:sz w:val="20"/>
                <w:szCs w:val="20"/>
                <w:color w:val="auto"/>
              </w:rPr>
            </w:pPr>
            <w:r>
              <w:rPr>
                <w:rFonts w:ascii="Arial" w:cs="Arial" w:eastAsia="Arial" w:hAnsi="Arial"/>
                <w:sz w:val="18"/>
                <w:szCs w:val="18"/>
                <w:color w:val="auto"/>
                <w:w w:val="87"/>
              </w:rPr>
              <w:t>4.4</w:t>
            </w:r>
          </w:p>
        </w:tc>
        <w:tc>
          <w:tcPr>
            <w:tcW w:w="1600" w:type="dxa"/>
            <w:vAlign w:val="bottom"/>
          </w:tcPr>
          <w:p>
            <w:pPr>
              <w:jc w:val="center"/>
              <w:ind w:left="30"/>
              <w:spacing w:after="0" w:line="202" w:lineRule="exact"/>
              <w:rPr>
                <w:sz w:val="20"/>
                <w:szCs w:val="20"/>
                <w:color w:val="auto"/>
              </w:rPr>
            </w:pPr>
            <w:r>
              <w:rPr>
                <w:rFonts w:ascii="Arial" w:cs="Arial" w:eastAsia="Arial" w:hAnsi="Arial"/>
                <w:sz w:val="18"/>
                <w:szCs w:val="18"/>
                <w:color w:val="auto"/>
                <w:w w:val="89"/>
              </w:rPr>
              <w:t>February 25, 2022</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2920" w:type="dxa"/>
            <w:vAlign w:val="bottom"/>
            <w:gridSpan w:val="16"/>
          </w:tcPr>
          <w:p>
            <w:pPr>
              <w:spacing w:after="0"/>
              <w:rPr>
                <w:rFonts w:ascii="Arial" w:cs="Arial" w:eastAsia="Arial" w:hAnsi="Arial"/>
                <w:sz w:val="18"/>
                <w:szCs w:val="18"/>
                <w:color w:val="0E32E1"/>
                <w:w w:val="92"/>
              </w:rPr>
            </w:pPr>
            <w:hyperlink r:id="rId170">
              <w:r>
                <w:rPr>
                  <w:rFonts w:ascii="Arial" w:cs="Arial" w:eastAsia="Arial" w:hAnsi="Arial"/>
                  <w:sz w:val="18"/>
                  <w:szCs w:val="18"/>
                  <w:color w:val="0E32E1"/>
                  <w:w w:val="92"/>
                </w:rPr>
                <w:t>Form of S Corporation Termination and</w:t>
              </w:r>
            </w:hyperlink>
          </w:p>
        </w:tc>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1720" w:type="dxa"/>
            <w:vAlign w:val="bottom"/>
            <w:tcBorders>
              <w:top w:val="single" w:sz="8" w:color="0E32E1"/>
              <w:bottom w:val="single" w:sz="8" w:color="0E32E1"/>
            </w:tcBorders>
            <w:gridSpan w:val="4"/>
          </w:tcPr>
          <w:p>
            <w:pPr>
              <w:spacing w:after="0" w:line="169" w:lineRule="exact"/>
              <w:rPr>
                <w:rFonts w:ascii="Arial" w:cs="Arial" w:eastAsia="Arial" w:hAnsi="Arial"/>
                <w:sz w:val="18"/>
                <w:szCs w:val="18"/>
                <w:color w:val="0E32E1"/>
                <w:w w:val="89"/>
              </w:rPr>
            </w:pPr>
            <w:hyperlink r:id="rId170">
              <w:r>
                <w:rPr>
                  <w:rFonts w:ascii="Arial" w:cs="Arial" w:eastAsia="Arial" w:hAnsi="Arial"/>
                  <w:sz w:val="18"/>
                  <w:szCs w:val="18"/>
                  <w:color w:val="0E32E1"/>
                  <w:w w:val="89"/>
                </w:rPr>
                <w:t>Tax Sharing Agreement</w:t>
              </w:r>
            </w:hyperlink>
          </w:p>
        </w:tc>
        <w:tc>
          <w:tcPr>
            <w:tcW w:w="1140" w:type="dxa"/>
            <w:vAlign w:val="bottom"/>
            <w:tcBorders>
              <w:top w:val="single" w:sz="8" w:color="0E32E1"/>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333-255143</w:t>
            </w:r>
          </w:p>
        </w:tc>
        <w:tc>
          <w:tcPr>
            <w:tcW w:w="1400" w:type="dxa"/>
            <w:vAlign w:val="bottom"/>
          </w:tcPr>
          <w:p>
            <w:pPr>
              <w:jc w:val="center"/>
              <w:ind w:left="50"/>
              <w:spacing w:after="0" w:line="169" w:lineRule="exact"/>
              <w:rPr>
                <w:sz w:val="20"/>
                <w:szCs w:val="20"/>
                <w:color w:val="auto"/>
              </w:rPr>
            </w:pPr>
            <w:r>
              <w:rPr>
                <w:rFonts w:ascii="Arial" w:cs="Arial" w:eastAsia="Arial" w:hAnsi="Arial"/>
                <w:sz w:val="18"/>
                <w:szCs w:val="18"/>
                <w:color w:val="auto"/>
                <w:w w:val="85"/>
              </w:rPr>
              <w:t>10.1</w:t>
            </w:r>
          </w:p>
        </w:tc>
        <w:tc>
          <w:tcPr>
            <w:tcW w:w="160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4"/>
              </w:rPr>
              <w:t>April 9,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920" w:type="dxa"/>
            <w:vAlign w:val="bottom"/>
            <w:gridSpan w:val="16"/>
          </w:tcPr>
          <w:p>
            <w:pPr>
              <w:spacing w:after="0"/>
              <w:rPr>
                <w:rFonts w:ascii="Arial" w:cs="Arial" w:eastAsia="Arial" w:hAnsi="Arial"/>
                <w:sz w:val="18"/>
                <w:szCs w:val="18"/>
                <w:color w:val="0E32E1"/>
              </w:rPr>
            </w:pPr>
            <w:hyperlink r:id="rId171">
              <w:r>
                <w:rPr>
                  <w:rFonts w:ascii="Arial" w:cs="Arial" w:eastAsia="Arial" w:hAnsi="Arial"/>
                  <w:sz w:val="18"/>
                  <w:szCs w:val="18"/>
                  <w:color w:val="0E32E1"/>
                </w:rPr>
                <w:t>Five Star Bancorp 2021 Equity</w:t>
              </w:r>
            </w:hyperlink>
          </w:p>
        </w:tc>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1040" w:type="dxa"/>
            <w:vAlign w:val="bottom"/>
            <w:tcBorders>
              <w:top w:val="single" w:sz="8" w:color="0E32E1"/>
              <w:bottom w:val="single" w:sz="8" w:color="0E32E1"/>
            </w:tcBorders>
            <w:gridSpan w:val="2"/>
          </w:tcPr>
          <w:p>
            <w:pPr>
              <w:spacing w:after="0" w:line="169" w:lineRule="exact"/>
              <w:rPr>
                <w:rFonts w:ascii="Arial" w:cs="Arial" w:eastAsia="Arial" w:hAnsi="Arial"/>
                <w:sz w:val="18"/>
                <w:szCs w:val="18"/>
                <w:color w:val="0E32E1"/>
                <w:w w:val="90"/>
              </w:rPr>
            </w:pPr>
            <w:hyperlink r:id="rId171">
              <w:r>
                <w:rPr>
                  <w:rFonts w:ascii="Arial" w:cs="Arial" w:eastAsia="Arial" w:hAnsi="Arial"/>
                  <w:sz w:val="18"/>
                  <w:szCs w:val="18"/>
                  <w:color w:val="0E32E1"/>
                  <w:w w:val="90"/>
                </w:rPr>
                <w:t>Incentive Plan</w:t>
              </w:r>
            </w:hyperlink>
          </w:p>
        </w:tc>
        <w:tc>
          <w:tcPr>
            <w:tcW w:w="1200" w:type="dxa"/>
            <w:vAlign w:val="bottom"/>
            <w:tcBorders>
              <w:top w:val="single" w:sz="8" w:color="0E32E1"/>
            </w:tcBorders>
            <w:gridSpan w:val="5"/>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7"/>
          </w:tcPr>
          <w:p>
            <w:pPr>
              <w:spacing w:after="0"/>
              <w:rPr>
                <w:sz w:val="15"/>
                <w:szCs w:val="15"/>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333-255143</w:t>
            </w:r>
          </w:p>
        </w:tc>
        <w:tc>
          <w:tcPr>
            <w:tcW w:w="1400" w:type="dxa"/>
            <w:vAlign w:val="bottom"/>
          </w:tcPr>
          <w:p>
            <w:pPr>
              <w:jc w:val="center"/>
              <w:ind w:left="50"/>
              <w:spacing w:after="0" w:line="169" w:lineRule="exact"/>
              <w:rPr>
                <w:sz w:val="20"/>
                <w:szCs w:val="20"/>
                <w:color w:val="auto"/>
              </w:rPr>
            </w:pPr>
            <w:r>
              <w:rPr>
                <w:rFonts w:ascii="Arial" w:cs="Arial" w:eastAsia="Arial" w:hAnsi="Arial"/>
                <w:sz w:val="18"/>
                <w:szCs w:val="18"/>
                <w:color w:val="auto"/>
                <w:w w:val="85"/>
              </w:rPr>
              <w:t>10.4</w:t>
            </w:r>
          </w:p>
        </w:tc>
        <w:tc>
          <w:tcPr>
            <w:tcW w:w="1600" w:type="dxa"/>
            <w:vAlign w:val="bottom"/>
          </w:tcPr>
          <w:p>
            <w:pPr>
              <w:jc w:val="center"/>
              <w:ind w:left="10"/>
              <w:spacing w:after="0" w:line="169" w:lineRule="exact"/>
              <w:rPr>
                <w:sz w:val="20"/>
                <w:szCs w:val="20"/>
                <w:color w:val="auto"/>
              </w:rPr>
            </w:pPr>
            <w:r>
              <w:rPr>
                <w:rFonts w:ascii="Arial" w:cs="Arial" w:eastAsia="Arial" w:hAnsi="Arial"/>
                <w:sz w:val="18"/>
                <w:szCs w:val="18"/>
                <w:color w:val="auto"/>
                <w:w w:val="95"/>
              </w:rPr>
              <w:t>April 26,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920" w:type="dxa"/>
            <w:vAlign w:val="bottom"/>
            <w:gridSpan w:val="16"/>
          </w:tcPr>
          <w:p>
            <w:pPr>
              <w:spacing w:after="0"/>
              <w:rPr>
                <w:rFonts w:ascii="Arial" w:cs="Arial" w:eastAsia="Arial" w:hAnsi="Arial"/>
                <w:sz w:val="18"/>
                <w:szCs w:val="18"/>
                <w:color w:val="0E32E1"/>
              </w:rPr>
            </w:pPr>
            <w:hyperlink r:id="rId172">
              <w:r>
                <w:rPr>
                  <w:rFonts w:ascii="Arial" w:cs="Arial" w:eastAsia="Arial" w:hAnsi="Arial"/>
                  <w:sz w:val="18"/>
                  <w:szCs w:val="18"/>
                  <w:color w:val="0E32E1"/>
                </w:rPr>
                <w:t>Form of Restricted Stock Vesting</w:t>
              </w:r>
            </w:hyperlink>
          </w:p>
        </w:tc>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400" w:type="dxa"/>
            <w:vAlign w:val="bottom"/>
            <w:tcBorders>
              <w:top w:val="single" w:sz="8" w:color="0E32E1"/>
              <w:bottom w:val="single" w:sz="8" w:color="0E32E1"/>
            </w:tcBorders>
            <w:gridSpan w:val="8"/>
          </w:tcPr>
          <w:p>
            <w:pPr>
              <w:spacing w:after="0" w:line="182" w:lineRule="exact"/>
              <w:rPr>
                <w:rFonts w:ascii="Arial" w:cs="Arial" w:eastAsia="Arial" w:hAnsi="Arial"/>
                <w:sz w:val="18"/>
                <w:szCs w:val="18"/>
                <w:color w:val="0E32E1"/>
                <w:w w:val="90"/>
              </w:rPr>
            </w:pPr>
            <w:hyperlink r:id="rId172">
              <w:r>
                <w:rPr>
                  <w:rFonts w:ascii="Arial" w:cs="Arial" w:eastAsia="Arial" w:hAnsi="Arial"/>
                  <w:sz w:val="18"/>
                  <w:szCs w:val="18"/>
                  <w:color w:val="0E32E1"/>
                  <w:w w:val="90"/>
                </w:rPr>
                <w:t>Agreement pursuant to Historical</w:t>
              </w:r>
            </w:hyperlink>
          </w:p>
        </w:tc>
        <w:tc>
          <w:tcPr>
            <w:tcW w:w="20" w:type="dxa"/>
            <w:vAlign w:val="bottom"/>
            <w:tcBorders>
              <w:bottom w:val="single" w:sz="8" w:color="0E32E1"/>
            </w:tcBorders>
          </w:tcPr>
          <w:p>
            <w:pPr>
              <w:spacing w:after="0"/>
              <w:rPr>
                <w:sz w:val="15"/>
                <w:szCs w:val="15"/>
                <w:color w:val="auto"/>
              </w:rPr>
            </w:pPr>
          </w:p>
        </w:tc>
        <w:tc>
          <w:tcPr>
            <w:tcW w:w="500" w:type="dxa"/>
            <w:vAlign w:val="bottom"/>
            <w:gridSpan w:val="7"/>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147" w:right="339" w:bottom="1440" w:gutter="0" w:footer="0" w:header="0"/>
        </w:sectPr>
      </w:pPr>
    </w:p>
    <w:p>
      <w:pPr>
        <w:ind w:left="1380"/>
        <w:spacing w:after="0"/>
        <w:rPr>
          <w:rFonts w:ascii="Arial" w:cs="Arial" w:eastAsia="Arial" w:hAnsi="Arial"/>
          <w:sz w:val="18"/>
          <w:szCs w:val="18"/>
          <w:u w:val="single" w:color="auto"/>
          <w:color w:val="0E32E1"/>
        </w:rPr>
      </w:pPr>
      <w:hyperlink r:id="rId172">
        <w:r>
          <w:rPr>
            <w:rFonts w:ascii="Arial" w:cs="Arial" w:eastAsia="Arial" w:hAnsi="Arial"/>
            <w:sz w:val="18"/>
            <w:szCs w:val="18"/>
            <w:u w:val="single" w:color="auto"/>
            <w:color w:val="0E32E1"/>
          </w:rPr>
          <w:t>Incentive Plan</w:t>
        </w:r>
      </w:hyperlink>
    </w:p>
    <w:p>
      <w:pPr>
        <w:spacing w:after="0" w:line="7" w:lineRule="exact"/>
        <w:rPr>
          <w:sz w:val="20"/>
          <w:szCs w:val="20"/>
          <w:color w:val="auto"/>
        </w:rPr>
      </w:pPr>
    </w:p>
    <w:p>
      <w:pPr>
        <w:ind w:left="520"/>
        <w:spacing w:after="0"/>
        <w:tabs>
          <w:tab w:leader="none" w:pos="1360" w:val="left"/>
        </w:tabs>
        <w:rPr>
          <w:rFonts w:ascii="Arial" w:cs="Arial" w:eastAsia="Arial" w:hAnsi="Arial"/>
          <w:sz w:val="16"/>
          <w:szCs w:val="16"/>
          <w:u w:val="single" w:color="auto"/>
          <w:color w:val="0E32E1"/>
        </w:rPr>
      </w:pPr>
      <w:r>
        <w:rPr>
          <w:rFonts w:ascii="Arial" w:cs="Arial" w:eastAsia="Arial" w:hAnsi="Arial"/>
          <w:sz w:val="18"/>
          <w:szCs w:val="18"/>
          <w:color w:val="auto"/>
        </w:rPr>
        <w:t>10.4</w:t>
      </w:r>
      <w:r>
        <w:rPr>
          <w:sz w:val="20"/>
          <w:szCs w:val="20"/>
          <w:color w:val="auto"/>
        </w:rPr>
        <w:tab/>
      </w:r>
      <w:hyperlink r:id="rId173">
        <w:r>
          <w:rPr>
            <w:rFonts w:ascii="Arial" w:cs="Arial" w:eastAsia="Arial" w:hAnsi="Arial"/>
            <w:sz w:val="16"/>
            <w:szCs w:val="16"/>
            <w:u w:val="single" w:color="auto"/>
            <w:color w:val="0E32E1"/>
          </w:rPr>
          <w:t>Form of Restricted Stock Vesting</w:t>
        </w:r>
      </w:hyperlink>
    </w:p>
    <w:p>
      <w:pPr>
        <w:spacing w:after="0" w:line="1" w:lineRule="exact"/>
        <w:rPr>
          <w:sz w:val="20"/>
          <w:szCs w:val="20"/>
          <w:color w:val="auto"/>
        </w:rPr>
      </w:pPr>
    </w:p>
    <w:p>
      <w:pPr>
        <w:ind w:left="1380"/>
        <w:spacing w:after="0"/>
        <w:rPr>
          <w:rFonts w:ascii="Arial" w:cs="Arial" w:eastAsia="Arial" w:hAnsi="Arial"/>
          <w:sz w:val="17"/>
          <w:szCs w:val="17"/>
          <w:u w:val="single" w:color="auto"/>
          <w:color w:val="0E32E1"/>
        </w:rPr>
      </w:pPr>
      <w:hyperlink r:id="rId173">
        <w:r>
          <w:rPr>
            <w:rFonts w:ascii="Arial" w:cs="Arial" w:eastAsia="Arial" w:hAnsi="Arial"/>
            <w:sz w:val="17"/>
            <w:szCs w:val="17"/>
            <w:u w:val="single" w:color="auto"/>
            <w:color w:val="0E32E1"/>
          </w:rPr>
          <w:t>Agreement for Executives pursuant to</w:t>
        </w:r>
      </w:hyperlink>
    </w:p>
    <w:p>
      <w:pPr>
        <w:ind w:left="1380"/>
        <w:spacing w:after="0" w:line="203" w:lineRule="auto"/>
        <w:rPr>
          <w:rFonts w:ascii="Arial" w:cs="Arial" w:eastAsia="Arial" w:hAnsi="Arial"/>
          <w:sz w:val="18"/>
          <w:szCs w:val="18"/>
          <w:u w:val="single" w:color="auto"/>
          <w:color w:val="0E32E1"/>
        </w:rPr>
      </w:pPr>
      <w:hyperlink r:id="rId173">
        <w:r>
          <w:rPr>
            <w:rFonts w:ascii="Arial" w:cs="Arial" w:eastAsia="Arial" w:hAnsi="Arial"/>
            <w:sz w:val="18"/>
            <w:szCs w:val="18"/>
            <w:u w:val="single" w:color="auto"/>
            <w:color w:val="0E32E1"/>
          </w:rPr>
          <w:t>the Five Star Bancorp 2021 Equity</w:t>
        </w:r>
      </w:hyperlink>
    </w:p>
    <w:p>
      <w:pPr>
        <w:ind w:left="1380"/>
        <w:spacing w:after="0"/>
        <w:rPr>
          <w:rFonts w:ascii="Arial" w:cs="Arial" w:eastAsia="Arial" w:hAnsi="Arial"/>
          <w:sz w:val="18"/>
          <w:szCs w:val="18"/>
          <w:u w:val="single" w:color="auto"/>
          <w:color w:val="0E32E1"/>
        </w:rPr>
      </w:pPr>
      <w:hyperlink r:id="rId173">
        <w:r>
          <w:rPr>
            <w:rFonts w:ascii="Arial" w:cs="Arial" w:eastAsia="Arial" w:hAnsi="Arial"/>
            <w:sz w:val="18"/>
            <w:szCs w:val="18"/>
            <w:u w:val="single" w:color="auto"/>
            <w:color w:val="0E32E1"/>
          </w:rPr>
          <w:t>Incentive Plan</w:t>
        </w:r>
      </w:hyperlink>
    </w:p>
    <w:p>
      <w:pPr>
        <w:ind w:left="520"/>
        <w:spacing w:after="0"/>
        <w:tabs>
          <w:tab w:leader="none" w:pos="1360" w:val="left"/>
        </w:tabs>
        <w:rPr>
          <w:rFonts w:ascii="Arial" w:cs="Arial" w:eastAsia="Arial" w:hAnsi="Arial"/>
          <w:sz w:val="16"/>
          <w:szCs w:val="16"/>
          <w:u w:val="single" w:color="auto"/>
          <w:color w:val="0E32E1"/>
        </w:rPr>
      </w:pPr>
      <w:r>
        <w:rPr>
          <w:rFonts w:ascii="Arial" w:cs="Arial" w:eastAsia="Arial" w:hAnsi="Arial"/>
          <w:sz w:val="18"/>
          <w:szCs w:val="18"/>
          <w:color w:val="auto"/>
        </w:rPr>
        <w:t>10.5</w:t>
      </w:r>
      <w:r>
        <w:rPr>
          <w:sz w:val="20"/>
          <w:szCs w:val="20"/>
          <w:color w:val="auto"/>
        </w:rPr>
        <w:tab/>
      </w:r>
      <w:hyperlink r:id="rId174">
        <w:r>
          <w:rPr>
            <w:rFonts w:ascii="Arial" w:cs="Arial" w:eastAsia="Arial" w:hAnsi="Arial"/>
            <w:sz w:val="16"/>
            <w:szCs w:val="16"/>
            <w:u w:val="single" w:color="auto"/>
            <w:color w:val="0E32E1"/>
          </w:rPr>
          <w:t>Form of Restricted Stock Vesting</w:t>
        </w:r>
      </w:hyperlink>
    </w:p>
    <w:p>
      <w:pPr>
        <w:jc w:val="right"/>
        <w:spacing w:after="0" w:line="226" w:lineRule="auto"/>
        <w:rPr>
          <w:rFonts w:ascii="Arial" w:cs="Arial" w:eastAsia="Arial" w:hAnsi="Arial"/>
          <w:sz w:val="18"/>
          <w:szCs w:val="18"/>
          <w:u w:val="single" w:color="auto"/>
          <w:color w:val="0E32E1"/>
        </w:rPr>
      </w:pPr>
      <w:hyperlink r:id="rId174">
        <w:r>
          <w:rPr>
            <w:rFonts w:ascii="Arial" w:cs="Arial" w:eastAsia="Arial" w:hAnsi="Arial"/>
            <w:sz w:val="18"/>
            <w:szCs w:val="18"/>
            <w:u w:val="single" w:color="auto"/>
            <w:color w:val="0E32E1"/>
          </w:rPr>
          <w:t>Agreement for Directors pursuant to the</w:t>
        </w:r>
      </w:hyperlink>
    </w:p>
    <w:p>
      <w:pPr>
        <w:ind w:left="1380"/>
        <w:spacing w:after="0" w:line="204" w:lineRule="auto"/>
        <w:rPr>
          <w:rFonts w:ascii="Arial" w:cs="Arial" w:eastAsia="Arial" w:hAnsi="Arial"/>
          <w:sz w:val="18"/>
          <w:szCs w:val="18"/>
          <w:u w:val="single" w:color="auto"/>
          <w:color w:val="0E32E1"/>
        </w:rPr>
      </w:pPr>
      <w:hyperlink r:id="rId174">
        <w:r>
          <w:rPr>
            <w:rFonts w:ascii="Arial" w:cs="Arial" w:eastAsia="Arial" w:hAnsi="Arial"/>
            <w:sz w:val="18"/>
            <w:szCs w:val="18"/>
            <w:u w:val="single" w:color="auto"/>
            <w:color w:val="0E32E1"/>
          </w:rPr>
          <w:t>Five Star Bancorp 2021 Equity</w:t>
        </w:r>
      </w:hyperlink>
    </w:p>
    <w:p>
      <w:pPr>
        <w:ind w:left="1380"/>
        <w:spacing w:after="0"/>
        <w:rPr>
          <w:rFonts w:ascii="Arial" w:cs="Arial" w:eastAsia="Arial" w:hAnsi="Arial"/>
          <w:sz w:val="18"/>
          <w:szCs w:val="18"/>
          <w:u w:val="single" w:color="auto"/>
          <w:color w:val="0E32E1"/>
        </w:rPr>
      </w:pPr>
      <w:hyperlink r:id="rId174">
        <w:r>
          <w:rPr>
            <w:rFonts w:ascii="Arial" w:cs="Arial" w:eastAsia="Arial" w:hAnsi="Arial"/>
            <w:sz w:val="18"/>
            <w:szCs w:val="18"/>
            <w:u w:val="single" w:color="auto"/>
            <w:color w:val="0E32E1"/>
          </w:rPr>
          <w:t>Incentive Plan</w:t>
        </w:r>
      </w:hyperlink>
    </w:p>
    <w:p>
      <w:pPr>
        <w:ind w:left="520"/>
        <w:spacing w:after="0"/>
        <w:tabs>
          <w:tab w:leader="none" w:pos="1360" w:val="left"/>
        </w:tabs>
        <w:rPr>
          <w:rFonts w:ascii="Arial" w:cs="Arial" w:eastAsia="Arial" w:hAnsi="Arial"/>
          <w:sz w:val="16"/>
          <w:szCs w:val="16"/>
          <w:u w:val="single" w:color="auto"/>
          <w:color w:val="0E32E1"/>
        </w:rPr>
      </w:pPr>
      <w:r>
        <w:rPr>
          <w:rFonts w:ascii="Arial" w:cs="Arial" w:eastAsia="Arial" w:hAnsi="Arial"/>
          <w:sz w:val="18"/>
          <w:szCs w:val="18"/>
          <w:color w:val="auto"/>
        </w:rPr>
        <w:t>10.6</w:t>
      </w:r>
      <w:r>
        <w:rPr>
          <w:sz w:val="20"/>
          <w:szCs w:val="20"/>
          <w:color w:val="auto"/>
        </w:rPr>
        <w:tab/>
      </w:r>
      <w:hyperlink r:id="rId168">
        <w:r>
          <w:rPr>
            <w:rFonts w:ascii="Arial" w:cs="Arial" w:eastAsia="Arial" w:hAnsi="Arial"/>
            <w:sz w:val="16"/>
            <w:szCs w:val="16"/>
            <w:u w:val="single" w:color="auto"/>
            <w:color w:val="0E32E1"/>
          </w:rPr>
          <w:t>Form of Subordinated Note Purchase</w:t>
        </w:r>
      </w:hyperlink>
    </w:p>
    <w:p>
      <w:pPr>
        <w:spacing w:after="0" w:line="7" w:lineRule="exact"/>
        <w:rPr>
          <w:sz w:val="20"/>
          <w:szCs w:val="20"/>
          <w:color w:val="auto"/>
        </w:rPr>
      </w:pPr>
    </w:p>
    <w:p>
      <w:pPr>
        <w:ind w:left="1380" w:right="100"/>
        <w:spacing w:after="0" w:line="263" w:lineRule="auto"/>
        <w:rPr>
          <w:rFonts w:ascii="Arial" w:cs="Arial" w:eastAsia="Arial" w:hAnsi="Arial"/>
          <w:sz w:val="16"/>
          <w:szCs w:val="16"/>
          <w:u w:val="single" w:color="auto"/>
          <w:color w:val="0E32E1"/>
        </w:rPr>
      </w:pPr>
      <w:hyperlink r:id="rId168">
        <w:r>
          <w:rPr>
            <w:rFonts w:ascii="Arial" w:cs="Arial" w:eastAsia="Arial" w:hAnsi="Arial"/>
            <w:sz w:val="16"/>
            <w:szCs w:val="16"/>
            <w:u w:val="single" w:color="auto"/>
            <w:color w:val="0E32E1"/>
          </w:rPr>
          <w:t>Agreement for 6.0% Fixed-to-Floating</w:t>
        </w:r>
      </w:hyperlink>
      <w:r>
        <w:rPr>
          <w:rFonts w:ascii="Arial" w:cs="Arial" w:eastAsia="Arial" w:hAnsi="Arial"/>
          <w:sz w:val="16"/>
          <w:szCs w:val="16"/>
          <w:u w:val="single" w:color="auto"/>
          <w:color w:val="0E32E1"/>
        </w:rPr>
        <w:t xml:space="preserve"> </w:t>
      </w:r>
      <w:hyperlink r:id="rId168">
        <w:r>
          <w:rPr>
            <w:rFonts w:ascii="Arial" w:cs="Arial" w:eastAsia="Arial" w:hAnsi="Arial"/>
            <w:sz w:val="16"/>
            <w:szCs w:val="16"/>
            <w:u w:val="single" w:color="auto"/>
            <w:color w:val="0E32E1"/>
          </w:rPr>
          <w:t>Rate Subordinated Notes Due 2032</w:t>
        </w:r>
      </w:hyperlink>
    </w:p>
    <w:p>
      <w:pPr>
        <w:ind w:left="480"/>
        <w:spacing w:after="0"/>
        <w:tabs>
          <w:tab w:leader="none" w:pos="1360" w:val="left"/>
        </w:tabs>
        <w:rPr>
          <w:rFonts w:ascii="Arial" w:cs="Arial" w:eastAsia="Arial" w:hAnsi="Arial"/>
          <w:sz w:val="16"/>
          <w:szCs w:val="16"/>
          <w:u w:val="single" w:color="auto"/>
          <w:color w:val="0E32E1"/>
        </w:rPr>
      </w:pPr>
      <w:r>
        <w:rPr>
          <w:rFonts w:ascii="Arial" w:cs="Arial" w:eastAsia="Arial" w:hAnsi="Arial"/>
          <w:sz w:val="18"/>
          <w:szCs w:val="18"/>
          <w:color w:val="auto"/>
        </w:rPr>
        <w:t>10.7*</w:t>
      </w:r>
      <w:r>
        <w:rPr>
          <w:sz w:val="20"/>
          <w:szCs w:val="20"/>
          <w:color w:val="auto"/>
        </w:rPr>
        <w:tab/>
      </w:r>
      <w:hyperlink r:id="rId175">
        <w:r>
          <w:rPr>
            <w:rFonts w:ascii="Arial" w:cs="Arial" w:eastAsia="Arial" w:hAnsi="Arial"/>
            <w:sz w:val="16"/>
            <w:szCs w:val="16"/>
            <w:u w:val="single" w:color="auto"/>
            <w:color w:val="0E32E1"/>
          </w:rPr>
          <w:t>Executive Employment Agreement,</w:t>
        </w:r>
      </w:hyperlink>
    </w:p>
    <w:p>
      <w:pPr>
        <w:spacing w:after="0" w:line="7" w:lineRule="exact"/>
        <w:rPr>
          <w:sz w:val="20"/>
          <w:szCs w:val="20"/>
          <w:color w:val="auto"/>
        </w:rPr>
      </w:pPr>
    </w:p>
    <w:p>
      <w:pPr>
        <w:ind w:left="1380" w:right="20"/>
        <w:spacing w:after="0" w:line="247" w:lineRule="auto"/>
        <w:rPr>
          <w:rFonts w:ascii="Arial" w:cs="Arial" w:eastAsia="Arial" w:hAnsi="Arial"/>
          <w:sz w:val="17"/>
          <w:szCs w:val="17"/>
          <w:u w:val="single" w:color="auto"/>
          <w:color w:val="0E32E1"/>
        </w:rPr>
      </w:pPr>
      <w:hyperlink r:id="rId175">
        <w:r>
          <w:rPr>
            <w:rFonts w:ascii="Arial" w:cs="Arial" w:eastAsia="Arial" w:hAnsi="Arial"/>
            <w:sz w:val="17"/>
            <w:szCs w:val="17"/>
            <w:u w:val="single" w:color="auto"/>
            <w:color w:val="0E32E1"/>
          </w:rPr>
          <w:t>effective January 3, 2022, between Five</w:t>
        </w:r>
      </w:hyperlink>
      <w:r>
        <w:rPr>
          <w:rFonts w:ascii="Arial" w:cs="Arial" w:eastAsia="Arial" w:hAnsi="Arial"/>
          <w:sz w:val="17"/>
          <w:szCs w:val="17"/>
          <w:u w:val="single" w:color="auto"/>
          <w:color w:val="0E32E1"/>
        </w:rPr>
        <w:t xml:space="preserve"> </w:t>
      </w:r>
      <w:hyperlink r:id="rId175">
        <w:r>
          <w:rPr>
            <w:rFonts w:ascii="Arial" w:cs="Arial" w:eastAsia="Arial" w:hAnsi="Arial"/>
            <w:sz w:val="17"/>
            <w:szCs w:val="17"/>
            <w:u w:val="single" w:color="auto"/>
            <w:color w:val="0E32E1"/>
          </w:rPr>
          <w:t>Star Bank and James Beckwith</w:t>
        </w:r>
      </w:hyperlink>
    </w:p>
    <w:p>
      <w:pPr>
        <w:ind w:left="480"/>
        <w:spacing w:after="0"/>
        <w:tabs>
          <w:tab w:leader="none" w:pos="1360" w:val="left"/>
        </w:tabs>
        <w:rPr>
          <w:rFonts w:ascii="Arial" w:cs="Arial" w:eastAsia="Arial" w:hAnsi="Arial"/>
          <w:sz w:val="16"/>
          <w:szCs w:val="16"/>
          <w:u w:val="single" w:color="auto"/>
          <w:color w:val="0E32E1"/>
        </w:rPr>
      </w:pPr>
      <w:r>
        <w:rPr>
          <w:rFonts w:ascii="Arial" w:cs="Arial" w:eastAsia="Arial" w:hAnsi="Arial"/>
          <w:sz w:val="18"/>
          <w:szCs w:val="18"/>
          <w:color w:val="auto"/>
        </w:rPr>
        <w:t>10.8*</w:t>
      </w:r>
      <w:r>
        <w:rPr>
          <w:sz w:val="20"/>
          <w:szCs w:val="20"/>
          <w:color w:val="auto"/>
        </w:rPr>
        <w:tab/>
      </w:r>
      <w:hyperlink r:id="rId175">
        <w:r>
          <w:rPr>
            <w:rFonts w:ascii="Arial" w:cs="Arial" w:eastAsia="Arial" w:hAnsi="Arial"/>
            <w:sz w:val="16"/>
            <w:szCs w:val="16"/>
            <w:u w:val="single" w:color="auto"/>
            <w:color w:val="0E32E1"/>
          </w:rPr>
          <w:t>Five Star Bank Salary Continuation</w:t>
        </w:r>
      </w:hyperlink>
    </w:p>
    <w:p>
      <w:pPr>
        <w:spacing w:after="0" w:line="7" w:lineRule="exact"/>
        <w:rPr>
          <w:sz w:val="20"/>
          <w:szCs w:val="20"/>
          <w:color w:val="auto"/>
        </w:rPr>
      </w:pPr>
    </w:p>
    <w:p>
      <w:pPr>
        <w:ind w:left="1380"/>
        <w:spacing w:after="0"/>
        <w:rPr>
          <w:rFonts w:ascii="Arial" w:cs="Arial" w:eastAsia="Arial" w:hAnsi="Arial"/>
          <w:sz w:val="16"/>
          <w:szCs w:val="16"/>
          <w:u w:val="single" w:color="auto"/>
          <w:color w:val="0E32E1"/>
        </w:rPr>
      </w:pPr>
      <w:hyperlink r:id="rId175">
        <w:r>
          <w:rPr>
            <w:rFonts w:ascii="Arial" w:cs="Arial" w:eastAsia="Arial" w:hAnsi="Arial"/>
            <w:sz w:val="16"/>
            <w:szCs w:val="16"/>
            <w:u w:val="single" w:color="auto"/>
            <w:color w:val="0E32E1"/>
          </w:rPr>
          <w:t>Agreement, dated September 1, 2007,</w:t>
        </w:r>
      </w:hyperlink>
    </w:p>
    <w:p>
      <w:pPr>
        <w:ind w:left="1380"/>
        <w:spacing w:after="0" w:line="221" w:lineRule="auto"/>
        <w:rPr>
          <w:rFonts w:ascii="Arial" w:cs="Arial" w:eastAsia="Arial" w:hAnsi="Arial"/>
          <w:sz w:val="17"/>
          <w:szCs w:val="17"/>
          <w:u w:val="single" w:color="auto"/>
          <w:color w:val="0E32E1"/>
        </w:rPr>
      </w:pPr>
      <w:hyperlink r:id="rId175">
        <w:r>
          <w:rPr>
            <w:rFonts w:ascii="Arial" w:cs="Arial" w:eastAsia="Arial" w:hAnsi="Arial"/>
            <w:sz w:val="17"/>
            <w:szCs w:val="17"/>
            <w:u w:val="single" w:color="auto"/>
            <w:color w:val="0E32E1"/>
          </w:rPr>
          <w:t>as amended, between Five Star Bank</w:t>
        </w:r>
      </w:hyperlink>
    </w:p>
    <w:p>
      <w:pPr>
        <w:spacing w:after="0" w:line="1" w:lineRule="exact"/>
        <w:rPr>
          <w:sz w:val="20"/>
          <w:szCs w:val="20"/>
          <w:color w:val="auto"/>
        </w:rPr>
      </w:pPr>
    </w:p>
    <w:p>
      <w:pPr>
        <w:ind w:left="1380"/>
        <w:spacing w:after="0"/>
        <w:rPr>
          <w:rFonts w:ascii="Arial" w:cs="Arial" w:eastAsia="Arial" w:hAnsi="Arial"/>
          <w:sz w:val="18"/>
          <w:szCs w:val="18"/>
          <w:u w:val="single" w:color="auto"/>
          <w:color w:val="0E32E1"/>
        </w:rPr>
      </w:pPr>
      <w:hyperlink r:id="rId175">
        <w:r>
          <w:rPr>
            <w:rFonts w:ascii="Arial" w:cs="Arial" w:eastAsia="Arial" w:hAnsi="Arial"/>
            <w:sz w:val="18"/>
            <w:szCs w:val="18"/>
            <w:u w:val="single" w:color="auto"/>
            <w:color w:val="0E32E1"/>
          </w:rPr>
          <w:t>and James Beckwith</w:t>
        </w:r>
      </w:hyperlink>
    </w:p>
    <w:p>
      <w:pPr>
        <w:spacing w:after="0" w:line="7"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FF"/>
        </w:rPr>
        <w:t>Subsidiaries of the Registrant</w:t>
      </w:r>
    </w:p>
    <w:p>
      <w:pPr>
        <w:spacing w:after="0" w:line="49"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Moss Adams LLP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85"/>
              </w:rPr>
              <w:t>S-1</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89"/>
              </w:rPr>
              <w:t>333-255143</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4"/>
              </w:rPr>
              <w:t>April 9, 2021</w:t>
            </w:r>
          </w:p>
        </w:tc>
      </w:tr>
      <w:tr>
        <w:trPr>
          <w:trHeight w:val="769"/>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94"/>
              </w:rPr>
              <w:t>10-K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0"/>
              </w:rPr>
              <w:t>001-40379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89"/>
              </w:rPr>
              <w:t>February 25, 2022</w:t>
            </w:r>
          </w:p>
        </w:tc>
      </w:tr>
      <w:tr>
        <w:trPr>
          <w:trHeight w:val="770"/>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94"/>
              </w:rPr>
              <w:t>10-K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0"/>
              </w:rPr>
              <w:t>001-40379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89"/>
              </w:rPr>
              <w:t>February 25, 2022</w:t>
            </w:r>
          </w:p>
        </w:tc>
      </w:tr>
      <w:tr>
        <w:trPr>
          <w:trHeight w:val="594"/>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0"/>
              </w:rPr>
              <w:t>001-40379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1"/>
              </w:rPr>
              <w:t>August 17, 2022</w:t>
            </w:r>
          </w:p>
        </w:tc>
      </w:tr>
      <w:tr>
        <w:trPr>
          <w:trHeight w:val="594"/>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89"/>
              </w:rPr>
              <w:t>10-Q</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0"/>
              </w:rPr>
              <w:t>001-40379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1"/>
              </w:rPr>
              <w:t>May 12, 2022</w:t>
            </w:r>
          </w:p>
        </w:tc>
      </w:tr>
      <w:tr>
        <w:trPr>
          <w:trHeight w:val="539"/>
        </w:trPr>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Exhibit A of</w:t>
            </w:r>
          </w:p>
        </w:tc>
        <w:tc>
          <w:tcPr>
            <w:tcW w:w="1520" w:type="dxa"/>
            <w:vAlign w:val="bottom"/>
          </w:tcPr>
          <w:p>
            <w:pPr>
              <w:spacing w:after="0"/>
              <w:rPr>
                <w:sz w:val="24"/>
                <w:szCs w:val="24"/>
                <w:color w:val="auto"/>
              </w:rPr>
            </w:pPr>
          </w:p>
        </w:tc>
      </w:tr>
      <w:tr>
        <w:trPr>
          <w:trHeight w:val="230"/>
        </w:trPr>
        <w:tc>
          <w:tcPr>
            <w:tcW w:w="740" w:type="dxa"/>
            <w:vAlign w:val="bottom"/>
          </w:tcPr>
          <w:p>
            <w:pPr>
              <w:jc w:val="center"/>
              <w:ind w:right="290"/>
              <w:spacing w:after="0"/>
              <w:rPr>
                <w:sz w:val="20"/>
                <w:szCs w:val="20"/>
                <w:color w:val="auto"/>
              </w:rPr>
            </w:pPr>
            <w:r>
              <w:rPr>
                <w:rFonts w:ascii="Arial" w:cs="Arial" w:eastAsia="Arial" w:hAnsi="Arial"/>
                <w:sz w:val="18"/>
                <w:szCs w:val="18"/>
                <w:color w:val="auto"/>
                <w:w w:val="89"/>
              </w:rPr>
              <w:t>10-Q</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0"/>
              </w:rPr>
              <w:t>001-40379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1"/>
              </w:rPr>
              <w:t>May 12,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09" w:lineRule="exact"/>
        <w:rPr>
          <w:sz w:val="20"/>
          <w:szCs w:val="20"/>
          <w:color w:val="auto"/>
        </w:rPr>
      </w:pPr>
    </w:p>
    <w:p>
      <w:pPr>
        <w:sectPr>
          <w:pgSz w:w="11900" w:h="16838" w:orient="portrait"/>
          <w:cols w:equalWidth="0" w:num="3">
            <w:col w:w="4260" w:space="480"/>
            <w:col w:w="5180" w:space="520"/>
            <w:col w:w="800"/>
          </w:cols>
          <w:pgMar w:left="320" w:top="1147"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25" w:name="page126"/>
    <w:bookmarkEnd w:id="125"/>
    <w:p>
      <w:pPr>
        <w:ind w:left="52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Chief Executive Officer</w:t>
      </w:r>
    </w:p>
    <w:p>
      <w:pPr>
        <w:ind w:left="1380"/>
        <w:spacing w:after="0" w:line="232" w:lineRule="auto"/>
        <w:rPr>
          <w:sz w:val="20"/>
          <w:szCs w:val="20"/>
          <w:color w:val="auto"/>
        </w:rPr>
      </w:pPr>
      <w:r>
        <w:rPr>
          <w:rFonts w:ascii="Arial" w:cs="Arial" w:eastAsia="Arial" w:hAnsi="Arial"/>
          <w:sz w:val="17"/>
          <w:szCs w:val="17"/>
          <w:u w:val="single" w:color="auto"/>
          <w:color w:val="0000FF"/>
        </w:rPr>
        <w:t>pursuant to Rule 13a-14(a)/15d-14(a),</w:t>
      </w:r>
    </w:p>
    <w:p>
      <w:pPr>
        <w:ind w:left="1380"/>
        <w:spacing w:after="0" w:line="215" w:lineRule="auto"/>
        <w:rPr>
          <w:sz w:val="20"/>
          <w:szCs w:val="20"/>
          <w:color w:val="auto"/>
        </w:rPr>
      </w:pPr>
      <w:r>
        <w:rPr>
          <w:rFonts w:ascii="Arial" w:cs="Arial" w:eastAsia="Arial" w:hAnsi="Arial"/>
          <w:sz w:val="17"/>
          <w:szCs w:val="17"/>
          <w:u w:val="single" w:color="auto"/>
          <w:color w:val="0000FF"/>
        </w:rPr>
        <w:t>as adopted pursuant to Section 302 of</w:t>
      </w:r>
    </w:p>
    <w:p>
      <w:pPr>
        <w:ind w:left="1380"/>
        <w:spacing w:after="0"/>
        <w:rPr>
          <w:sz w:val="20"/>
          <w:szCs w:val="20"/>
          <w:color w:val="auto"/>
        </w:rPr>
      </w:pPr>
      <w:r>
        <w:rPr>
          <w:rFonts w:ascii="Arial" w:cs="Arial" w:eastAsia="Arial" w:hAnsi="Arial"/>
          <w:sz w:val="18"/>
          <w:szCs w:val="18"/>
          <w:u w:val="single" w:color="auto"/>
          <w:color w:val="0000FF"/>
        </w:rPr>
        <w:t>the Sarbanes-Oxley Act of 2002</w:t>
      </w:r>
    </w:p>
    <w:p>
      <w:pPr>
        <w:ind w:left="52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Chief Financial Officer</w:t>
      </w:r>
    </w:p>
    <w:p>
      <w:pPr>
        <w:ind w:left="1380"/>
        <w:spacing w:after="0" w:line="232" w:lineRule="auto"/>
        <w:rPr>
          <w:sz w:val="20"/>
          <w:szCs w:val="20"/>
          <w:color w:val="auto"/>
        </w:rPr>
      </w:pPr>
      <w:r>
        <w:rPr>
          <w:rFonts w:ascii="Arial" w:cs="Arial" w:eastAsia="Arial" w:hAnsi="Arial"/>
          <w:sz w:val="17"/>
          <w:szCs w:val="17"/>
          <w:u w:val="single" w:color="auto"/>
          <w:color w:val="0000FF"/>
        </w:rPr>
        <w:t>pursuant to Rule 13a-14(a)/15d-14(a),</w:t>
      </w:r>
    </w:p>
    <w:p>
      <w:pPr>
        <w:ind w:left="1380"/>
        <w:spacing w:after="0" w:line="215" w:lineRule="auto"/>
        <w:rPr>
          <w:sz w:val="20"/>
          <w:szCs w:val="20"/>
          <w:color w:val="auto"/>
        </w:rPr>
      </w:pPr>
      <w:r>
        <w:rPr>
          <w:rFonts w:ascii="Arial" w:cs="Arial" w:eastAsia="Arial" w:hAnsi="Arial"/>
          <w:sz w:val="17"/>
          <w:szCs w:val="17"/>
          <w:u w:val="single" w:color="auto"/>
          <w:color w:val="0000FF"/>
        </w:rPr>
        <w:t>as adopted pursuant to Section 302 of</w:t>
      </w:r>
    </w:p>
    <w:p>
      <w:pPr>
        <w:ind w:left="1380"/>
        <w:spacing w:after="0"/>
        <w:rPr>
          <w:sz w:val="20"/>
          <w:szCs w:val="20"/>
          <w:color w:val="auto"/>
        </w:rPr>
      </w:pPr>
      <w:r>
        <w:rPr>
          <w:rFonts w:ascii="Arial" w:cs="Arial" w:eastAsia="Arial" w:hAnsi="Arial"/>
          <w:sz w:val="18"/>
          <w:szCs w:val="18"/>
          <w:u w:val="single" w:color="auto"/>
          <w:color w:val="0000FF"/>
        </w:rPr>
        <w:t>the Sarbanes-Oxley Act of 2002</w:t>
      </w:r>
    </w:p>
    <w:p>
      <w:pPr>
        <w:ind w:left="520"/>
        <w:spacing w:after="0"/>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Chief Executive Officer</w:t>
      </w:r>
    </w:p>
    <w:p>
      <w:pPr>
        <w:ind w:left="1380"/>
        <w:spacing w:after="0"/>
        <w:rPr>
          <w:sz w:val="20"/>
          <w:szCs w:val="20"/>
          <w:color w:val="auto"/>
        </w:rPr>
      </w:pPr>
      <w:r>
        <w:rPr>
          <w:rFonts w:ascii="Arial" w:cs="Arial" w:eastAsia="Arial" w:hAnsi="Arial"/>
          <w:sz w:val="16"/>
          <w:szCs w:val="16"/>
          <w:u w:val="single" w:color="auto"/>
          <w:color w:val="0000FF"/>
        </w:rPr>
        <w:t>pursuant to 18 U.S.C. Section 1350, as</w:t>
      </w:r>
    </w:p>
    <w:p>
      <w:pPr>
        <w:ind w:left="1380"/>
        <w:spacing w:after="0" w:line="235" w:lineRule="auto"/>
        <w:rPr>
          <w:sz w:val="20"/>
          <w:szCs w:val="20"/>
          <w:color w:val="auto"/>
        </w:rPr>
      </w:pPr>
      <w:r>
        <w:rPr>
          <w:rFonts w:ascii="Arial" w:cs="Arial" w:eastAsia="Arial" w:hAnsi="Arial"/>
          <w:sz w:val="16"/>
          <w:szCs w:val="16"/>
          <w:u w:val="single" w:color="auto"/>
          <w:color w:val="0000FF"/>
        </w:rPr>
        <w:t>adopted pursuant to Section 906 of the</w:t>
      </w:r>
    </w:p>
    <w:p>
      <w:pPr>
        <w:ind w:left="1380"/>
        <w:spacing w:after="0"/>
        <w:rPr>
          <w:sz w:val="20"/>
          <w:szCs w:val="20"/>
          <w:color w:val="auto"/>
        </w:rPr>
      </w:pPr>
      <w:r>
        <w:rPr>
          <w:rFonts w:ascii="Arial" w:cs="Arial" w:eastAsia="Arial" w:hAnsi="Arial"/>
          <w:sz w:val="18"/>
          <w:szCs w:val="18"/>
          <w:u w:val="single" w:color="auto"/>
          <w:color w:val="0000FF"/>
        </w:rPr>
        <w:t>Sarbanes-Oxley Act of 2002</w:t>
      </w:r>
    </w:p>
    <w:p>
      <w:pPr>
        <w:jc w:val="right"/>
        <w:ind w:right="5520"/>
        <w:spacing w:after="0"/>
        <w:tabs>
          <w:tab w:leader="none" w:pos="83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Chief Financial Officer</w:t>
      </w:r>
    </w:p>
    <w:p>
      <w:pPr>
        <w:jc w:val="right"/>
        <w:ind w:right="5560"/>
        <w:spacing w:after="0" w:line="219" w:lineRule="auto"/>
        <w:rPr>
          <w:sz w:val="20"/>
          <w:szCs w:val="20"/>
          <w:color w:val="auto"/>
        </w:rPr>
      </w:pPr>
      <w:r>
        <w:rPr>
          <w:rFonts w:ascii="Arial" w:cs="Arial" w:eastAsia="Arial" w:hAnsi="Arial"/>
          <w:sz w:val="18"/>
          <w:szCs w:val="18"/>
          <w:u w:val="single" w:color="auto"/>
          <w:color w:val="0000FF"/>
        </w:rPr>
        <w:t>pursuant to 18 U.S.C. Section 1350, as</w:t>
      </w:r>
    </w:p>
    <w:p>
      <w:pPr>
        <w:ind w:left="1380"/>
        <w:spacing w:after="0" w:line="203" w:lineRule="auto"/>
        <w:rPr>
          <w:sz w:val="20"/>
          <w:szCs w:val="20"/>
          <w:color w:val="auto"/>
        </w:rPr>
      </w:pPr>
      <w:r>
        <w:rPr>
          <w:rFonts w:ascii="Arial" w:cs="Arial" w:eastAsia="Arial" w:hAnsi="Arial"/>
          <w:sz w:val="18"/>
          <w:szCs w:val="18"/>
          <w:u w:val="single" w:color="auto"/>
          <w:color w:val="0000FF"/>
        </w:rPr>
        <w:t>adopted by Section 906 of the</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0000FF"/>
        </w:rPr>
        <w:t>Sarbanes-Oxley Act of 2002</w:t>
      </w:r>
    </w:p>
    <w:p>
      <w:pPr>
        <w:spacing w:after="0" w:line="2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Inline XBRL Interactive Data</w:t>
      </w:r>
    </w:p>
    <w:p>
      <w:pPr>
        <w:spacing w:after="0" w:line="50" w:lineRule="exact"/>
        <w:rPr>
          <w:sz w:val="20"/>
          <w:szCs w:val="20"/>
          <w:color w:val="auto"/>
        </w:rPr>
      </w:pPr>
    </w:p>
    <w:p>
      <w:pPr>
        <w:ind w:left="1380" w:right="5780" w:hanging="832"/>
        <w:spacing w:after="0" w:line="248" w:lineRule="auto"/>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Filed</w:t>
      </w:r>
    </w:p>
    <w:p>
      <w:pPr>
        <w:spacing w:after="0" w:line="239" w:lineRule="exact"/>
        <w:rPr>
          <w:sz w:val="20"/>
          <w:szCs w:val="20"/>
          <w:color w:val="auto"/>
        </w:rPr>
      </w:pPr>
    </w:p>
    <w:p>
      <w:pPr>
        <w:sectPr>
          <w:pgSz w:w="11900" w:h="16838" w:orient="portrait"/>
          <w:cols w:equalWidth="0" w:num="2">
            <w:col w:w="9720" w:space="720"/>
            <w:col w:w="800"/>
          </w:cols>
          <w:pgMar w:left="320" w:top="1163" w:right="339" w:bottom="1440" w:gutter="0" w:footer="0" w:header="0"/>
        </w:sectPr>
      </w:pPr>
    </w:p>
    <w:p>
      <w:pPr>
        <w:spacing w:after="0" w:line="117" w:lineRule="exact"/>
        <w:rPr>
          <w:sz w:val="20"/>
          <w:szCs w:val="20"/>
          <w:color w:val="auto"/>
        </w:rPr>
      </w:pPr>
    </w:p>
    <w:p>
      <w:pPr>
        <w:ind w:left="500" w:hanging="492"/>
        <w:spacing w:after="0" w:line="258"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FIVE STAR BANCORP</w:t>
      </w:r>
    </w:p>
    <w:p>
      <w:pPr>
        <w:spacing w:after="0" w:line="32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February 24, 2023</w:t>
      </w:r>
      <w:r>
        <w:rPr>
          <w:sz w:val="20"/>
          <w:szCs w:val="20"/>
          <w:color w:val="auto"/>
        </w:rPr>
        <w:tab/>
      </w:r>
      <w:r>
        <w:rPr>
          <w:rFonts w:ascii="Arial" w:cs="Arial" w:eastAsia="Arial" w:hAnsi="Arial"/>
          <w:sz w:val="16"/>
          <w:szCs w:val="16"/>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E. Beckwith</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51"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Name</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E. Beckwith</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Heather C. Luck</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David J. Lucchetti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Lucchetti</w:t>
      </w:r>
    </w:p>
    <w:p>
      <w:pPr>
        <w:spacing w:after="0" w:line="320" w:lineRule="exact"/>
        <w:rPr>
          <w:sz w:val="20"/>
          <w:szCs w:val="20"/>
          <w:color w:val="auto"/>
        </w:rPr>
      </w:pPr>
    </w:p>
    <w:p>
      <w:pPr>
        <w:ind w:left="20" w:right="780"/>
        <w:spacing w:after="0" w:line="395" w:lineRule="auto"/>
        <w:rPr>
          <w:sz w:val="20"/>
          <w:szCs w:val="20"/>
          <w:color w:val="auto"/>
        </w:rPr>
      </w:pPr>
      <w:r>
        <w:rPr>
          <w:rFonts w:ascii="Arial" w:cs="Arial" w:eastAsia="Arial" w:hAnsi="Arial"/>
          <w:sz w:val="16"/>
          <w:szCs w:val="16"/>
          <w:i w:val="1"/>
          <w:iCs w:val="1"/>
          <w:color w:val="auto"/>
        </w:rPr>
        <w:t xml:space="preserve">/s/ Robert T. Perry-Smith </w:t>
      </w:r>
      <w:r>
        <w:rPr>
          <w:rFonts w:ascii="Arial" w:cs="Arial" w:eastAsia="Arial" w:hAnsi="Arial"/>
          <w:sz w:val="16"/>
          <w:szCs w:val="16"/>
          <w:color w:val="auto"/>
        </w:rPr>
        <w:t>Robert T. Perry-Smith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20485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Larry E. Allbaugh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Larry E. Allbaugh</w:t>
      </w:r>
    </w:p>
    <w:p>
      <w:pPr>
        <w:spacing w:after="0" w:line="320" w:lineRule="exact"/>
        <w:rPr>
          <w:sz w:val="20"/>
          <w:szCs w:val="20"/>
          <w:color w:val="auto"/>
        </w:rPr>
      </w:pPr>
    </w:p>
    <w:p>
      <w:pPr>
        <w:ind w:left="20" w:right="900"/>
        <w:spacing w:after="0" w:line="395" w:lineRule="auto"/>
        <w:rPr>
          <w:sz w:val="20"/>
          <w:szCs w:val="20"/>
          <w:color w:val="auto"/>
        </w:rPr>
      </w:pPr>
      <w:r>
        <w:rPr>
          <w:rFonts w:ascii="Arial" w:cs="Arial" w:eastAsia="Arial" w:hAnsi="Arial"/>
          <w:sz w:val="16"/>
          <w:szCs w:val="16"/>
          <w:i w:val="1"/>
          <w:iCs w:val="1"/>
          <w:color w:val="auto"/>
        </w:rPr>
        <w:t xml:space="preserve">/s/ Shannon Deary-Bell </w:t>
      </w:r>
      <w:r>
        <w:rPr>
          <w:rFonts w:ascii="Arial" w:cs="Arial" w:eastAsia="Arial" w:hAnsi="Arial"/>
          <w:sz w:val="16"/>
          <w:szCs w:val="16"/>
          <w:color w:val="auto"/>
        </w:rPr>
        <w:t>Shannon Deary-Bell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20485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57" w:lineRule="exact"/>
        <w:rPr>
          <w:sz w:val="20"/>
          <w:szCs w:val="20"/>
          <w:color w:val="auto"/>
        </w:rPr>
      </w:pPr>
    </w:p>
    <w:p>
      <w:pPr>
        <w:ind w:left="20" w:right="860"/>
        <w:spacing w:after="0" w:line="395" w:lineRule="auto"/>
        <w:rPr>
          <w:sz w:val="20"/>
          <w:szCs w:val="20"/>
          <w:color w:val="auto"/>
        </w:rPr>
      </w:pPr>
      <w:r>
        <w:rPr>
          <w:rFonts w:ascii="Arial" w:cs="Arial" w:eastAsia="Arial" w:hAnsi="Arial"/>
          <w:sz w:val="16"/>
          <w:szCs w:val="16"/>
          <w:i w:val="1"/>
          <w:iCs w:val="1"/>
          <w:color w:val="auto"/>
        </w:rPr>
        <w:t xml:space="preserve">/s/ Warren P. Kashiwagi </w:t>
      </w:r>
      <w:r>
        <w:rPr>
          <w:rFonts w:ascii="Arial" w:cs="Arial" w:eastAsia="Arial" w:hAnsi="Arial"/>
          <w:sz w:val="16"/>
          <w:szCs w:val="16"/>
          <w:color w:val="auto"/>
        </w:rPr>
        <w:t>Warren P. Kashiwagi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20485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Donna L.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Donna L. Lucas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David F. Nickum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F. Nickum</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Kevin F.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F. Ramos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 Randall E.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485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Randall E. Reynoso</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Judson T.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Judson T. Riggs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Leigh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Leigh A. White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rPr>
              <w:t>Date</w:t>
            </w:r>
          </w:p>
        </w:tc>
      </w:tr>
      <w:tr>
        <w:trPr>
          <w:trHeight w:val="20"/>
        </w:trPr>
        <w:tc>
          <w:tcPr>
            <w:tcW w:w="3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47"/>
        </w:trPr>
        <w:tc>
          <w:tcPr>
            <w:tcW w:w="46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270"/>
        </w:trPr>
        <w:tc>
          <w:tcPr>
            <w:tcW w:w="4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13"/>
        </w:trPr>
        <w:tc>
          <w:tcPr>
            <w:tcW w:w="46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270"/>
        </w:trPr>
        <w:tc>
          <w:tcPr>
            <w:tcW w:w="46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13"/>
        </w:trPr>
        <w:tc>
          <w:tcPr>
            <w:tcW w:w="4620" w:type="dxa"/>
            <w:vAlign w:val="bottom"/>
            <w:gridSpan w:val="2"/>
          </w:tcPr>
          <w:p>
            <w:pPr>
              <w:spacing w:after="0"/>
              <w:rPr>
                <w:sz w:val="20"/>
                <w:szCs w:val="20"/>
                <w:color w:val="auto"/>
              </w:rPr>
            </w:pPr>
            <w:r>
              <w:rPr>
                <w:rFonts w:ascii="Arial" w:cs="Arial" w:eastAsia="Arial" w:hAnsi="Arial"/>
                <w:sz w:val="18"/>
                <w:szCs w:val="18"/>
                <w:color w:val="auto"/>
              </w:rPr>
              <w:t>Chair of the Board and 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Vice Chair of the Board and 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r>
        <w:trPr>
          <w:trHeight w:val="783"/>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900"/>
              <w:spacing w:after="0"/>
              <w:rPr>
                <w:sz w:val="20"/>
                <w:szCs w:val="20"/>
                <w:color w:val="auto"/>
              </w:rPr>
            </w:pPr>
            <w:r>
              <w:rPr>
                <w:rFonts w:ascii="Arial" w:cs="Arial" w:eastAsia="Arial" w:hAnsi="Arial"/>
                <w:sz w:val="18"/>
                <w:szCs w:val="18"/>
                <w:color w:val="auto"/>
                <w:w w:val="89"/>
              </w:rPr>
              <w:t>February 24, 2023</w:t>
            </w:r>
          </w:p>
        </w:tc>
      </w:tr>
    </w:tbl>
    <w:p>
      <w:pPr>
        <w:spacing w:after="0" w:line="446" w:lineRule="exact"/>
        <w:rPr>
          <w:sz w:val="20"/>
          <w:szCs w:val="20"/>
          <w:color w:val="auto"/>
        </w:rPr>
      </w:pPr>
    </w:p>
    <w:p>
      <w:pPr>
        <w:sectPr>
          <w:pgSz w:w="11900" w:h="16838" w:orient="portrait"/>
          <w:cols w:equalWidth="0" w:num="2">
            <w:col w:w="2620" w:space="720"/>
            <w:col w:w="7900"/>
          </w:cols>
          <w:pgMar w:left="320" w:top="115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1151" w:right="339" w:bottom="1440" w:gutter="0" w:footer="0" w:header="0"/>
          <w:type w:val="continuous"/>
        </w:sectPr>
      </w:pPr>
    </w:p>
    <w:bookmarkStart w:id="128" w:name="page129"/>
    <w:bookmarkEnd w:id="128"/>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is a list of subsidiaries of Five Star Bancorp, the names under which subsidiaries do business, and the jurisdiction in which each was organized. All subsidiaries are wholly-owned unless otherwise noted.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Subsidiaries of Five Star Bancorp</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Arial" w:cs="Arial" w:eastAsia="Arial" w:hAnsi="Arial"/>
                <w:sz w:val="18"/>
                <w:szCs w:val="18"/>
                <w:color w:val="auto"/>
              </w:rPr>
              <w:t>Name</w:t>
            </w:r>
          </w:p>
        </w:tc>
        <w:tc>
          <w:tcPr>
            <w:tcW w:w="2020" w:type="dxa"/>
            <w:vAlign w:val="bottom"/>
          </w:tcPr>
          <w:p>
            <w:pPr>
              <w:spacing w:after="0"/>
              <w:rPr>
                <w:sz w:val="20"/>
                <w:szCs w:val="20"/>
                <w:color w:val="auto"/>
              </w:rPr>
            </w:pPr>
            <w:r>
              <w:rPr>
                <w:rFonts w:ascii="Arial" w:cs="Arial" w:eastAsia="Arial" w:hAnsi="Arial"/>
                <w:sz w:val="18"/>
                <w:szCs w:val="18"/>
                <w:color w:val="auto"/>
                <w:w w:val="92"/>
              </w:rPr>
              <w:t>Jurisdiction of Organization</w:t>
            </w:r>
          </w:p>
        </w:tc>
      </w:tr>
      <w:tr>
        <w:trPr>
          <w:trHeight w:val="20"/>
        </w:trPr>
        <w:tc>
          <w:tcPr>
            <w:tcW w:w="4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8"/>
                <w:szCs w:val="18"/>
                <w:color w:val="auto"/>
              </w:rPr>
              <w:t>Five Star Bank</w:t>
            </w:r>
          </w:p>
        </w:tc>
        <w:tc>
          <w:tcPr>
            <w:tcW w:w="2020" w:type="dxa"/>
            <w:vAlign w:val="bottom"/>
          </w:tcPr>
          <w:p>
            <w:pPr>
              <w:ind w:left="48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S-3 (No. 333-269533) and Form S-8 (No. 333-256345) of Five Star Bancorp (the “Company”) of our report dated February 24, 2023, relating to the consolidated financial statements of the Company (which report expresses an unqualified opinion and includes an explanatory paragraph relating to the change in the method of accounting for leases), appearing in this Annual Report on Form 10-K of the Company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60"/>
        <w:spacing w:after="0"/>
        <w:tabs>
          <w:tab w:leader="none" w:pos="1780" w:val="left"/>
          <w:tab w:leader="none" w:pos="5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5"/>
          <w:szCs w:val="15"/>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James E. Beckwith</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240"/>
          </w:cols>
          <w:pgMar w:left="320" w:top="114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60"/>
        <w:spacing w:after="0"/>
        <w:tabs>
          <w:tab w:leader="none" w:pos="1780" w:val="left"/>
          <w:tab w:leader="none" w:pos="5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Heather C. Luck</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&amp; Chief Financial Officer</w:t>
      </w:r>
    </w:p>
    <w:p>
      <w:pPr>
        <w:sectPr>
          <w:pgSz w:w="11900" w:h="16838" w:orient="portrait"/>
          <w:cols w:equalWidth="0" w:num="1">
            <w:col w:w="11240"/>
          </w:cols>
          <w:pgMar w:left="320" w:top="114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Five Star Bancorp (the “Registrant”) for the year ended December 31, 2022, as filed with the Securities and Exchange Commission on the date hereof (the “Report”), I, James E. Beckwith, President &amp; Chief Executive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p>
      <w:pPr>
        <w:ind w:left="160"/>
        <w:spacing w:after="0"/>
        <w:tabs>
          <w:tab w:leader="none" w:pos="1780" w:val="left"/>
          <w:tab w:leader="none" w:pos="5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5"/>
          <w:szCs w:val="15"/>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James E. Beckwith</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240"/>
          </w:cols>
          <w:pgMar w:left="320" w:top="93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Five Star Bancorp (the “Registrant”) for the year ended December 31, 2022, as filed with the Securities and Exchange Commission on the date hereof (the “Report”), I, Heather C. Luck, Senior Vice President &amp; Chief Financial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p>
      <w:pPr>
        <w:ind w:left="160"/>
        <w:spacing w:after="0"/>
        <w:tabs>
          <w:tab w:leader="none" w:pos="1780" w:val="left"/>
          <w:tab w:leader="none" w:pos="5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Heather C. Luck</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&amp;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68"/>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bullet"/>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4"/>
      <w:numFmt w:val="bullet"/>
      <w:start w:val="1"/>
    </w:lvl>
  </w:abstractNum>
  <w:abstractNum w:abstractNumId="14">
    <w:nsid w:val="2D1D5AE9"/>
    <w:multiLevelType w:val="hybridMultilevel"/>
    <w:lvl w:ilvl="0">
      <w:lvlJc w:val="left"/>
      <w:lvlText w:val="5"/>
      <w:numFmt w:val="bullet"/>
      <w:start w:val="1"/>
    </w:lvl>
  </w:abstractNum>
  <w:abstractNum w:abstractNumId="15">
    <w:nsid w:val="6763845E"/>
    <w:multiLevelType w:val="hybridMultilevel"/>
    <w:lvl w:ilvl="0">
      <w:lvlJc w:val="left"/>
      <w:lvlText w:val="6"/>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1)"/>
      <w:numFmt w:val="lowerRoman"/>
      <w:start w:val="2"/>
    </w:lvl>
  </w:abstractNum>
  <w:abstractNum w:abstractNumId="20">
    <w:nsid w:val="B03E0C6"/>
    <w:multiLevelType w:val="hybridMultilevel"/>
    <w:lvl w:ilvl="0">
      <w:lvlJc w:val="left"/>
      <w:lvlText w:val="1"/>
      <w:numFmt w:val="bullet"/>
      <w:start w:val="1"/>
    </w:lvl>
  </w:abstractNum>
  <w:abstractNum w:abstractNumId="21">
    <w:nsid w:val="189A769B"/>
    <w:multiLevelType w:val="hybridMultilevel"/>
    <w:lvl w:ilvl="0">
      <w:lvlJc w:val="left"/>
      <w:lvlText w:val="1"/>
      <w:numFmt w:val="bullet"/>
      <w:start w:val="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04"/>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65" Type="http://schemas.openxmlformats.org/officeDocument/2006/relationships/hyperlink" Target="http://www.sec.gov/Archives/edgar/data/1275168/000155278121000525/e21434_ex3-1.htm" TargetMode="External"/><Relationship Id="rId166" Type="http://schemas.openxmlformats.org/officeDocument/2006/relationships/hyperlink" Target="http://www.sec.gov/Archives/edgar/data/1275168/000127516822000026/fsbc-20220630xexx32xarbyla.htm" TargetMode="External"/><Relationship Id="rId167" Type="http://schemas.openxmlformats.org/officeDocument/2006/relationships/hyperlink" Target="http://www.sec.gov/Archives/edgar/data/1275168/000155278121000243/e21250_ex4-1.htm" TargetMode="External"/><Relationship Id="rId168" Type="http://schemas.openxmlformats.org/officeDocument/2006/relationships/hyperlink" Target="http://www.sec.gov/Archives/edgar/data/1275168/000127516822000028/exhibit101-solaris8xkforme.htm" TargetMode="External"/><Relationship Id="rId169" Type="http://schemas.openxmlformats.org/officeDocument/2006/relationships/hyperlink" Target="http://www.sec.gov/Archives/edgar/data/1275168/000155278122000215/e22095_ex4-4.htm" TargetMode="External"/><Relationship Id="rId170" Type="http://schemas.openxmlformats.org/officeDocument/2006/relationships/hyperlink" Target="https://www.sec.gov/Archives/edgar/data/1275168/000155278121000190/e21201_ex10-1.htm" TargetMode="External"/><Relationship Id="rId171" Type="http://schemas.openxmlformats.org/officeDocument/2006/relationships/hyperlink" Target="https://www.sec.gov/Archives/edgar/data/1275168/000155278121000243/e21250_ex10-4.htm" TargetMode="External"/><Relationship Id="rId172" Type="http://schemas.openxmlformats.org/officeDocument/2006/relationships/hyperlink" Target="http://www.sec.gov/Archives/edgar/data/1275168/000155278121000190/e21201_ex10-5.htm" TargetMode="External"/><Relationship Id="rId173" Type="http://schemas.openxmlformats.org/officeDocument/2006/relationships/hyperlink" Target="http://www.sec.gov/Archives/edgar/data/1275168/000155278122000215/e22095_ex10-4.htm" TargetMode="External"/><Relationship Id="rId174" Type="http://schemas.openxmlformats.org/officeDocument/2006/relationships/hyperlink" Target="http://www.sec.gov/Archives/edgar/data/1275168/000155278122000215/e22095_ex10-5.htm" TargetMode="External"/><Relationship Id="rId175" Type="http://schemas.openxmlformats.org/officeDocument/2006/relationships/hyperlink" Target="http://www.sec.gov/Archives/edgar/data/1275168/000127516822000006/fsbc-20220331xexx101xupd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2023-02-24T14:12:14Z</dcterms:created>
  <dcterms:modified xsi:type="dcterms:W3CDTF">2023-02-24T14:12:14Z</dcterms:modified>
</cp:coreProperties>
</file>