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1"/>
          <w:szCs w:val="21"/>
          <w:color w:val="auto"/>
        </w:rPr>
        <w:t>x QUARTERLY REPORT PURSUANT TO SECTION 13 OR 15(d) 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March 31, 2021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21"/>
          <w:szCs w:val="21"/>
          <w:color w:val="auto"/>
        </w:rPr>
        <w:t>o TRANSITION REPORT PURSUANT TO SECTION 13 OR 15(d) OF THE SECURITIES EXCHANGE ACT OF 1934</w:t>
      </w:r>
    </w:p>
    <w:p>
      <w:pPr>
        <w:spacing w:after="0" w:line="225"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For the transition period from __________________ to __________________</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001-40379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FIVE STAR BANCORP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ind w:right="2050"/>
              <w:spacing w:after="0"/>
              <w:rPr>
                <w:sz w:val="20"/>
                <w:szCs w:val="20"/>
                <w:color w:val="auto"/>
              </w:rPr>
            </w:pPr>
            <w:r>
              <w:rPr>
                <w:rFonts w:ascii="Arial" w:cs="Arial" w:eastAsia="Arial" w:hAnsi="Arial"/>
                <w:sz w:val="18"/>
                <w:szCs w:val="18"/>
                <w:color w:val="auto"/>
                <w:w w:val="97"/>
              </w:rPr>
              <w:t>California</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75-3100966</w:t>
            </w:r>
          </w:p>
        </w:tc>
      </w:tr>
      <w:tr>
        <w:trPr>
          <w:trHeight w:val="224"/>
        </w:trPr>
        <w:tc>
          <w:tcPr>
            <w:tcW w:w="6520" w:type="dxa"/>
            <w:vAlign w:val="bottom"/>
            <w:gridSpan w:val="3"/>
          </w:tcPr>
          <w:p>
            <w:pPr>
              <w:jc w:val="center"/>
              <w:ind w:left="12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2240" w:type="dxa"/>
            <w:vAlign w:val="bottom"/>
          </w:tcPr>
          <w:p>
            <w:pPr>
              <w:ind w:left="360"/>
              <w:spacing w:after="0"/>
              <w:rPr>
                <w:sz w:val="20"/>
                <w:szCs w:val="20"/>
                <w:color w:val="auto"/>
              </w:rPr>
            </w:pPr>
            <w:r>
              <w:rPr>
                <w:rFonts w:ascii="Arial" w:cs="Arial" w:eastAsia="Arial" w:hAnsi="Arial"/>
                <w:sz w:val="18"/>
                <w:szCs w:val="18"/>
                <w:color w:val="auto"/>
              </w:rPr>
              <w:t>3100 Zinfandel Drive</w:t>
            </w:r>
          </w:p>
        </w:tc>
        <w:tc>
          <w:tcPr>
            <w:tcW w:w="1280" w:type="dxa"/>
            <w:vAlign w:val="bottom"/>
          </w:tcPr>
          <w:p>
            <w:pPr>
              <w:ind w:left="540"/>
              <w:spacing w:after="0"/>
              <w:rPr>
                <w:sz w:val="20"/>
                <w:szCs w:val="20"/>
                <w:color w:val="auto"/>
              </w:rPr>
            </w:pPr>
            <w:r>
              <w:rPr>
                <w:rFonts w:ascii="Arial" w:cs="Arial" w:eastAsia="Arial" w:hAnsi="Arial"/>
                <w:sz w:val="18"/>
                <w:szCs w:val="18"/>
                <w:color w:val="auto"/>
                <w:w w:val="94"/>
              </w:rPr>
              <w:t>Suite 100</w:t>
            </w:r>
          </w:p>
        </w:tc>
        <w:tc>
          <w:tcPr>
            <w:tcW w:w="3000" w:type="dxa"/>
            <w:vAlign w:val="bottom"/>
          </w:tcPr>
          <w:p>
            <w:pPr>
              <w:ind w:left="960"/>
              <w:spacing w:after="0"/>
              <w:rPr>
                <w:sz w:val="20"/>
                <w:szCs w:val="20"/>
                <w:color w:val="auto"/>
              </w:rPr>
            </w:pPr>
            <w:r>
              <w:rPr>
                <w:rFonts w:ascii="Arial" w:cs="Arial" w:eastAsia="Arial" w:hAnsi="Arial"/>
                <w:sz w:val="18"/>
                <w:szCs w:val="18"/>
                <w:color w:val="auto"/>
              </w:rPr>
              <w:t>Rancho Cordova</w:t>
            </w:r>
          </w:p>
        </w:tc>
        <w:tc>
          <w:tcPr>
            <w:tcW w:w="1580" w:type="dxa"/>
            <w:vAlign w:val="bottom"/>
            <w:gridSpan w:val="3"/>
          </w:tcPr>
          <w:p>
            <w:pPr>
              <w:ind w:left="400"/>
              <w:spacing w:after="0"/>
              <w:rPr>
                <w:sz w:val="20"/>
                <w:szCs w:val="20"/>
                <w:color w:val="auto"/>
              </w:rPr>
            </w:pPr>
            <w:r>
              <w:rPr>
                <w:rFonts w:ascii="Arial" w:cs="Arial" w:eastAsia="Arial" w:hAnsi="Arial"/>
                <w:sz w:val="18"/>
                <w:szCs w:val="18"/>
                <w:color w:val="auto"/>
              </w:rPr>
              <w:t>CA</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95670</w:t>
            </w:r>
          </w:p>
        </w:tc>
      </w:tr>
      <w:tr>
        <w:trPr>
          <w:trHeight w:val="224"/>
        </w:trPr>
        <w:tc>
          <w:tcPr>
            <w:tcW w:w="224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gridSpan w:val="2"/>
          </w:tcPr>
          <w:p>
            <w:pPr>
              <w:jc w:val="center"/>
              <w:ind w:right="750"/>
              <w:spacing w:after="0"/>
              <w:rPr>
                <w:sz w:val="20"/>
                <w:szCs w:val="20"/>
                <w:color w:val="auto"/>
              </w:rPr>
            </w:pPr>
            <w:r>
              <w:rPr>
                <w:rFonts w:ascii="Arial" w:cs="Arial" w:eastAsia="Arial" w:hAnsi="Arial"/>
                <w:sz w:val="18"/>
                <w:szCs w:val="18"/>
                <w:color w:val="auto"/>
                <w:w w:val="93"/>
              </w:rPr>
              <w:t>(Address of principal executive office)</w:t>
            </w:r>
          </w:p>
        </w:tc>
        <w:tc>
          <w:tcPr>
            <w:tcW w:w="1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(916) 626-5000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formal fiscal year, if changed since last report)</w:t>
      </w:r>
    </w:p>
    <w:p>
      <w:pPr>
        <w:spacing w:after="0" w:line="211"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12(b) of the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stock, no par value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FSBC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4"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1100"/>
              <w:spacing w:after="0"/>
              <w:rPr>
                <w:sz w:val="20"/>
                <w:szCs w:val="20"/>
                <w:color w:val="auto"/>
              </w:rPr>
            </w:pPr>
            <w:r>
              <w:rPr>
                <w:rFonts w:ascii="Arial" w:cs="Arial" w:eastAsia="Arial" w:hAnsi="Arial"/>
                <w:sz w:val="18"/>
                <w:szCs w:val="18"/>
                <w:color w:val="auto"/>
              </w:rPr>
              <w:t>o</w:t>
            </w:r>
          </w:p>
        </w:tc>
        <w:tc>
          <w:tcPr>
            <w:tcW w:w="4260" w:type="dxa"/>
            <w:vAlign w:val="bottom"/>
          </w:tcPr>
          <w:p>
            <w:pPr>
              <w:ind w:left="17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40"/>
              <w:spacing w:after="0"/>
              <w:rPr>
                <w:sz w:val="20"/>
                <w:szCs w:val="20"/>
                <w:color w:val="auto"/>
              </w:rPr>
            </w:pPr>
            <w:r>
              <w:rPr>
                <w:rFonts w:ascii="Arial" w:cs="Arial" w:eastAsia="Arial" w:hAnsi="Arial"/>
                <w:sz w:val="15"/>
                <w:szCs w:val="15"/>
                <w:color w:val="auto"/>
                <w:w w:val="71"/>
              </w:rPr>
              <w:t>o</w:t>
            </w: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1100"/>
              <w:spacing w:after="0"/>
              <w:rPr>
                <w:sz w:val="20"/>
                <w:szCs w:val="20"/>
                <w:color w:val="auto"/>
              </w:rPr>
            </w:pPr>
            <w:r>
              <w:rPr>
                <w:rFonts w:ascii="Arial" w:cs="Arial" w:eastAsia="Arial" w:hAnsi="Arial"/>
                <w:sz w:val="18"/>
                <w:szCs w:val="18"/>
                <w:color w:val="auto"/>
              </w:rPr>
              <w:t>x</w:t>
            </w:r>
          </w:p>
        </w:tc>
        <w:tc>
          <w:tcPr>
            <w:tcW w:w="4260" w:type="dxa"/>
            <w:vAlign w:val="bottom"/>
          </w:tcPr>
          <w:p>
            <w:pPr>
              <w:ind w:left="17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540"/>
              <w:spacing w:after="0"/>
              <w:rPr>
                <w:sz w:val="20"/>
                <w:szCs w:val="20"/>
                <w:color w:val="auto"/>
              </w:rPr>
            </w:pPr>
            <w:r>
              <w:rPr>
                <w:rFonts w:ascii="Arial" w:cs="Arial" w:eastAsia="Arial" w:hAnsi="Arial"/>
                <w:sz w:val="17"/>
                <w:szCs w:val="17"/>
                <w:color w:val="auto"/>
                <w:w w:val="70"/>
              </w:rPr>
              <w:t>x</w:t>
            </w: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1100"/>
              <w:spacing w:after="0"/>
              <w:rPr>
                <w:sz w:val="20"/>
                <w:szCs w:val="20"/>
                <w:color w:val="auto"/>
              </w:rPr>
            </w:pPr>
            <w:r>
              <w:rPr>
                <w:rFonts w:ascii="Arial" w:cs="Arial" w:eastAsia="Arial" w:hAnsi="Arial"/>
                <w:sz w:val="18"/>
                <w:szCs w:val="18"/>
                <w:color w:val="auto"/>
              </w:rPr>
              <w:t>x</w:t>
            </w:r>
          </w:p>
        </w:tc>
        <w:tc>
          <w:tcPr>
            <w:tcW w:w="426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of June 14, 2021, there were 17,225,508 shares of the registrant’s common stock, no par value, outstanding.</w:t>
      </w:r>
    </w:p>
    <w:p>
      <w:pPr>
        <w:sectPr>
          <w:pgSz w:w="11900" w:h="16838" w:orient="portrait"/>
          <w:cols w:equalWidth="0" w:num="1">
            <w:col w:w="11260"/>
          </w:cols>
          <w:pgMar w:left="320" w:top="225" w:right="319" w:bottom="1440" w:gutter="0" w:footer="0" w:header="0"/>
        </w:sect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4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114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10"/>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FINANCIAL INFORMATION</w:t>
              </w:r>
            </w:hyperlink>
          </w:p>
        </w:tc>
        <w:tc>
          <w:tcPr>
            <w:tcW w:w="7500" w:type="dxa"/>
            <w:vAlign w:val="bottom"/>
            <w:gridSpan w:val="10"/>
          </w:tcPr>
          <w:p>
            <w:pPr>
              <w:spacing w:after="0"/>
              <w:rPr>
                <w:sz w:val="24"/>
                <w:szCs w:val="24"/>
                <w:color w:val="auto"/>
              </w:rPr>
            </w:pPr>
          </w:p>
        </w:tc>
        <w:tc>
          <w:tcPr>
            <w:tcW w:w="180" w:type="dxa"/>
            <w:vAlign w:val="bottom"/>
            <w:gridSpan w:val="3"/>
          </w:tcPr>
          <w:p>
            <w:pPr>
              <w:jc w:val="center"/>
              <w:ind w:right="2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24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7500" w:type="dxa"/>
            <w:vAlign w:val="bottom"/>
            <w:gridSpan w:val="10"/>
          </w:tcPr>
          <w:p>
            <w:pPr>
              <w:spacing w:after="0"/>
              <w:rPr>
                <w:sz w:val="24"/>
                <w:szCs w:val="24"/>
                <w:color w:val="auto"/>
              </w:rPr>
            </w:pPr>
          </w:p>
        </w:tc>
        <w:tc>
          <w:tcPr>
            <w:tcW w:w="180" w:type="dxa"/>
            <w:vAlign w:val="bottom"/>
            <w:gridSpan w:val="3"/>
          </w:tcPr>
          <w:p>
            <w:pPr>
              <w:jc w:val="center"/>
              <w:ind w:right="2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180" w:type="dxa"/>
            <w:vAlign w:val="bottom"/>
            <w:gridSpan w:val="3"/>
          </w:tcPr>
          <w:p>
            <w:pPr>
              <w:jc w:val="center"/>
              <w:ind w:right="2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Income</w:t>
              </w:r>
            </w:hyperlink>
          </w:p>
        </w:tc>
        <w:tc>
          <w:tcPr>
            <w:tcW w:w="180" w:type="dxa"/>
            <w:vAlign w:val="bottom"/>
            <w:gridSpan w:val="3"/>
          </w:tcPr>
          <w:p>
            <w:pPr>
              <w:jc w:val="center"/>
              <w:ind w:right="2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Comprehensive Income</w:t>
              </w:r>
            </w:hyperlink>
          </w:p>
        </w:tc>
        <w:tc>
          <w:tcPr>
            <w:tcW w:w="5840" w:type="dxa"/>
            <w:vAlign w:val="bottom"/>
            <w:gridSpan w:val="5"/>
          </w:tcPr>
          <w:p>
            <w:pPr>
              <w:spacing w:after="0"/>
              <w:rPr>
                <w:sz w:val="24"/>
                <w:szCs w:val="24"/>
                <w:color w:val="auto"/>
              </w:rPr>
            </w:pPr>
          </w:p>
        </w:tc>
        <w:tc>
          <w:tcPr>
            <w:tcW w:w="180" w:type="dxa"/>
            <w:vAlign w:val="bottom"/>
            <w:gridSpan w:val="3"/>
          </w:tcPr>
          <w:p>
            <w:pPr>
              <w:jc w:val="center"/>
              <w:ind w:right="2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Changes in Shareholders’ Equity</w:t>
              </w:r>
            </w:hyperlink>
          </w:p>
        </w:tc>
        <w:tc>
          <w:tcPr>
            <w:tcW w:w="5180" w:type="dxa"/>
            <w:vAlign w:val="bottom"/>
            <w:gridSpan w:val="2"/>
          </w:tcPr>
          <w:p>
            <w:pPr>
              <w:spacing w:after="0"/>
              <w:rPr>
                <w:sz w:val="24"/>
                <w:szCs w:val="24"/>
                <w:color w:val="auto"/>
              </w:rPr>
            </w:pPr>
          </w:p>
        </w:tc>
        <w:tc>
          <w:tcPr>
            <w:tcW w:w="180" w:type="dxa"/>
            <w:vAlign w:val="bottom"/>
            <w:gridSpan w:val="3"/>
          </w:tcPr>
          <w:p>
            <w:pPr>
              <w:jc w:val="center"/>
              <w:ind w:right="2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w:t>
              </w:r>
            </w:hyperlink>
          </w:p>
        </w:tc>
        <w:tc>
          <w:tcPr>
            <w:tcW w:w="5180" w:type="dxa"/>
            <w:vAlign w:val="bottom"/>
            <w:gridSpan w:val="2"/>
          </w:tcPr>
          <w:p>
            <w:pPr>
              <w:spacing w:after="0"/>
              <w:rPr>
                <w:sz w:val="24"/>
                <w:szCs w:val="24"/>
                <w:color w:val="auto"/>
              </w:rPr>
            </w:pPr>
          </w:p>
        </w:tc>
        <w:tc>
          <w:tcPr>
            <w:tcW w:w="180" w:type="dxa"/>
            <w:vAlign w:val="bottom"/>
            <w:gridSpan w:val="3"/>
          </w:tcPr>
          <w:p>
            <w:pPr>
              <w:jc w:val="center"/>
              <w:ind w:right="2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w:t>
              </w:r>
            </w:hyperlink>
          </w:p>
        </w:tc>
        <w:tc>
          <w:tcPr>
            <w:tcW w:w="360" w:type="dxa"/>
            <w:vAlign w:val="bottom"/>
            <w:gridSpan w:val="4"/>
          </w:tcPr>
          <w:p>
            <w:pPr>
              <w:jc w:val="center"/>
              <w:ind w:right="18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32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1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 About Market Risk</w:t>
              </w:r>
            </w:hyperlink>
          </w:p>
        </w:tc>
        <w:tc>
          <w:tcPr>
            <w:tcW w:w="360" w:type="dxa"/>
            <w:vAlign w:val="bottom"/>
            <w:gridSpan w:val="4"/>
          </w:tcPr>
          <w:p>
            <w:pPr>
              <w:jc w:val="center"/>
              <w:ind w:right="18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Controls and Procedures</w:t>
              </w:r>
            </w:hyperlink>
          </w:p>
        </w:tc>
        <w:tc>
          <w:tcPr>
            <w:tcW w:w="2480" w:type="dxa"/>
            <w:vAlign w:val="bottom"/>
            <w:tcBorders>
              <w:top w:val="single" w:sz="8" w:color="0000EE"/>
            </w:tcBorders>
            <w:gridSpan w:val="8"/>
          </w:tcPr>
          <w:p>
            <w:pPr>
              <w:spacing w:after="0"/>
              <w:rPr>
                <w:sz w:val="24"/>
                <w:szCs w:val="24"/>
                <w:color w:val="auto"/>
              </w:rPr>
            </w:pPr>
          </w:p>
        </w:tc>
        <w:tc>
          <w:tcPr>
            <w:tcW w:w="546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1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74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360" w:type="dxa"/>
            <w:vAlign w:val="bottom"/>
            <w:gridSpan w:val="4"/>
          </w:tcPr>
          <w:p>
            <w:pPr>
              <w:jc w:val="center"/>
              <w:ind w:right="18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786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1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74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Risk Factors</w:t>
              </w:r>
            </w:hyperlink>
          </w:p>
        </w:tc>
        <w:tc>
          <w:tcPr>
            <w:tcW w:w="360" w:type="dxa"/>
            <w:vAlign w:val="bottom"/>
            <w:gridSpan w:val="4"/>
          </w:tcPr>
          <w:p>
            <w:pPr>
              <w:jc w:val="center"/>
              <w:ind w:right="18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Unregistered Sales of Equity Securities and Use of Proceeds</w:t>
              </w:r>
            </w:hyperlink>
          </w:p>
        </w:tc>
        <w:tc>
          <w:tcPr>
            <w:tcW w:w="360" w:type="dxa"/>
            <w:vAlign w:val="bottom"/>
            <w:gridSpan w:val="4"/>
          </w:tcPr>
          <w:p>
            <w:pPr>
              <w:jc w:val="center"/>
              <w:ind w:right="180"/>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96</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Defaults Upon Senior Securities</w:t>
              </w:r>
            </w:hyperlink>
          </w:p>
        </w:tc>
        <w:tc>
          <w:tcPr>
            <w:tcW w:w="5400" w:type="dxa"/>
            <w:vAlign w:val="bottom"/>
            <w:gridSpan w:val="3"/>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96</w:t>
              </w:r>
            </w:hyperlink>
          </w:p>
        </w:tc>
        <w:tc>
          <w:tcPr>
            <w:tcW w:w="1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24"/>
                <w:szCs w:val="24"/>
                <w:color w:val="auto"/>
              </w:rPr>
            </w:pPr>
          </w:p>
        </w:tc>
        <w:tc>
          <w:tcPr>
            <w:tcW w:w="742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96</w:t>
              </w:r>
            </w:hyperlink>
          </w:p>
        </w:tc>
        <w:tc>
          <w:tcPr>
            <w:tcW w:w="1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Other Information</w:t>
              </w:r>
            </w:hyperlink>
          </w:p>
        </w:tc>
        <w:tc>
          <w:tcPr>
            <w:tcW w:w="8420" w:type="dxa"/>
            <w:vAlign w:val="bottom"/>
            <w:gridSpan w:val="16"/>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96</w:t>
              </w:r>
            </w:hyperlink>
          </w:p>
        </w:tc>
        <w:tc>
          <w:tcPr>
            <w:tcW w:w="1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74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360" w:type="dxa"/>
            <w:vAlign w:val="bottom"/>
            <w:gridSpan w:val="4"/>
          </w:tcPr>
          <w:p>
            <w:pPr>
              <w:jc w:val="center"/>
              <w:ind w:right="18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97</w:t>
              </w:r>
            </w:hyperlink>
          </w:p>
        </w:tc>
      </w:tr>
      <w:tr>
        <w:trPr>
          <w:trHeight w:val="412"/>
        </w:trPr>
        <w:tc>
          <w:tcPr>
            <w:tcW w:w="1140" w:type="dxa"/>
            <w:vAlign w:val="bottom"/>
            <w:gridSpan w:val="2"/>
          </w:tcPr>
          <w:p>
            <w:pPr>
              <w:spacing w:after="0"/>
              <w:rPr>
                <w:rFonts w:ascii="Arial" w:cs="Arial" w:eastAsia="Arial" w:hAnsi="Arial"/>
                <w:sz w:val="18"/>
                <w:szCs w:val="18"/>
                <w:color w:val="0000EE"/>
                <w:w w:val="95"/>
              </w:rPr>
            </w:pPr>
            <w:hyperlink w:anchor="page98">
              <w:r>
                <w:rPr>
                  <w:rFonts w:ascii="Arial" w:cs="Arial" w:eastAsia="Arial" w:hAnsi="Arial"/>
                  <w:sz w:val="18"/>
                  <w:szCs w:val="18"/>
                  <w:color w:val="0000EE"/>
                  <w:w w:val="95"/>
                </w:rPr>
                <w:t>SIGNATURES</w:t>
              </w:r>
            </w:hyperlink>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98</w:t>
              </w:r>
            </w:hyperlink>
          </w:p>
        </w:tc>
        <w:tc>
          <w:tcPr>
            <w:tcW w:w="180" w:type="dxa"/>
            <w:vAlign w:val="bottom"/>
          </w:tcPr>
          <w:p>
            <w:pPr>
              <w:spacing w:after="0"/>
              <w:rPr>
                <w:sz w:val="24"/>
                <w:szCs w:val="24"/>
                <w:color w:val="auto"/>
              </w:rPr>
            </w:pPr>
          </w:p>
        </w:tc>
      </w:tr>
      <w:tr>
        <w:trPr>
          <w:trHeight w:val="473"/>
        </w:trPr>
        <w:tc>
          <w:tcPr>
            <w:tcW w:w="1100" w:type="dxa"/>
            <w:vAlign w:val="bottom"/>
            <w:tcBorders>
              <w:top w:val="single" w:sz="8" w:color="0000EE"/>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4560" w:type="dxa"/>
            <w:vAlign w:val="bottom"/>
            <w:tcBorders>
              <w:bottom w:val="single" w:sz="8" w:color="DCDCDC"/>
            </w:tcBorders>
            <w:gridSpan w:val="18"/>
          </w:tcPr>
          <w:p>
            <w:pPr>
              <w:ind w:left="4440"/>
              <w:spacing w:after="0"/>
              <w:rPr>
                <w:sz w:val="20"/>
                <w:szCs w:val="20"/>
                <w:color w:val="auto"/>
              </w:rPr>
            </w:pPr>
            <w:r>
              <w:rPr>
                <w:rFonts w:ascii="Arial" w:cs="Arial" w:eastAsia="Arial" w:hAnsi="Arial"/>
                <w:sz w:val="18"/>
                <w:szCs w:val="18"/>
                <w:color w:val="auto"/>
                <w:w w:val="99"/>
              </w:rPr>
              <w:t>2</w:t>
            </w:r>
          </w:p>
        </w:tc>
        <w:tc>
          <w:tcPr>
            <w:tcW w:w="1900" w:type="dxa"/>
            <w:vAlign w:val="bottom"/>
            <w:tcBorders>
              <w:bottom w:val="single" w:sz="8" w:color="DCDCDC"/>
            </w:tcBorders>
          </w:tcPr>
          <w:p>
            <w:pPr>
              <w:spacing w:after="0"/>
              <w:rPr>
                <w:sz w:val="24"/>
                <w:szCs w:val="24"/>
                <w:color w:val="auto"/>
              </w:rPr>
            </w:pPr>
          </w:p>
        </w:tc>
        <w:tc>
          <w:tcPr>
            <w:tcW w:w="3280" w:type="dxa"/>
            <w:vAlign w:val="bottom"/>
            <w:tcBorders>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94" w:lineRule="exact"/>
        <w:rPr>
          <w:sz w:val="20"/>
          <w:szCs w:val="20"/>
          <w:color w:val="auto"/>
        </w:rPr>
      </w:pPr>
    </w:p>
    <w:p>
      <w:pPr>
        <w:ind w:left="760" w:hanging="374"/>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 market conditions and economic trends nationally, regionally and particularly in Northern California and California, including as a result of the COVID-19 pandemic;</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concentration of our business in California, and specifically within Northern California, including risks associated with any downturn in the real estate sector;</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occurrence of significant natural disasters, including fires and earthquakes;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impact of the COVID-19 pandemic on our business and operations;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market interest rates that affect the pricing of our loans and deposits and our net interest income;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strategic focus on lending to small to medium-sized businesses;</w:t>
      </w:r>
    </w:p>
    <w:p>
      <w:pPr>
        <w:spacing w:after="0" w:line="22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the assumptions and estimates we make in establishing reserves for potential loan losses and the value of loan collateral and securities;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executive officers and key employees and their customer and community relationships;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risks associated with our loan portfolios, and specifically with our commercial real estate loans;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level of nonperforming assets and the costs associated with resolving problem loans, if any, and complying with government-imposed foreclosure moratoriums;</w:t>
      </w:r>
    </w:p>
    <w:p>
      <w:pPr>
        <w:spacing w:after="0" w:line="170" w:lineRule="exact"/>
        <w:rPr>
          <w:rFonts w:ascii="Arial" w:cs="Arial" w:eastAsia="Arial" w:hAnsi="Arial"/>
          <w:sz w:val="18"/>
          <w:szCs w:val="18"/>
          <w:color w:val="auto"/>
        </w:rPr>
      </w:pPr>
    </w:p>
    <w:p>
      <w:pPr>
        <w:jc w:val="both"/>
        <w:ind w:left="760" w:hanging="374"/>
        <w:spacing w:after="0" w:line="263"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adequate liquidity (including in compliance with the U.S. rules finalizing the Basel Committee on Banking Supervision’s December 2010 capital framework (“Basel III”)) and to raise necessary capital to fund our growth strategy and operations or to meet increased minimum regulatory capital levels;</w:t>
      </w:r>
    </w:p>
    <w:p>
      <w:pPr>
        <w:spacing w:after="0" w:line="183" w:lineRule="exact"/>
        <w:rPr>
          <w:rFonts w:ascii="Arial" w:cs="Arial" w:eastAsia="Arial" w:hAnsi="Arial"/>
          <w:sz w:val="18"/>
          <w:szCs w:val="18"/>
          <w:color w:val="auto"/>
        </w:rPr>
      </w:pPr>
    </w:p>
    <w:p>
      <w:pPr>
        <w:ind w:left="760" w:hanging="374"/>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effects of increased competition from a wide variety of local, regional, national, and other providers of financial and investment services;</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unauthorized access, cyber-crime, and other threats to data security;</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various governmental and regulatory requirements applicable to financial institutions, including supervisory actions by federal and state banking agencies;</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70" w:lineRule="exact"/>
        <w:rPr>
          <w:rFonts w:ascii="Arial" w:cs="Arial" w:eastAsia="Arial" w:hAnsi="Arial"/>
          <w:sz w:val="18"/>
          <w:szCs w:val="18"/>
          <w:color w:val="auto"/>
        </w:rPr>
      </w:pPr>
    </w:p>
    <w:p>
      <w:pPr>
        <w:ind w:left="5580" w:right="60" w:hanging="5194"/>
        <w:spacing w:after="0" w:line="527" w:lineRule="auto"/>
        <w:tabs>
          <w:tab w:leader="none" w:pos="76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governmental monetary and fiscal policies, including the policies of the Board of Governors of the Federal Reserve System (“Federal 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760" w:hanging="37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 and</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that are discussed in the sections entitled “Management’s Discussion and Analysis of Financial Condition and Results of Operations” and “Risk Factors.”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foregoing factors should not be considered exhaustive and should be read together with other cautionary statements that are included in this report, including those discussed in the section entitled “Risk Factors.”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 factors that could cause results or performance to materially differ from those expressed in our prior forward-looking statements are detailed in the section entitled “Risk Factors” of our Form S-1 which was declared effective by the U.S. Securities and Exchange Commission (“SEC”) on May 4, 2021, copies of which are available from us at no charge. We do not undertake to update forward-looking statements to reflect circumstances or events that occur after the date the forward-looking statements are made or to reflect the occurrence of unanticipated events.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8"/>
              </w:rPr>
              <w:t>FIVE STAR BANCORP AND SUBSIDIARY</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0"/>
              </w:rPr>
              <w:t>As of March 31, 2021 and December 31, 2020</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860" w:type="dxa"/>
            <w:vAlign w:val="bottom"/>
          </w:tcPr>
          <w:p>
            <w:pPr>
              <w:jc w:val="center"/>
              <w:ind w:left="329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60" w:type="dxa"/>
            <w:vAlign w:val="bottom"/>
          </w:tcPr>
          <w:p>
            <w:pPr>
              <w:jc w:val="center"/>
              <w:ind w:left="3290"/>
              <w:spacing w:after="0"/>
              <w:rPr>
                <w:sz w:val="20"/>
                <w:szCs w:val="20"/>
                <w:color w:val="auto"/>
              </w:rPr>
            </w:pPr>
            <w:r>
              <w:rPr>
                <w:rFonts w:ascii="Arial" w:cs="Arial" w:eastAsia="Arial" w:hAnsi="Arial"/>
                <w:sz w:val="18"/>
                <w:szCs w:val="18"/>
                <w:color w:val="auto"/>
                <w:w w:val="87"/>
              </w:rPr>
              <w:t>(In thousands, except share and per share data)</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8"/>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w w:val="99"/>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0"/>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financial institutions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44,720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46,028</w:t>
            </w:r>
          </w:p>
        </w:tc>
        <w:tc>
          <w:tcPr>
            <w:tcW w:w="120" w:type="dxa"/>
            <w:vAlign w:val="bottom"/>
            <w:shd w:val="clear" w:color="auto" w:fill="CCEEFF"/>
          </w:tcPr>
          <w:p>
            <w:pPr>
              <w:spacing w:after="0"/>
              <w:rPr>
                <w:sz w:val="18"/>
                <w:szCs w:val="18"/>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Interest-bearing deposits in banks</w:t>
            </w:r>
          </w:p>
        </w:tc>
        <w:tc>
          <w:tcPr>
            <w:tcW w:w="200" w:type="dxa"/>
            <w:vAlign w:val="bottom"/>
          </w:tcPr>
          <w:p>
            <w:pPr>
              <w:spacing w:after="0"/>
              <w:rPr>
                <w:sz w:val="19"/>
                <w:szCs w:val="19"/>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389,872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244,465</w:t>
            </w:r>
          </w:p>
        </w:tc>
        <w:tc>
          <w:tcPr>
            <w:tcW w:w="120" w:type="dxa"/>
            <w:vAlign w:val="bottom"/>
          </w:tcPr>
          <w:p>
            <w:pPr>
              <w:spacing w:after="0"/>
              <w:rPr>
                <w:sz w:val="19"/>
                <w:szCs w:val="19"/>
                <w:color w:val="auto"/>
              </w:rPr>
            </w:pPr>
          </w:p>
        </w:tc>
      </w:tr>
      <w:tr>
        <w:trPr>
          <w:trHeight w:val="210"/>
        </w:trPr>
        <w:tc>
          <w:tcPr>
            <w:tcW w:w="7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434,592</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290,493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Time deposits in banks</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23,705</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Securities – available-for-sale, at fair value</w:t>
            </w:r>
          </w:p>
        </w:tc>
        <w:tc>
          <w:tcPr>
            <w:tcW w:w="20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127,251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114,949</w:t>
            </w: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Securities – held-to-maturity, at amortized cost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7,979</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3,060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18"/>
                <w:szCs w:val="18"/>
                <w:color w:val="auto"/>
              </w:rPr>
            </w:pPr>
          </w:p>
        </w:tc>
      </w:tr>
      <w:tr>
        <w:trPr>
          <w:trHeight w:val="202"/>
        </w:trPr>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Loans, net of allowance for loan losses of $22,271 and $22,189 at March 31, 2021 and December 31,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respectively</w:t>
            </w:r>
          </w:p>
        </w:tc>
        <w:tc>
          <w:tcPr>
            <w:tcW w:w="2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1,521,222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1,480,970</w:t>
            </w:r>
          </w:p>
        </w:tc>
        <w:tc>
          <w:tcPr>
            <w:tcW w:w="12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Federal Home Loan Bank of San Francisco (“FHLB”) stock</w:t>
            </w:r>
          </w:p>
        </w:tc>
        <w:tc>
          <w:tcPr>
            <w:tcW w:w="20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6,232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6,232</w:t>
            </w:r>
          </w:p>
        </w:tc>
        <w:tc>
          <w:tcPr>
            <w:tcW w:w="120" w:type="dxa"/>
            <w:vAlign w:val="bottom"/>
          </w:tcPr>
          <w:p>
            <w:pPr>
              <w:spacing w:after="0"/>
              <w:rPr>
                <w:sz w:val="18"/>
                <w:szCs w:val="18"/>
                <w:color w:val="auto"/>
              </w:rPr>
            </w:pPr>
          </w:p>
        </w:tc>
      </w:tr>
      <w:tr>
        <w:trPr>
          <w:trHeight w:val="202"/>
        </w:trPr>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Premises and equipment, net of accumulated depreciation of $3,553 and $3,421 at March 31, 2021 and</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2020, respectively</w:t>
            </w:r>
          </w:p>
        </w:tc>
        <w:tc>
          <w:tcPr>
            <w:tcW w:w="2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1,645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20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8,714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8,662</w:t>
            </w:r>
          </w:p>
        </w:tc>
        <w:tc>
          <w:tcPr>
            <w:tcW w:w="120" w:type="dxa"/>
            <w:vAlign w:val="bottom"/>
          </w:tcPr>
          <w:p>
            <w:pPr>
              <w:spacing w:after="0"/>
              <w:rPr>
                <w:sz w:val="18"/>
                <w:szCs w:val="18"/>
                <w:color w:val="auto"/>
              </w:rPr>
            </w:pPr>
          </w:p>
        </w:tc>
      </w:tr>
      <w:tr>
        <w:trPr>
          <w:trHeight w:val="23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and other assets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15,839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14,292</w:t>
            </w:r>
          </w:p>
        </w:tc>
        <w:tc>
          <w:tcPr>
            <w:tcW w:w="120" w:type="dxa"/>
            <w:vAlign w:val="bottom"/>
            <w:shd w:val="clear" w:color="auto" w:fill="CCEEFF"/>
          </w:tcPr>
          <w:p>
            <w:pPr>
              <w:spacing w:after="0"/>
              <w:rPr>
                <w:sz w:val="19"/>
                <w:szCs w:val="19"/>
                <w:color w:val="auto"/>
              </w:rPr>
            </w:pPr>
          </w:p>
        </w:tc>
      </w:tr>
      <w:tr>
        <w:trPr>
          <w:trHeight w:val="263"/>
        </w:trPr>
        <w:tc>
          <w:tcPr>
            <w:tcW w:w="78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2,150,737</w:t>
            </w:r>
          </w:p>
        </w:tc>
        <w:tc>
          <w:tcPr>
            <w:tcW w:w="5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1,953,765</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r>
      <w:tr>
        <w:trPr>
          <w:trHeight w:val="197"/>
        </w:trPr>
        <w:tc>
          <w:tcPr>
            <w:tcW w:w="7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798,825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695,687</w:t>
            </w:r>
          </w:p>
        </w:tc>
        <w:tc>
          <w:tcPr>
            <w:tcW w:w="120" w:type="dxa"/>
            <w:vAlign w:val="bottom"/>
            <w:shd w:val="clear" w:color="auto" w:fill="CCEEFF"/>
          </w:tcPr>
          <w:p>
            <w:pPr>
              <w:spacing w:after="0"/>
              <w:rPr>
                <w:sz w:val="18"/>
                <w:szCs w:val="18"/>
                <w:color w:val="auto"/>
              </w:rPr>
            </w:pPr>
          </w:p>
        </w:tc>
      </w:tr>
      <w:tr>
        <w:trPr>
          <w:trHeight w:val="230"/>
        </w:trPr>
        <w:tc>
          <w:tcPr>
            <w:tcW w:w="786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200" w:type="dxa"/>
            <w:vAlign w:val="bottom"/>
          </w:tcPr>
          <w:p>
            <w:pPr>
              <w:spacing w:after="0"/>
              <w:rPr>
                <w:sz w:val="19"/>
                <w:szCs w:val="19"/>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1,184,285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1,088,314</w:t>
            </w:r>
          </w:p>
        </w:tc>
        <w:tc>
          <w:tcPr>
            <w:tcW w:w="120" w:type="dxa"/>
            <w:vAlign w:val="bottom"/>
          </w:tcPr>
          <w:p>
            <w:pPr>
              <w:spacing w:after="0"/>
              <w:rPr>
                <w:sz w:val="19"/>
                <w:szCs w:val="19"/>
                <w:color w:val="auto"/>
              </w:rPr>
            </w:pPr>
          </w:p>
        </w:tc>
      </w:tr>
      <w:tr>
        <w:trPr>
          <w:trHeight w:val="210"/>
        </w:trPr>
        <w:tc>
          <w:tcPr>
            <w:tcW w:w="78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deposits</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1,983,110</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1,784,001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28,336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28,320</w:t>
            </w:r>
          </w:p>
        </w:tc>
        <w:tc>
          <w:tcPr>
            <w:tcW w:w="120" w:type="dxa"/>
            <w:vAlign w:val="bottom"/>
            <w:shd w:val="clear" w:color="auto" w:fill="CCEEFF"/>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Interest payable and other liabilities</w:t>
            </w:r>
          </w:p>
        </w:tc>
        <w:tc>
          <w:tcPr>
            <w:tcW w:w="200" w:type="dxa"/>
            <w:vAlign w:val="bottom"/>
          </w:tcPr>
          <w:p>
            <w:pPr>
              <w:spacing w:after="0"/>
              <w:rPr>
                <w:sz w:val="19"/>
                <w:szCs w:val="19"/>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7,914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7,669</w:t>
            </w:r>
          </w:p>
        </w:tc>
        <w:tc>
          <w:tcPr>
            <w:tcW w:w="120" w:type="dxa"/>
            <w:vAlign w:val="bottom"/>
          </w:tcPr>
          <w:p>
            <w:pPr>
              <w:spacing w:after="0"/>
              <w:rPr>
                <w:sz w:val="19"/>
                <w:szCs w:val="19"/>
                <w:color w:val="auto"/>
              </w:rPr>
            </w:pPr>
          </w:p>
        </w:tc>
      </w:tr>
      <w:tr>
        <w:trPr>
          <w:trHeight w:val="210"/>
        </w:trPr>
        <w:tc>
          <w:tcPr>
            <w:tcW w:w="7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2,019,360</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1,819,990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860" w:type="dxa"/>
            <w:vAlign w:val="bottom"/>
          </w:tcPr>
          <w:p>
            <w:pPr>
              <w:ind w:left="160"/>
              <w:spacing w:after="0" w:line="201" w:lineRule="exact"/>
              <w:rPr>
                <w:sz w:val="20"/>
                <w:szCs w:val="20"/>
                <w:color w:val="auto"/>
              </w:rPr>
            </w:pPr>
            <w:r>
              <w:rPr>
                <w:rFonts w:ascii="Arial" w:cs="Arial" w:eastAsia="Arial" w:hAnsi="Arial"/>
                <w:sz w:val="18"/>
                <w:szCs w:val="18"/>
                <w:color w:val="auto"/>
              </w:rPr>
              <w:t>Common stock, no par value; 50,000,000 shares authorized; 11,007,005 shares issued and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w w:val="96"/>
              </w:rPr>
              <w:t>outstanding as of March 31, 2021; 11,000,273 shares issued and outstanding as of December 31,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60" w:type="dxa"/>
            <w:vAlign w:val="bottom"/>
          </w:tcPr>
          <w:p>
            <w:pPr>
              <w:ind w:left="3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110,144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110,082</w:t>
            </w:r>
          </w:p>
        </w:tc>
        <w:tc>
          <w:tcPr>
            <w:tcW w:w="120" w:type="dxa"/>
            <w:vAlign w:val="bottom"/>
          </w:tcPr>
          <w:p>
            <w:pPr>
              <w:spacing w:after="0"/>
              <w:rPr>
                <w:sz w:val="20"/>
                <w:szCs w:val="20"/>
                <w:color w:val="auto"/>
              </w:rPr>
            </w:pPr>
          </w:p>
        </w:tc>
      </w:tr>
      <w:tr>
        <w:trPr>
          <w:trHeight w:val="216"/>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21,623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22,348</w:t>
            </w:r>
          </w:p>
        </w:tc>
        <w:tc>
          <w:tcPr>
            <w:tcW w:w="120" w:type="dxa"/>
            <w:vAlign w:val="bottom"/>
            <w:shd w:val="clear" w:color="auto" w:fill="CCEEFF"/>
          </w:tcPr>
          <w:p>
            <w:pPr>
              <w:spacing w:after="0"/>
              <w:rPr>
                <w:sz w:val="18"/>
                <w:szCs w:val="18"/>
                <w:color w:val="auto"/>
              </w:rPr>
            </w:pPr>
          </w:p>
        </w:tc>
      </w:tr>
      <w:tr>
        <w:trPr>
          <w:trHeight w:val="230"/>
        </w:trPr>
        <w:tc>
          <w:tcPr>
            <w:tcW w:w="7860" w:type="dxa"/>
            <w:vAlign w:val="bottom"/>
          </w:tcPr>
          <w:p>
            <w:pPr>
              <w:ind w:left="160"/>
              <w:spacing w:after="0"/>
              <w:rPr>
                <w:sz w:val="20"/>
                <w:szCs w:val="20"/>
                <w:color w:val="auto"/>
              </w:rPr>
            </w:pPr>
            <w:r>
              <w:rPr>
                <w:rFonts w:ascii="Arial" w:cs="Arial" w:eastAsia="Arial" w:hAnsi="Arial"/>
                <w:sz w:val="18"/>
                <w:szCs w:val="18"/>
                <w:color w:val="auto"/>
              </w:rPr>
              <w:t>Accumulated other comprehensive (loss) income, net</w:t>
            </w:r>
          </w:p>
        </w:tc>
        <w:tc>
          <w:tcPr>
            <w:tcW w:w="200" w:type="dxa"/>
            <w:vAlign w:val="bottom"/>
          </w:tcPr>
          <w:p>
            <w:pPr>
              <w:spacing w:after="0"/>
              <w:rPr>
                <w:sz w:val="19"/>
                <w:szCs w:val="19"/>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9"/>
                <w:szCs w:val="19"/>
                <w:color w:val="auto"/>
              </w:rPr>
            </w:pPr>
          </w:p>
        </w:tc>
      </w:tr>
      <w:tr>
        <w:trPr>
          <w:trHeight w:val="209"/>
        </w:trPr>
        <w:tc>
          <w:tcPr>
            <w:tcW w:w="78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131,377</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78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2,150,737</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1,953,765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gridSpan w:val="6"/>
          </w:tcPr>
          <w:p>
            <w:pPr>
              <w:ind w:left="140"/>
              <w:spacing w:after="0"/>
              <w:rPr>
                <w:sz w:val="20"/>
                <w:szCs w:val="20"/>
                <w:color w:val="auto"/>
              </w:rPr>
            </w:pPr>
            <w:r>
              <w:rPr>
                <w:rFonts w:ascii="Arial" w:cs="Arial" w:eastAsia="Arial" w:hAnsi="Arial"/>
                <w:sz w:val="18"/>
                <w:szCs w:val="18"/>
                <w:color w:val="auto"/>
              </w:rPr>
              <w:t>For the three months ended March 31,</w:t>
            </w:r>
          </w:p>
        </w:tc>
      </w:tr>
      <w:tr>
        <w:trPr>
          <w:trHeight w:val="230"/>
        </w:trPr>
        <w:tc>
          <w:tcPr>
            <w:tcW w:w="76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20"/>
                <w:szCs w:val="20"/>
                <w:color w:val="auto"/>
              </w:rPr>
            </w:pPr>
          </w:p>
        </w:tc>
      </w:tr>
      <w:tr>
        <w:trPr>
          <w:trHeight w:val="209"/>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18,613</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16,061</w:t>
            </w:r>
          </w:p>
        </w:tc>
      </w:tr>
      <w:tr>
        <w:trPr>
          <w:trHeight w:val="216"/>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Taxable securities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Nontaxable securities</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r>
      <w:tr>
        <w:trPr>
          <w:trHeight w:val="229"/>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 in other banks</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r>
      <w:tr>
        <w:trPr>
          <w:trHeight w:val="210"/>
        </w:trPr>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17,019</w:t>
            </w: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699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2,367</w:t>
            </w:r>
          </w:p>
        </w:tc>
      </w:tr>
      <w:tr>
        <w:trPr>
          <w:trHeight w:val="229"/>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r>
      <w:tr>
        <w:trPr>
          <w:trHeight w:val="210"/>
        </w:trPr>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18,048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14,208</w:t>
            </w:r>
          </w:p>
        </w:tc>
      </w:tr>
      <w:tr>
        <w:trPr>
          <w:trHeight w:val="216"/>
        </w:trPr>
        <w:tc>
          <w:tcPr>
            <w:tcW w:w="7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2,600</w:t>
            </w:r>
          </w:p>
        </w:tc>
      </w:tr>
      <w:tr>
        <w:trPr>
          <w:trHeight w:val="209"/>
        </w:trPr>
        <w:tc>
          <w:tcPr>
            <w:tcW w:w="7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17,848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11,608</w:t>
            </w:r>
          </w:p>
        </w:tc>
      </w:tr>
      <w:tr>
        <w:trPr>
          <w:trHeight w:val="216"/>
        </w:trPr>
        <w:tc>
          <w:tcPr>
            <w:tcW w:w="7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Net gains on sales of securities available-for-sale</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r>
      <w:tr>
        <w:trPr>
          <w:trHeight w:val="216"/>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loans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w:t>
            </w: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Loan-related fees</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r>
      <w:tr>
        <w:trPr>
          <w:trHeight w:val="216"/>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FHLB stock dividends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Earnings on bank-owned life insurance</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r>
      <w:tr>
        <w:trPr>
          <w:trHeight w:val="229"/>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r>
      <w:tr>
        <w:trPr>
          <w:trHeight w:val="210"/>
        </w:trPr>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4,697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3,446</w:t>
            </w:r>
          </w:p>
        </w:tc>
      </w:tr>
      <w:tr>
        <w:trPr>
          <w:trHeight w:val="216"/>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Data processing and software</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r>
      <w:tr>
        <w:trPr>
          <w:trHeight w:val="216"/>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deposit insurance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r>
      <w:tr>
        <w:trPr>
          <w:trHeight w:val="216"/>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and promotional</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Loan-related expenses</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r>
      <w:tr>
        <w:trPr>
          <w:trHeight w:val="230"/>
        </w:trPr>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816</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w:t>
            </w:r>
          </w:p>
        </w:tc>
      </w:tr>
      <w:tr>
        <w:trPr>
          <w:trHeight w:val="209"/>
        </w:trPr>
        <w:tc>
          <w:tcPr>
            <w:tcW w:w="76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8,804</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6,096</w:t>
            </w:r>
          </w:p>
        </w:tc>
        <w:tc>
          <w:tcPr>
            <w:tcW w:w="14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10,660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7,265</w:t>
            </w:r>
          </w:p>
        </w:tc>
      </w:tr>
      <w:tr>
        <w:trPr>
          <w:trHeight w:val="216"/>
        </w:trPr>
        <w:tc>
          <w:tcPr>
            <w:tcW w:w="7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r>
      <w:tr>
        <w:trPr>
          <w:trHeight w:val="209"/>
        </w:trPr>
        <w:tc>
          <w:tcPr>
            <w:tcW w:w="7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83"/>
        </w:trPr>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10,278</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7,006</w:t>
            </w:r>
          </w:p>
        </w:tc>
      </w:tr>
      <w:tr>
        <w:trPr>
          <w:trHeight w:val="196"/>
        </w:trPr>
        <w:tc>
          <w:tcPr>
            <w:tcW w:w="7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83"/>
        </w:trPr>
        <w:tc>
          <w:tcPr>
            <w:tcW w:w="76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0.93</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r>
      <w:tr>
        <w:trPr>
          <w:trHeight w:val="197"/>
        </w:trPr>
        <w:tc>
          <w:tcPr>
            <w:tcW w:w="76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share</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3600" w:type="dxa"/>
            <w:vAlign w:val="bottom"/>
            <w:gridSpan w:val="7"/>
          </w:tcPr>
          <w:p>
            <w:pPr>
              <w:jc w:val="right"/>
              <w:ind w:right="500"/>
              <w:spacing w:after="0"/>
              <w:rPr>
                <w:sz w:val="20"/>
                <w:szCs w:val="20"/>
                <w:color w:val="auto"/>
              </w:rPr>
            </w:pPr>
            <w:r>
              <w:rPr>
                <w:rFonts w:ascii="Arial" w:cs="Arial" w:eastAsia="Arial" w:hAnsi="Arial"/>
                <w:sz w:val="18"/>
                <w:szCs w:val="18"/>
                <w:color w:val="auto"/>
              </w:rPr>
              <w:t>For the three months ended March 31,</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(losses) gains on securities available-for-sale during the period</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(1,614)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Reclassification adjustment for net realized gains included in net income</w:t>
            </w:r>
          </w:p>
        </w:tc>
        <w:tc>
          <w:tcPr>
            <w:tcW w:w="9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Income tax (benefit) expense related to other comprehensive (loss) income</w:t>
            </w:r>
          </w:p>
        </w:tc>
        <w:tc>
          <w:tcPr>
            <w:tcW w:w="9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7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9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(1,735)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7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8,543</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w w:val="95"/>
              </w:rPr>
              <w:t>The accompanying notes are an integral part of these consolidated financial statements (unaudited).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40" w:type="dxa"/>
            <w:vAlign w:val="bottom"/>
            <w:tcBorders>
              <w:bottom w:val="single" w:sz="8" w:color="DCDCDC"/>
            </w:tcBorders>
          </w:tcPr>
          <w:p>
            <w:pPr>
              <w:ind w:left="5580"/>
              <w:spacing w:after="0"/>
              <w:rPr>
                <w:sz w:val="20"/>
                <w:szCs w:val="20"/>
                <w:color w:val="auto"/>
              </w:rPr>
            </w:pPr>
            <w:r>
              <w:rPr>
                <w:rFonts w:ascii="Arial" w:cs="Arial" w:eastAsia="Arial" w:hAnsi="Arial"/>
                <w:sz w:val="18"/>
                <w:szCs w:val="18"/>
                <w:color w:val="auto"/>
              </w:rPr>
              <w:t>7</w:t>
            </w:r>
          </w:p>
        </w:tc>
        <w:tc>
          <w:tcPr>
            <w:tcW w:w="90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ind w:right="270"/>
              <w:spacing w:after="0"/>
              <w:rPr>
                <w:sz w:val="20"/>
                <w:szCs w:val="20"/>
                <w:color w:val="auto"/>
              </w:rPr>
            </w:pPr>
            <w:r>
              <w:rPr>
                <w:rFonts w:ascii="Arial" w:cs="Arial" w:eastAsia="Arial" w:hAnsi="Arial"/>
                <w:sz w:val="18"/>
                <w:szCs w:val="18"/>
                <w:color w:val="auto"/>
                <w:w w:val="92"/>
              </w:rPr>
              <w:t>Accumulated</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4"/>
        </w:trPr>
        <w:tc>
          <w:tcPr>
            <w:tcW w:w="3880" w:type="dxa"/>
            <w:vAlign w:val="bottom"/>
          </w:tcPr>
          <w:p>
            <w:pPr>
              <w:spacing w:after="0"/>
              <w:rPr>
                <w:sz w:val="21"/>
                <w:szCs w:val="21"/>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Common Stock</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5"/>
        </w:trPr>
        <w:tc>
          <w:tcPr>
            <w:tcW w:w="3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8"/>
              </w:rPr>
              <w:t>Comprehensive</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Retained</w:t>
            </w: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0"/>
              </w:rPr>
              <w:t>(Loss) Income,</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data; unaudited)</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Shares</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Amount</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0"/>
              </w:rPr>
              <w:t>Net of Taxes</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March 31, 2021</w:t>
            </w:r>
          </w:p>
        </w:tc>
        <w:tc>
          <w:tcPr>
            <w:tcW w:w="1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r>
      <w:tr>
        <w:trPr>
          <w:trHeight w:val="209"/>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2020</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11,000,273</w:t>
            </w: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5"/>
              </w:rPr>
              <w:t>110,082</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22,348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1,345</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133,775</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10,278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10,278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Other comprehensive expense</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(1,735)</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Stock issued under stock award plans</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9,454</w:t>
            </w:r>
          </w:p>
        </w:tc>
        <w:tc>
          <w:tcPr>
            <w:tcW w:w="6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 forfeitures</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(2,722)</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dividends paid ($1.00 per share)</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(11,003)</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(11,003)</w:t>
            </w:r>
          </w:p>
        </w:tc>
      </w:tr>
      <w:tr>
        <w:trPr>
          <w:trHeight w:val="210"/>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11,007,005</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110,144</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21,623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(390)</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131,377</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3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For the three months ended March 31, 2020</w:t>
            </w:r>
          </w:p>
        </w:tc>
        <w:tc>
          <w:tcPr>
            <w:tcW w:w="1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10"/>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9,674,875</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96,114</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12,789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108,877</w:t>
            </w: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7,006</w:t>
            </w:r>
          </w:p>
        </w:tc>
        <w:tc>
          <w:tcPr>
            <w:tcW w:w="2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7,006</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stock award plans</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8,148</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dividends paid ($0.70 per share)</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(6,772)</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r>
      <w:tr>
        <w:trPr>
          <w:trHeight w:val="210"/>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9,683,023</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96,178</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13,023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183</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109,384</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2"/>
              </w:rPr>
              <w:t>March 31, 2021</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March 31, 2020</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5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10,278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7,006</w:t>
            </w:r>
          </w:p>
        </w:tc>
      </w:tr>
      <w:tr>
        <w:trPr>
          <w:trHeight w:val="216"/>
        </w:trPr>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12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2,600</w:t>
            </w: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originated for sale</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(13,021)</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Gain on sale of loans</w:t>
            </w:r>
          </w:p>
        </w:tc>
        <w:tc>
          <w:tcPr>
            <w:tcW w:w="120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(931)</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of loans</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10,892</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11,536</w:t>
            </w: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Net (gains) losses on sales of securities available-for-sale</w:t>
            </w:r>
          </w:p>
        </w:tc>
        <w:tc>
          <w:tcPr>
            <w:tcW w:w="120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on bank owned life insurance</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Stock compensation expense</w:t>
            </w:r>
          </w:p>
        </w:tc>
        <w:tc>
          <w:tcPr>
            <w:tcW w:w="12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64</w:t>
            </w: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deferred loan fees</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2,087</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Amortization and accretion of security premiums and discounts</w:t>
            </w:r>
          </w:p>
        </w:tc>
        <w:tc>
          <w:tcPr>
            <w:tcW w:w="12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361</w:t>
            </w:r>
          </w:p>
        </w:tc>
        <w:tc>
          <w:tcPr>
            <w:tcW w:w="3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270</w:t>
            </w: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subordinated note issuance costs</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changes in:</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580" w:type="dxa"/>
            <w:vAlign w:val="bottom"/>
          </w:tcPr>
          <w:p>
            <w:pPr>
              <w:ind w:left="640"/>
              <w:spacing w:after="0"/>
              <w:rPr>
                <w:sz w:val="20"/>
                <w:szCs w:val="20"/>
                <w:color w:val="auto"/>
              </w:rPr>
            </w:pPr>
            <w:r>
              <w:rPr>
                <w:rFonts w:ascii="Arial" w:cs="Arial" w:eastAsia="Arial" w:hAnsi="Arial"/>
                <w:sz w:val="18"/>
                <w:szCs w:val="18"/>
                <w:color w:val="auto"/>
              </w:rPr>
              <w:t>Interest receivable and other assets</w:t>
            </w:r>
          </w:p>
        </w:tc>
        <w:tc>
          <w:tcPr>
            <w:tcW w:w="120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(1,485)</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16"/>
        </w:trPr>
        <w:tc>
          <w:tcPr>
            <w:tcW w:w="65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Interest payable and other liabilities</w:t>
            </w:r>
          </w:p>
        </w:tc>
        <w:tc>
          <w:tcPr>
            <w:tcW w:w="1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245</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10"/>
        </w:trPr>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1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8,601</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580" w:type="dxa"/>
            <w:vAlign w:val="bottom"/>
          </w:tcPr>
          <w:p>
            <w:pPr>
              <w:ind w:left="160"/>
              <w:spacing w:after="0"/>
              <w:rPr>
                <w:sz w:val="20"/>
                <w:szCs w:val="20"/>
                <w:color w:val="auto"/>
              </w:rPr>
            </w:pPr>
            <w:r>
              <w:rPr>
                <w:rFonts w:ascii="Arial" w:cs="Arial" w:eastAsia="Arial" w:hAnsi="Arial"/>
                <w:sz w:val="18"/>
                <w:szCs w:val="18"/>
                <w:color w:val="auto"/>
              </w:rPr>
              <w:t>Proceeds on sale of available-for-sale securities</w:t>
            </w:r>
          </w:p>
        </w:tc>
        <w:tc>
          <w:tcPr>
            <w:tcW w:w="12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11,456</w:t>
            </w:r>
          </w:p>
        </w:tc>
        <w:tc>
          <w:tcPr>
            <w:tcW w:w="3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18,696</w:t>
            </w:r>
          </w:p>
        </w:tc>
      </w:tr>
      <w:tr>
        <w:trPr>
          <w:trHeight w:val="216"/>
        </w:trPr>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prepayments and calls of securities available-for-sale</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4,520</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3,978</w:t>
            </w:r>
          </w:p>
        </w:tc>
      </w:tr>
      <w:tr>
        <w:trPr>
          <w:trHeight w:val="216"/>
        </w:trPr>
        <w:tc>
          <w:tcPr>
            <w:tcW w:w="6580" w:type="dxa"/>
            <w:vAlign w:val="bottom"/>
          </w:tcPr>
          <w:p>
            <w:pPr>
              <w:ind w:left="160"/>
              <w:spacing w:after="0"/>
              <w:rPr>
                <w:sz w:val="20"/>
                <w:szCs w:val="20"/>
                <w:color w:val="auto"/>
              </w:rPr>
            </w:pPr>
            <w:r>
              <w:rPr>
                <w:rFonts w:ascii="Arial" w:cs="Arial" w:eastAsia="Arial" w:hAnsi="Arial"/>
                <w:sz w:val="18"/>
                <w:szCs w:val="18"/>
                <w:color w:val="auto"/>
              </w:rPr>
              <w:t>Purchases of securities available-for-sale</w:t>
            </w:r>
          </w:p>
        </w:tc>
        <w:tc>
          <w:tcPr>
            <w:tcW w:w="120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(28,761)</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(16,664)</w:t>
            </w:r>
          </w:p>
        </w:tc>
      </w:tr>
      <w:tr>
        <w:trPr>
          <w:trHeight w:val="216"/>
        </w:trPr>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time deposits in banks</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(1,991)</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2,255</w:t>
            </w:r>
          </w:p>
        </w:tc>
      </w:tr>
      <w:tr>
        <w:trPr>
          <w:trHeight w:val="216"/>
        </w:trPr>
        <w:tc>
          <w:tcPr>
            <w:tcW w:w="6580" w:type="dxa"/>
            <w:vAlign w:val="bottom"/>
          </w:tcPr>
          <w:p>
            <w:pPr>
              <w:ind w:left="160"/>
              <w:spacing w:after="0"/>
              <w:rPr>
                <w:sz w:val="20"/>
                <w:szCs w:val="20"/>
                <w:color w:val="auto"/>
              </w:rPr>
            </w:pPr>
            <w:r>
              <w:rPr>
                <w:rFonts w:ascii="Arial" w:cs="Arial" w:eastAsia="Arial" w:hAnsi="Arial"/>
                <w:sz w:val="18"/>
                <w:szCs w:val="18"/>
                <w:color w:val="auto"/>
              </w:rPr>
              <w:t>Loan originations, net of repayments</w:t>
            </w:r>
          </w:p>
        </w:tc>
        <w:tc>
          <w:tcPr>
            <w:tcW w:w="120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(37,719)</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(70,930)</w:t>
            </w:r>
          </w:p>
        </w:tc>
      </w:tr>
      <w:tr>
        <w:trPr>
          <w:trHeight w:val="216"/>
        </w:trPr>
        <w:tc>
          <w:tcPr>
            <w:tcW w:w="65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Purchase of premises and equipment</w:t>
            </w:r>
          </w:p>
        </w:tc>
        <w:tc>
          <w:tcPr>
            <w:tcW w:w="1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(113)</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09"/>
        </w:trPr>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(52,608)</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(62,789)</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58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12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199,109</w:t>
            </w:r>
          </w:p>
        </w:tc>
        <w:tc>
          <w:tcPr>
            <w:tcW w:w="3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60,402</w:t>
            </w:r>
          </w:p>
        </w:tc>
      </w:tr>
      <w:tr>
        <w:trPr>
          <w:trHeight w:val="216"/>
        </w:trPr>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w:t>
            </w:r>
          </w:p>
        </w:tc>
        <w:tc>
          <w:tcPr>
            <w:tcW w:w="1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r>
      <w:tr>
        <w:trPr>
          <w:trHeight w:val="216"/>
        </w:trPr>
        <w:tc>
          <w:tcPr>
            <w:tcW w:w="6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Cash dividends paid</w:t>
            </w:r>
          </w:p>
        </w:tc>
        <w:tc>
          <w:tcPr>
            <w:tcW w:w="1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(11,003)</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r>
      <w:tr>
        <w:trPr>
          <w:trHeight w:val="210"/>
        </w:trPr>
        <w:tc>
          <w:tcPr>
            <w:tcW w:w="65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188,106</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73,630</w:t>
            </w: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144,099</w:t>
            </w:r>
          </w:p>
        </w:tc>
        <w:tc>
          <w:tcPr>
            <w:tcW w:w="3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7,240</w:t>
            </w:r>
          </w:p>
        </w:tc>
      </w:tr>
      <w:tr>
        <w:trPr>
          <w:trHeight w:val="216"/>
        </w:trPr>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290,493</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177,366</w:t>
            </w:r>
          </w:p>
        </w:tc>
      </w:tr>
      <w:tr>
        <w:trPr>
          <w:trHeight w:val="25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434,592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184,606</w:t>
            </w: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6"/>
        </w:trPr>
        <w:tc>
          <w:tcPr>
            <w:tcW w:w="65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1,170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2,867</w:t>
            </w:r>
          </w:p>
        </w:tc>
      </w:tr>
      <w:tr>
        <w:trPr>
          <w:trHeight w:val="216"/>
        </w:trPr>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from loans held for investment to loans held for sale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6,527</w:t>
            </w:r>
          </w:p>
        </w:tc>
      </w:tr>
      <w:tr>
        <w:trPr>
          <w:trHeight w:val="230"/>
        </w:trPr>
        <w:tc>
          <w:tcPr>
            <w:tcW w:w="6580" w:type="dxa"/>
            <w:vAlign w:val="bottom"/>
          </w:tcPr>
          <w:p>
            <w:pPr>
              <w:ind w:left="160"/>
              <w:spacing w:after="0"/>
              <w:rPr>
                <w:sz w:val="20"/>
                <w:szCs w:val="20"/>
                <w:color w:val="auto"/>
              </w:rPr>
            </w:pPr>
            <w:r>
              <w:rPr>
                <w:rFonts w:ascii="Arial" w:cs="Arial" w:eastAsia="Arial" w:hAnsi="Arial"/>
                <w:sz w:val="18"/>
                <w:szCs w:val="18"/>
                <w:color w:val="auto"/>
              </w:rPr>
              <w:t>Unrealized gains (losses) on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1,797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Nature of Operations and Principles of Consolidation</w:t>
      </w:r>
      <w:r>
        <w:rPr>
          <w:rFonts w:ascii="Arial" w:cs="Arial" w:eastAsia="Arial" w:hAnsi="Arial"/>
          <w:sz w:val="18"/>
          <w:szCs w:val="18"/>
          <w:color w:val="auto"/>
        </w:rPr>
        <w:t>: Five Star Bank (the “Bank”) was chartered on October 26, 1999 and began operations on December 20, 1999. Five Star Bancorp (“Bancorp” or the “Company”) was incorporated on September 16, 2002, and subsequently obtained approval from the Board of Governors of the Federal Reserve System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the Bank, provides financial services to customers who are predominately small and middle-market businesses, professionals, and individuals residing in the northern California region. Its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two loan production offices in Santa Rosa and Sacramento.</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terminated its status as a “Subchapter S” corporation as of May 5, 2021, in connection with the Company’s Initial Public Offering (“IPO”) and became a taxable C Corporation. Prior to that date, as an S Corporation, the Company had no U.S. federal income tax expense.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9, 2021, the Company publicly filed a registration statement on Form S-1 with the U.S. Securities and Exchange Commission (“SEC”) in connection with its IPO (the “Registration Statement”), which was subsequently amended on April 26, 2021 and May 3, 2021. The Registration Statement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Stock Market LLC on May 5, 2021. On May 7, 2021, the closing date of the IPO, the Company received total net proceeds of $109.1 million.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Basis of financial statement presentation and consolidation</w:t>
      </w:r>
      <w:r>
        <w:rPr>
          <w:rFonts w:ascii="Arial" w:cs="Arial" w:eastAsia="Arial" w:hAnsi="Arial"/>
          <w:sz w:val="17"/>
          <w:szCs w:val="17"/>
          <w:color w:val="auto"/>
        </w:rPr>
        <w:t>: 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accounting principles generally accepted in the United States of America (“GAAP”) as contained within the Financial Accounting Standards Board’s (“FASB”) Accounting Standards Codification (“ASC”) and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2020, and the notes thereto, as filed in the Company’s Form S-1, which was declared effective by the SEC on May 4, 2021.</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consolidated financial statements include Five Star Bancorp and its wholly-owned subsidiary, Five Star Bank. All significant intercompany transactions and balances are eliminated in consolidation.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months ended March 31, 2021 are not necessarily indicative of the results of operations that may be expected for any other interim period or for the year ending December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While the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and, as such, may take advantage of specified reduced reporting requirements and is relieved of other significant requirements that are otherwise generally applicable to other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unaudited consolidated financial statements and the disclosures provided, and actual results could differ.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EPS is net income divided by the weighted average number of common shares outstanding during the period less average unvested restricted stock awards. Diluted EPS includes the dilutive effect of additional potential common shares related to unvested restricted stock awards using the treasury stock method. The Company has two forms of outstanding common stock: common stock and unvested restricted stock awards. Holders of unvested restricted stock awards receive non-forfeitable dividends at the same rate as common shareholders and they both share equally in undistributed earnings, and therefore are considered participating securities. However, under the two-class method, the difference in EPS is not significant for these participating securities.</w:t>
      </w:r>
    </w:p>
    <w:p>
      <w:pPr>
        <w:spacing w:after="0" w:line="21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2"/>
              </w:rPr>
              <w:t>March 31, 2021</w:t>
            </w: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March 31, 2020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and dilutive common shares outstanding</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10,998,041</w:t>
            </w:r>
          </w:p>
        </w:tc>
        <w:tc>
          <w:tcPr>
            <w:tcW w:w="3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9,688,135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10,278</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7,006</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0.93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0.93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and 2020, there were no outstanding stock options. Anti-dilutive shares, which are excluded from the dilutive EPS calculation, were deemed to be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reflect recent accounting standards that are pending adoption by the Company. As discussed in Note 1, Basis of Presentation, the Company qualifies as an emerging growth company, and as such, has elected the extended transition period for complying with new or revised accounting standards and is not subject to the new or revised accounting standards applicable to public companies during the extended transition period. The accounting standards discussed below reflect effective dates for the Company as an emerging growth company with the extended transition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Accounting Standards Not Yet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ASU intend to increase transparency and comparability among organizations by recognizing an asset, which represents the right to use the asset for the lease term, and a lease liability, which is a lessee’s obligation to make lease payments measured on a discounted basis. This ASU generally applies to leasing arrangements exceeding a twelve-month term. As amended by ASU 2020-05, ASU 2016-02 is effective for annual periods, including interim periods within those annual periods beginning after December 15, 2021 and requires a modified retrospective method of adoption. In July 2018, the FASB issued two amendments to ASU 2016-02: ASU No.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which provides various corrections and clarifications to ASU 2016-02; and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a new optional transition method and provides a lessor with practical expedients for separating lease and non-lease components of a lease. Entities will apply a modified retrospective approach at either the beginning of the earliest period presented or at the beginning of the period of adoption through a cumulative-effect adjustment to retained earnings. The Company is currently evaluating the effect that the ASU will have on its financial condition or results of operations.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will replace the “incurred loss” model with a “current expected credit loss” (“CECL”) model. The CECL model will apply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credit losses on loans receivable, held-to-maturity debt securities, unfunded loan commitments, and certain other financial assets measured at amortized cost. The CECL model is based on lifetime expected losses, rather than incurred losses, and requires the recognition of credit loss expense in the consolidated statement of income and a related allowance for credit losses on the consolidated statement of condition at the time of origination or purchase of a loan receivable or held-to-maturity debt security. Likewise, subsequent changes in this estimate are recorded through credit loss expense and related allowance. The CECL model requires the use of not only relevant historical experience and current conditions, but reasonable and supportable forecasts of future events and circumstances, incorporating a broad range of information in developing credit loss estimates, which could result in significant changes to both the timing and amount of credit loss expense and allowance. Under ASU 2016-13, available-for-sale debt securities are evaluated for impairment if fair value is less than amortized cost. Estimated credit losses are recorded through a credit loss expense and an allowance, rather than a write-down of the investment. Changes in fair value that are not credit-related will continue to be recorded in other comprehensive income. The ASU also expands the disclosure requirements regarding assumptions, models, and methods for estimating the allowance for loan losses. In addition, entities will need to disclose the amortized cost balance for each class of financial asset by credit quality indicator, disaggregated by the year of origination. ASU 2016-13 is effective for the Company for fiscal years beginning after December 15, 2022, including interim periods within those fiscal years. Entities will apply a modified retrospective approach through a cumulative-effect adjustment to retained earnings as of the beginning of the first reporting period in which the guidance is effective. While the Company believes the change from an incurred loss model to a CECL model has the potential to increase the allowance for loan losses at the adoption date, the Company cannot reasonably quantify the impact of the adoption of the amendments to its financial condition or results of operations at this time due to the complexity and extensive changes from these amendments. The Company is working with its third-party vendor to identify data gaps and determine the appropriate methodologies and resources to utilize in preparation for transition to the new accounting standard, including but not limited to the use of certain tools to forecast future economic conditions that affect the cash flows of loans over their lifetime.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The primary objective of the amendments in this update is to simplify the application of hedge accounting. More specifically, the amendments in this update better align an entity’s risk management activities and financial reporting for hedging relationships through changes to both the designation and measurement guidance for qualifying hedging relationships and the presentation of hedge results. Furthermore, the amendments expand and refine hedge accounting for both nonfinancial and financial risk components and align the recognition and presentation of the effects of the hedging instrument and the hedged item in the financial statements. Additionally, amendments in this update require an entity to present the earnings effect of the hedging instrument in the same income statement line item in which the earnings effect of the hedged item is reported. Hedge ineffectiveness is no longer separately measured and reported. The amendments in this update will be effective for fiscal years beginning after December 15, 2020 and interim periods within fiscal years beginning after December 15, 2021. Early adoption is permitted in any interim period. The Company is currently evaluating the effect that the ASU will have on its financial condition or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The amendments in this ASU are elective and provide optional guidance for a limited period of time to ease the potential burden in accounting for (or recognizing the effects of) reference rate reform. The amendments in this ASU provide optional expedients and exceptions for applying GAAP to contracts, hedging relationships, and other transactions that reference the London Inter-Bank Offered Rate (“LIBOR”) or another reference rate expected to be discontinued because of reference rate reform. The amendments in this ASU may be elected as of March 12, 2020 through December 31, 2022. An entity may choose to elect the amendments in this update at an interim period subsequent to March 12, 2020, with adoption methods varying based on transaction type. The Company has not elected to apply these amendments; however, the Company is assessing the applicability of the ASU and continues to monitor guidance for reference rate reform from FASB and its impact on the Company’s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 and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require an entity to maximize the use of observable inputs and minimize the use of unobservable inputs when measuring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1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a reporting entity’s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the Company’s assets and liabilities that were required to be recorded at fair value on a recurring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8"/>
              </w:rPr>
              <w:t>Significant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Measurement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ind w:right="110"/>
              <w:spacing w:after="0" w:line="176" w:lineRule="exact"/>
              <w:rPr>
                <w:sz w:val="20"/>
                <w:szCs w:val="20"/>
                <w:color w:val="auto"/>
              </w:rPr>
            </w:pPr>
            <w:r>
              <w:rPr>
                <w:rFonts w:ascii="Arial" w:cs="Arial" w:eastAsia="Arial" w:hAnsi="Arial"/>
                <w:sz w:val="18"/>
                <w:szCs w:val="18"/>
                <w:color w:val="auto"/>
                <w:w w:val="91"/>
              </w:rPr>
              <w:t>Quoted Prices in</w:t>
            </w:r>
          </w:p>
        </w:tc>
        <w:tc>
          <w:tcPr>
            <w:tcW w:w="320" w:type="dxa"/>
            <w:vAlign w:val="bottom"/>
          </w:tcPr>
          <w:p>
            <w:pPr>
              <w:spacing w:after="0"/>
              <w:rPr>
                <w:sz w:val="15"/>
                <w:szCs w:val="15"/>
                <w:color w:val="auto"/>
              </w:rPr>
            </w:pPr>
          </w:p>
        </w:tc>
        <w:tc>
          <w:tcPr>
            <w:tcW w:w="10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5"/>
                <w:szCs w:val="15"/>
                <w:color w:val="auto"/>
              </w:rPr>
            </w:pPr>
          </w:p>
        </w:tc>
        <w:tc>
          <w:tcPr>
            <w:tcW w:w="106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Significant</w:t>
            </w: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gridSpan w:val="2"/>
          </w:tcPr>
          <w:p>
            <w:pPr>
              <w:jc w:val="right"/>
              <w:ind w:right="110"/>
              <w:spacing w:after="0"/>
              <w:rPr>
                <w:sz w:val="20"/>
                <w:szCs w:val="20"/>
                <w:color w:val="auto"/>
              </w:rPr>
            </w:pPr>
            <w:r>
              <w:rPr>
                <w:rFonts w:ascii="Arial" w:cs="Arial" w:eastAsia="Arial" w:hAnsi="Arial"/>
                <w:sz w:val="18"/>
                <w:szCs w:val="18"/>
                <w:color w:val="auto"/>
              </w:rPr>
              <w:t>Active Markets for</w:t>
            </w:r>
          </w:p>
        </w:tc>
        <w:tc>
          <w:tcPr>
            <w:tcW w:w="3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89"/>
              </w:rPr>
              <w:t>Observable</w:t>
            </w: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Unobservable</w:t>
            </w:r>
          </w:p>
        </w:tc>
        <w:tc>
          <w:tcPr>
            <w:tcW w:w="1860" w:type="dxa"/>
            <w:vAlign w:val="bottom"/>
          </w:tcPr>
          <w:p>
            <w:pPr>
              <w:jc w:val="right"/>
              <w:spacing w:after="0"/>
              <w:rPr>
                <w:sz w:val="20"/>
                <w:szCs w:val="20"/>
                <w:color w:val="auto"/>
              </w:rPr>
            </w:pPr>
            <w:r>
              <w:rPr>
                <w:rFonts w:ascii="Arial" w:cs="Arial" w:eastAsia="Arial" w:hAnsi="Arial"/>
                <w:sz w:val="18"/>
                <w:szCs w:val="18"/>
                <w:color w:val="auto"/>
              </w:rPr>
              <w:t>Categories: Changes</w:t>
            </w:r>
          </w:p>
        </w:tc>
        <w:tc>
          <w:tcPr>
            <w:tcW w:w="0" w:type="dxa"/>
            <w:vAlign w:val="bottom"/>
          </w:tcPr>
          <w:p>
            <w:pPr>
              <w:spacing w:after="0"/>
              <w:rPr>
                <w:sz w:val="1"/>
                <w:szCs w:val="1"/>
                <w:color w:val="auto"/>
              </w:rPr>
            </w:pPr>
          </w:p>
        </w:tc>
      </w:tr>
      <w:tr>
        <w:trPr>
          <w:trHeight w:val="219"/>
        </w:trPr>
        <w:tc>
          <w:tcPr>
            <w:tcW w:w="3580" w:type="dxa"/>
            <w:vAlign w:val="bottom"/>
            <w:gridSpan w:val="3"/>
          </w:tcPr>
          <w:p>
            <w:pPr>
              <w:spacing w:after="0"/>
              <w:rPr>
                <w:sz w:val="20"/>
                <w:szCs w:val="20"/>
                <w:color w:val="auto"/>
              </w:rPr>
            </w:pPr>
            <w:r>
              <w:rPr>
                <w:rFonts w:ascii="Arial" w:cs="Arial" w:eastAsia="Arial" w:hAnsi="Arial"/>
                <w:sz w:val="18"/>
                <w:szCs w:val="18"/>
                <w:color w:val="auto"/>
              </w:rPr>
              <w:t>Description of Financial</w:t>
            </w:r>
          </w:p>
        </w:tc>
        <w:tc>
          <w:tcPr>
            <w:tcW w:w="3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Carrying</w:t>
            </w:r>
          </w:p>
        </w:tc>
        <w:tc>
          <w:tcPr>
            <w:tcW w:w="32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w w:val="96"/>
              </w:rPr>
              <w:t>Identical Assets</w:t>
            </w:r>
          </w:p>
        </w:tc>
        <w:tc>
          <w:tcPr>
            <w:tcW w:w="32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Inputs</w:t>
            </w:r>
          </w:p>
        </w:tc>
        <w:tc>
          <w:tcPr>
            <w:tcW w:w="3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Inputs</w:t>
            </w:r>
          </w:p>
        </w:tc>
        <w:tc>
          <w:tcPr>
            <w:tcW w:w="1860" w:type="dxa"/>
            <w:vAlign w:val="bottom"/>
          </w:tcPr>
          <w:p>
            <w:pPr>
              <w:jc w:val="center"/>
              <w:ind w:left="110"/>
              <w:spacing w:after="0"/>
              <w:rPr>
                <w:sz w:val="20"/>
                <w:szCs w:val="20"/>
                <w:color w:val="auto"/>
              </w:rPr>
            </w:pPr>
            <w:r>
              <w:rPr>
                <w:rFonts w:ascii="Arial" w:cs="Arial" w:eastAsia="Arial" w:hAnsi="Arial"/>
                <w:sz w:val="18"/>
                <w:szCs w:val="18"/>
                <w:color w:val="auto"/>
                <w:w w:val="90"/>
              </w:rPr>
              <w:t>in Fair Value Recorded</w:t>
            </w:r>
          </w:p>
        </w:tc>
        <w:tc>
          <w:tcPr>
            <w:tcW w:w="0" w:type="dxa"/>
            <w:vAlign w:val="bottom"/>
          </w:tcPr>
          <w:p>
            <w:pPr>
              <w:spacing w:after="0"/>
              <w:rPr>
                <w:sz w:val="1"/>
                <w:szCs w:val="1"/>
                <w:color w:val="auto"/>
              </w:rPr>
            </w:pPr>
          </w:p>
        </w:tc>
      </w:tr>
      <w:tr>
        <w:trPr>
          <w:trHeight w:val="267"/>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Instruments</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Value</w:t>
            </w:r>
          </w:p>
        </w:tc>
        <w:tc>
          <w:tcPr>
            <w:tcW w:w="3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(Level 3)</w:t>
            </w:r>
          </w:p>
        </w:tc>
        <w:tc>
          <w:tcPr>
            <w:tcW w:w="1860" w:type="dxa"/>
            <w:vAlign w:val="bottom"/>
            <w:tcBorders>
              <w:bottom w:val="single" w:sz="8" w:color="auto"/>
            </w:tcBorders>
          </w:tcPr>
          <w:p>
            <w:pPr>
              <w:jc w:val="right"/>
              <w:spacing w:after="0" w:line="267" w:lineRule="exact"/>
              <w:rPr>
                <w:sz w:val="20"/>
                <w:szCs w:val="20"/>
                <w:color w:val="auto"/>
              </w:rPr>
            </w:pPr>
            <w:r>
              <w:rPr>
                <w:rFonts w:ascii="Arial" w:cs="Arial" w:eastAsia="Arial" w:hAnsi="Arial"/>
                <w:sz w:val="18"/>
                <w:szCs w:val="18"/>
                <w:color w:val="auto"/>
              </w:rPr>
              <w:t>In</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March 31, 2021</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3"/>
              </w:rPr>
              <w:t>U.S. government treasuries, U.S. government</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320"/>
              <w:spacing w:after="0"/>
              <w:rPr>
                <w:sz w:val="20"/>
                <w:szCs w:val="20"/>
                <w:color w:val="auto"/>
              </w:rPr>
            </w:pPr>
            <w:r>
              <w:rPr>
                <w:rFonts w:ascii="Arial" w:cs="Arial" w:eastAsia="Arial" w:hAnsi="Arial"/>
                <w:sz w:val="18"/>
                <w:szCs w:val="18"/>
                <w:color w:val="auto"/>
              </w:rPr>
              <w:t>agencies, mortgage-backed securities,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320"/>
              <w:spacing w:after="0"/>
              <w:rPr>
                <w:sz w:val="20"/>
                <w:szCs w:val="20"/>
                <w:color w:val="auto"/>
              </w:rPr>
            </w:pPr>
            <w:r>
              <w:rPr>
                <w:rFonts w:ascii="Arial" w:cs="Arial" w:eastAsia="Arial" w:hAnsi="Arial"/>
                <w:sz w:val="18"/>
                <w:szCs w:val="18"/>
                <w:color w:val="auto"/>
              </w:rPr>
              <w:t>obligations of states and political</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320"/>
              <w:spacing w:after="0"/>
              <w:rPr>
                <w:sz w:val="20"/>
                <w:szCs w:val="20"/>
                <w:color w:val="auto"/>
              </w:rPr>
            </w:pPr>
            <w:r>
              <w:rPr>
                <w:rFonts w:ascii="Arial" w:cs="Arial" w:eastAsia="Arial" w:hAnsi="Arial"/>
                <w:sz w:val="18"/>
                <w:szCs w:val="18"/>
                <w:color w:val="auto"/>
                <w:w w:val="98"/>
              </w:rPr>
              <w:t>subdivisions, and collateralized mortgage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20"/>
              <w:spacing w:after="0"/>
              <w:rPr>
                <w:sz w:val="20"/>
                <w:szCs w:val="20"/>
                <w:color w:val="auto"/>
              </w:rPr>
            </w:pPr>
            <w:r>
              <w:rPr>
                <w:rFonts w:ascii="Arial" w:cs="Arial" w:eastAsia="Arial" w:hAnsi="Arial"/>
                <w:sz w:val="18"/>
                <w:szCs w:val="18"/>
                <w:color w:val="auto"/>
              </w:rPr>
              <w:t>obligations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127,251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127,251</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center"/>
              <w:ind w:left="90"/>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2020</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3"/>
              </w:rPr>
              <w:t>U.S. government treasuries, U.S. government</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320"/>
              <w:spacing w:after="0"/>
              <w:rPr>
                <w:sz w:val="20"/>
                <w:szCs w:val="20"/>
                <w:color w:val="auto"/>
              </w:rPr>
            </w:pPr>
            <w:r>
              <w:rPr>
                <w:rFonts w:ascii="Arial" w:cs="Arial" w:eastAsia="Arial" w:hAnsi="Arial"/>
                <w:sz w:val="18"/>
                <w:szCs w:val="18"/>
                <w:color w:val="auto"/>
              </w:rPr>
              <w:t>agencies, mortgage-backed securities,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320"/>
              <w:spacing w:after="0"/>
              <w:rPr>
                <w:sz w:val="20"/>
                <w:szCs w:val="20"/>
                <w:color w:val="auto"/>
              </w:rPr>
            </w:pPr>
            <w:r>
              <w:rPr>
                <w:rFonts w:ascii="Arial" w:cs="Arial" w:eastAsia="Arial" w:hAnsi="Arial"/>
                <w:sz w:val="18"/>
                <w:szCs w:val="18"/>
                <w:color w:val="auto"/>
              </w:rPr>
              <w:t>obligations of states and political</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320"/>
              <w:spacing w:after="0"/>
              <w:rPr>
                <w:sz w:val="20"/>
                <w:szCs w:val="20"/>
                <w:color w:val="auto"/>
              </w:rPr>
            </w:pPr>
            <w:r>
              <w:rPr>
                <w:rFonts w:ascii="Arial" w:cs="Arial" w:eastAsia="Arial" w:hAnsi="Arial"/>
                <w:sz w:val="18"/>
                <w:szCs w:val="18"/>
                <w:color w:val="auto"/>
                <w:w w:val="98"/>
              </w:rPr>
              <w:t>subdivisions, and collateralized mortgage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20"/>
              <w:spacing w:after="0"/>
              <w:rPr>
                <w:sz w:val="20"/>
                <w:szCs w:val="20"/>
                <w:color w:val="auto"/>
              </w:rPr>
            </w:pPr>
            <w:r>
              <w:rPr>
                <w:rFonts w:ascii="Arial" w:cs="Arial" w:eastAsia="Arial" w:hAnsi="Arial"/>
                <w:sz w:val="18"/>
                <w:szCs w:val="18"/>
                <w:color w:val="auto"/>
              </w:rPr>
              <w:t>obligations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114,949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114,949</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center"/>
              <w:ind w:left="90"/>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4"/>
          <w:szCs w:val="14"/>
          <w:color w:val="auto"/>
        </w:rPr>
        <w:t>Other comprehensive income (“OCI”) or net income (“NI”).</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Available-for-sale securities are recorded at fair value on a recurring basis. When available, quoted market prices (Level 1)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Level 2 securities include U.S. agencies or government-sponsored agencies’ debt securities, mortgage-backed securities, government agency-issued, privately-issued collateralized mortgage obligations, and corporate bonds. As of March 31, 2021 and December 31, 2020, there were no Level 1 or Level 3 securities.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 For further discussion on the Company’s methodology in valuing its derivative financial instruments, refer to Note 10, Derivative Financial Instruments and Hedging Activities.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impaired loans that are collateral dependent and other real estate owned (“OREO”). As of March 31, 2021 and December 31, 2020, the Company did not carry any assets measured at fair value on a non-recurring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Disclosures about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is a summary of fair value estimates for financial instruments as of March 31, 2021 and December 31, 2020, excluding financial instruments recorded at fair value on a recurring basis (summarized in the first table in this note). The carrying amounts in the following table are recorded in the consolidated statements of condition under the indicated captions. Further, management has not disclosed the fair value of financial instruments specifically excluded from disclosure requirements such as bank-owned life insurance policies (“BOLI”).</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March 31, 2021</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December 31, 2020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3940" w:type="dxa"/>
            <w:vAlign w:val="bottom"/>
          </w:tcPr>
          <w:p>
            <w:pPr>
              <w:spacing w:after="0"/>
              <w:rPr>
                <w:sz w:val="16"/>
                <w:szCs w:val="16"/>
                <w:color w:val="auto"/>
              </w:rPr>
            </w:pPr>
          </w:p>
        </w:tc>
        <w:tc>
          <w:tcPr>
            <w:tcW w:w="10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Carrying</w:t>
            </w:r>
          </w:p>
        </w:tc>
        <w:tc>
          <w:tcPr>
            <w:tcW w:w="15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Fair</w:t>
            </w:r>
          </w:p>
        </w:tc>
        <w:tc>
          <w:tcPr>
            <w:tcW w:w="960" w:type="dxa"/>
            <w:vAlign w:val="bottom"/>
          </w:tcPr>
          <w:p>
            <w:pPr>
              <w:ind w:left="220"/>
              <w:spacing w:after="0" w:line="195" w:lineRule="exact"/>
              <w:rPr>
                <w:sz w:val="20"/>
                <w:szCs w:val="20"/>
                <w:color w:val="auto"/>
              </w:rPr>
            </w:pPr>
            <w:r>
              <w:rPr>
                <w:rFonts w:ascii="Arial" w:cs="Arial" w:eastAsia="Arial" w:hAnsi="Arial"/>
                <w:sz w:val="18"/>
                <w:szCs w:val="18"/>
                <w:color w:val="auto"/>
                <w:w w:val="87"/>
              </w:rPr>
              <w:t>Fair Value</w:t>
            </w:r>
          </w:p>
        </w:tc>
        <w:tc>
          <w:tcPr>
            <w:tcW w:w="34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Carrying</w:t>
            </w:r>
          </w:p>
        </w:tc>
        <w:tc>
          <w:tcPr>
            <w:tcW w:w="16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Fair</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Fair Value</w:t>
            </w:r>
          </w:p>
        </w:tc>
        <w:tc>
          <w:tcPr>
            <w:tcW w:w="20" w:type="dxa"/>
            <w:vAlign w:val="bottom"/>
          </w:tcPr>
          <w:p>
            <w:pPr>
              <w:spacing w:after="0"/>
              <w:rPr>
                <w:sz w:val="16"/>
                <w:szCs w:val="16"/>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Amounts</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Value</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Hierarchy</w:t>
            </w:r>
          </w:p>
        </w:tc>
        <w:tc>
          <w:tcPr>
            <w:tcW w:w="940" w:type="dxa"/>
            <w:vAlign w:val="bottom"/>
          </w:tcPr>
          <w:p>
            <w:pPr>
              <w:jc w:val="right"/>
              <w:spacing w:after="0"/>
              <w:rPr>
                <w:sz w:val="20"/>
                <w:szCs w:val="20"/>
                <w:color w:val="auto"/>
              </w:rPr>
            </w:pPr>
            <w:r>
              <w:rPr>
                <w:rFonts w:ascii="Arial" w:cs="Arial" w:eastAsia="Arial" w:hAnsi="Arial"/>
                <w:sz w:val="18"/>
                <w:szCs w:val="18"/>
                <w:color w:val="auto"/>
              </w:rPr>
              <w:t>Amounts</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Value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Hierarchy</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assets (recorded at amortized cost)</w:t>
            </w:r>
          </w:p>
        </w:tc>
        <w:tc>
          <w:tcPr>
            <w:tcW w:w="10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   434,592</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   434,592</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Level 1</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   290,493</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   290,493</w:t>
            </w:r>
          </w:p>
        </w:tc>
        <w:tc>
          <w:tcPr>
            <w:tcW w:w="880" w:type="dxa"/>
            <w:vAlign w:val="bottom"/>
          </w:tcPr>
          <w:p>
            <w:pPr>
              <w:jc w:val="right"/>
              <w:spacing w:after="0"/>
              <w:rPr>
                <w:sz w:val="20"/>
                <w:szCs w:val="20"/>
                <w:color w:val="auto"/>
              </w:rPr>
            </w:pPr>
            <w:r>
              <w:rPr>
                <w:rFonts w:ascii="Arial" w:cs="Arial" w:eastAsia="Arial" w:hAnsi="Arial"/>
                <w:sz w:val="18"/>
                <w:szCs w:val="18"/>
                <w:color w:val="auto"/>
              </w:rPr>
              <w:t>Level 1</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 in banks</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25,696</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25,696</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Level 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23,705</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23,705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1</w:t>
            </w:r>
          </w:p>
        </w:tc>
        <w:tc>
          <w:tcPr>
            <w:tcW w:w="20" w:type="dxa"/>
            <w:vAlign w:val="bottom"/>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Securities – available-for-sale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127,251</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127,251</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color w:val="auto"/>
              </w:rPr>
              <w:t>114,949</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114,949</w:t>
            </w:r>
          </w:p>
        </w:tc>
        <w:tc>
          <w:tcPr>
            <w:tcW w:w="880" w:type="dxa"/>
            <w:vAlign w:val="bottom"/>
          </w:tcPr>
          <w:p>
            <w:pPr>
              <w:jc w:val="right"/>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 held-to-maturity</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6,486</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6,732</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Level 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8,755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Loans – held for sale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3,060</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3,200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color w:val="auto"/>
              </w:rPr>
              <w:t>4,820</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5,012</w:t>
            </w:r>
          </w:p>
        </w:tc>
        <w:tc>
          <w:tcPr>
            <w:tcW w:w="880" w:type="dxa"/>
            <w:vAlign w:val="bottom"/>
          </w:tcPr>
          <w:p>
            <w:pPr>
              <w:jc w:val="right"/>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 held for investment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1,521,222</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1,488,022</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Level 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1,480,970</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1,464,794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Interest receivable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5,725</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5,725</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Level 3</w:t>
            </w:r>
          </w:p>
        </w:tc>
        <w:tc>
          <w:tcPr>
            <w:tcW w:w="940" w:type="dxa"/>
            <w:vAlign w:val="bottom"/>
          </w:tcPr>
          <w:p>
            <w:pPr>
              <w:jc w:val="right"/>
              <w:spacing w:after="0"/>
              <w:rPr>
                <w:sz w:val="20"/>
                <w:szCs w:val="20"/>
                <w:color w:val="auto"/>
              </w:rPr>
            </w:pPr>
            <w:r>
              <w:rPr>
                <w:rFonts w:ascii="Arial" w:cs="Arial" w:eastAsia="Arial" w:hAnsi="Arial"/>
                <w:sz w:val="18"/>
                <w:szCs w:val="18"/>
                <w:color w:val="auto"/>
              </w:rPr>
              <w:t>5,422</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5,422</w:t>
            </w:r>
          </w:p>
        </w:tc>
        <w:tc>
          <w:tcPr>
            <w:tcW w:w="880" w:type="dxa"/>
            <w:vAlign w:val="bottom"/>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(recorded at amortized cost)</w:t>
            </w:r>
          </w:p>
        </w:tc>
        <w:tc>
          <w:tcPr>
            <w:tcW w:w="1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1,983,110</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1,973,064</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color w:val="auto"/>
              </w:rPr>
              <w:t>1,784,001</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1,785,944</w:t>
            </w:r>
          </w:p>
        </w:tc>
        <w:tc>
          <w:tcPr>
            <w:tcW w:w="880" w:type="dxa"/>
            <w:vAlign w:val="bottom"/>
          </w:tcPr>
          <w:p>
            <w:pPr>
              <w:jc w:val="right"/>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Level 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18"/>
                <w:szCs w:val="18"/>
                <w:color w:val="auto"/>
              </w:rPr>
            </w:pPr>
          </w:p>
        </w:tc>
      </w:tr>
      <w:tr>
        <w:trPr>
          <w:trHeight w:val="230"/>
        </w:trPr>
        <w:tc>
          <w:tcPr>
            <w:tcW w:w="3940" w:type="dxa"/>
            <w:vAlign w:val="bottom"/>
          </w:tcPr>
          <w:p>
            <w:pPr>
              <w:ind w:left="160"/>
              <w:spacing w:after="0"/>
              <w:rPr>
                <w:sz w:val="20"/>
                <w:szCs w:val="20"/>
                <w:color w:val="auto"/>
              </w:rPr>
            </w:pPr>
            <w:r>
              <w:rPr>
                <w:rFonts w:ascii="Arial" w:cs="Arial" w:eastAsia="Arial" w:hAnsi="Arial"/>
                <w:sz w:val="18"/>
                <w:szCs w:val="18"/>
                <w:color w:val="auto"/>
              </w:rPr>
              <w:t>Subordinated note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28,336</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28,336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Level 3</w:t>
            </w:r>
          </w:p>
        </w:tc>
        <w:tc>
          <w:tcPr>
            <w:tcW w:w="940" w:type="dxa"/>
            <w:vAlign w:val="bottom"/>
          </w:tcPr>
          <w:p>
            <w:pPr>
              <w:jc w:val="right"/>
              <w:spacing w:after="0"/>
              <w:rPr>
                <w:sz w:val="20"/>
                <w:szCs w:val="20"/>
                <w:color w:val="auto"/>
              </w:rPr>
            </w:pPr>
            <w:r>
              <w:rPr>
                <w:rFonts w:ascii="Arial" w:cs="Arial" w:eastAsia="Arial" w:hAnsi="Arial"/>
                <w:sz w:val="18"/>
                <w:szCs w:val="18"/>
                <w:color w:val="auto"/>
              </w:rPr>
              <w:t>28,320</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28,320</w:t>
            </w:r>
          </w:p>
        </w:tc>
        <w:tc>
          <w:tcPr>
            <w:tcW w:w="880" w:type="dxa"/>
            <w:vAlign w:val="bottom"/>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methods and assumptions were used by the Company to estimate the fair value of its financial instruments at March 31, 2021 and December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 and time deposits in banks</w:t>
      </w:r>
      <w:r>
        <w:rPr>
          <w:rFonts w:ascii="Arial" w:cs="Arial" w:eastAsia="Arial" w:hAnsi="Arial"/>
          <w:sz w:val="18"/>
          <w:szCs w:val="18"/>
          <w:color w:val="auto"/>
        </w:rPr>
        <w:t>: The carrying amount is estimated to be fair value due to the liquid nature of the assets and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securities</w:t>
      </w:r>
      <w:r>
        <w:rPr>
          <w:rFonts w:ascii="Arial" w:cs="Arial" w:eastAsia="Arial" w:hAnsi="Arial"/>
          <w:sz w:val="16"/>
          <w:szCs w:val="16"/>
          <w:color w:val="auto"/>
        </w:rPr>
        <w:t>: See discussion above for the methods and assumptions used by the Company to estimate the fair value of investment securities.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For loans held for sale, the fair value is based on what secondary markets are currently offering for portfolios with similar characteristics.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Loans held for investment:</w:t>
      </w:r>
      <w:r>
        <w:rPr>
          <w:rFonts w:ascii="Arial" w:cs="Arial" w:eastAsia="Arial" w:hAnsi="Arial"/>
          <w:sz w:val="16"/>
          <w:szCs w:val="16"/>
          <w:color w:val="auto"/>
        </w:rPr>
        <w:t xml:space="preserve"> For variable-rate loans that reprice frequently with no significant change in credit risk, fair values are based on carrying values. Fair values for other loans are estimated using discounted cash flow analyses, using interest rates being offered at each reporting date for loans with similar terms to borrowers of comparable creditworthiness without considering widening credit spreads due to market illiquidity, which approximates the exit price notion. The allowance for loan losses is considered to be a reasonable estimate of loan discount for credit quality concerns.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receivable and payable</w:t>
      </w:r>
      <w:r>
        <w:rPr>
          <w:rFonts w:ascii="Arial" w:cs="Arial" w:eastAsia="Arial" w:hAnsi="Arial"/>
          <w:sz w:val="18"/>
          <w:szCs w:val="18"/>
          <w:color w:val="auto"/>
        </w:rPr>
        <w:t>: For interest receivable and payable, the carrying amount is estimated to be fair value.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Derivatives - interest rate swap</w:t>
      </w:r>
      <w:r>
        <w:rPr>
          <w:rFonts w:ascii="Arial" w:cs="Arial" w:eastAsia="Arial" w:hAnsi="Arial"/>
          <w:sz w:val="18"/>
          <w:szCs w:val="18"/>
          <w:color w:val="auto"/>
        </w:rPr>
        <w:t>: See discussion above for a discussion of the methods and assumptions used by the Company to estimate the fair value of derivatives.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311" w:lineRule="auto"/>
        <w:rPr>
          <w:sz w:val="20"/>
          <w:szCs w:val="20"/>
          <w:color w:val="auto"/>
        </w:rPr>
      </w:pPr>
      <w:r>
        <w:rPr>
          <w:rFonts w:ascii="Arial" w:cs="Arial" w:eastAsia="Arial" w:hAnsi="Arial"/>
          <w:sz w:val="16"/>
          <w:szCs w:val="16"/>
          <w:u w:val="single" w:color="auto"/>
          <w:color w:val="auto"/>
        </w:rPr>
        <w:t>Deposits</w:t>
      </w:r>
      <w:r>
        <w:rPr>
          <w:rFonts w:ascii="Arial" w:cs="Arial" w:eastAsia="Arial" w:hAnsi="Arial"/>
          <w:sz w:val="16"/>
          <w:szCs w:val="16"/>
          <w:color w:val="auto"/>
        </w:rPr>
        <w:t>: The fair values for demand deposits are, by definition, equal to the amount payable on demand at the reporting date represented by their carrying amount. Fair values for fixed-rate certificates of deposit are estimated using a discounted cash flow analysis using interest rates being offered at each reporting date by the Company for certificates with similar remaining maturities. For variable rate time deposits, cost approximates fair value.</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u w:val="single" w:color="auto"/>
          <w:color w:val="auto"/>
        </w:rPr>
        <w:t>Subordinated Notes</w:t>
      </w:r>
      <w:r>
        <w:rPr>
          <w:rFonts w:ascii="Arial" w:cs="Arial" w:eastAsia="Arial" w:hAnsi="Arial"/>
          <w:sz w:val="17"/>
          <w:szCs w:val="17"/>
          <w:color w:val="auto"/>
        </w:rPr>
        <w:t>: The fair value is estimated by discounting the future cash flow using the current rates, 3-month LIBOR. Both notes are not registered securities and issued through private placement, resulting in a Level 3 classification. Both notes are recorded at carrying value.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investment securities portfolio consists of obligations of state and political subdivisions, U.S. federal government agencies such as Government National Mortgage Association (“GNMA”) and Small Business Administration (“SBA”), U.S. Government treasuries, U.S. government-sponsored enterprises (“GSEs”), such as Federal National Mortgage Association (“FNMA”), Federal Home Loan Mortgage Corporation (“FHLMC”), and Federal Home Loan Bank of San Francisco (“FHLB”). The Company also invests in residential and commercial mortgage-backed securities (“MBS”/“CMBS”) and collateralized mortgage obligations (“CMOs”) issued or guaranteed by the GSEs, as reflected in the following table.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related to securities held-to-maturity as of March 31, 2021 and December 31, 2020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00" w:type="dxa"/>
            <w:vAlign w:val="bottom"/>
          </w:tcPr>
          <w:p>
            <w:pPr>
              <w:spacing w:after="0"/>
              <w:rPr>
                <w:sz w:val="20"/>
                <w:szCs w:val="20"/>
                <w:color w:val="auto"/>
              </w:rPr>
            </w:pPr>
            <w:r>
              <w:rPr>
                <w:rFonts w:ascii="Arial" w:cs="Arial" w:eastAsia="Arial" w:hAnsi="Arial"/>
                <w:sz w:val="18"/>
                <w:szCs w:val="18"/>
                <w:b w:val="1"/>
                <w:bCs w:val="1"/>
                <w:color w:val="auto"/>
              </w:rPr>
              <w:t>Held-to-maturity:</w:t>
            </w:r>
          </w:p>
        </w:tc>
        <w:tc>
          <w:tcPr>
            <w:tcW w:w="280" w:type="dxa"/>
            <w:vAlign w:val="bottom"/>
          </w:tcPr>
          <w:p>
            <w:pPr>
              <w:spacing w:after="0"/>
              <w:rPr>
                <w:sz w:val="21"/>
                <w:szCs w:val="21"/>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w w:val="96"/>
              </w:rPr>
              <w:t>Amortized</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Gross Unrealized</w:t>
            </w:r>
          </w:p>
        </w:tc>
        <w:tc>
          <w:tcPr>
            <w:tcW w:w="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vMerge w:val="restart"/>
          </w:tcPr>
          <w:p>
            <w:pPr>
              <w:jc w:val="right"/>
              <w:ind w:right="3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Gains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(Losses)</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Obligations of state and political subdivisions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6,486</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246</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held-to-maturity</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6,486</w:t>
            </w: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c>
          <w:tcPr>
            <w:tcW w:w="102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Obligations of state and political subdivisions</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7,979</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776</w:t>
            </w:r>
          </w:p>
        </w:tc>
        <w:tc>
          <w:tcPr>
            <w:tcW w:w="1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held-to-maturity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7,979</w:t>
            </w:r>
          </w:p>
        </w:tc>
        <w:tc>
          <w:tcPr>
            <w:tcW w:w="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776</w:t>
            </w:r>
          </w:p>
        </w:tc>
        <w:tc>
          <w:tcPr>
            <w:tcW w:w="10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securities issued by states and political subdivisions,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 summary of the amortized cost and fair value related to securities available-for-sale as of March 31, 2021 and December 31, 2020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4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760" w:type="dxa"/>
            <w:vAlign w:val="bottom"/>
          </w:tcPr>
          <w:p>
            <w:pPr>
              <w:spacing w:after="0"/>
              <w:rPr>
                <w:sz w:val="21"/>
                <w:szCs w:val="21"/>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Amortized</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Gross Unrealized</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Gains</w:t>
            </w: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3"/>
              </w:rPr>
              <w:t>(Losses)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34,423</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183</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34,189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30,670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U.S. Government treasuries</w:t>
            </w:r>
          </w:p>
        </w:tc>
        <w:tc>
          <w:tcPr>
            <w:tcW w:w="7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10,060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9,981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51,819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607</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51,924</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Collateralized mortgage obligations</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682</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127,654</w:t>
            </w:r>
          </w:p>
        </w:tc>
        <w:tc>
          <w:tcPr>
            <w:tcW w:w="5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913</w:t>
            </w:r>
          </w:p>
        </w:tc>
        <w:tc>
          <w:tcPr>
            <w:tcW w:w="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(1,316)</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127,251</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23,601</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338</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7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32,069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6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57,137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1,291</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Collateralized mortgage obligations</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748</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113,555</w:t>
            </w:r>
          </w:p>
        </w:tc>
        <w:tc>
          <w:tcPr>
            <w:tcW w:w="5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1,761</w:t>
            </w:r>
          </w:p>
        </w:tc>
        <w:tc>
          <w:tcPr>
            <w:tcW w:w="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114,949</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fair value of investment debt securities by contractual maturity at March 31, 2021 and December 31, 2020 are shown below. Expected maturities may differ from contractual maturities if the issuers of the securities have the right to call or prepay obligations with or without call or prepayment penalties.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9"/>
              </w:rPr>
              <w:t>March 31, 2021</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92"/>
              </w:rPr>
              <w:t>December 31, 2020</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Held-to-Maturity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Available-for-Sale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4"/>
          </w:tcPr>
          <w:p>
            <w:pPr>
              <w:jc w:val="right"/>
              <w:ind w:right="440"/>
              <w:spacing w:after="0"/>
              <w:rPr>
                <w:sz w:val="20"/>
                <w:szCs w:val="20"/>
                <w:color w:val="auto"/>
              </w:rPr>
            </w:pPr>
            <w:r>
              <w:rPr>
                <w:rFonts w:ascii="Arial" w:cs="Arial" w:eastAsia="Arial" w:hAnsi="Arial"/>
                <w:sz w:val="18"/>
                <w:szCs w:val="18"/>
                <w:color w:val="auto"/>
              </w:rPr>
              <w:t>Held-to-Maturity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Available-for-Sale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9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Amortized</w:t>
            </w:r>
          </w:p>
        </w:tc>
        <w:tc>
          <w:tcPr>
            <w:tcW w:w="3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Amortized</w:t>
            </w: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Amortized</w:t>
            </w: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Amortized</w:t>
            </w: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Cost</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Cost</w:t>
            </w: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97"/>
              </w:rPr>
              <w:t>Cost</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Cost</w:t>
            </w:r>
          </w:p>
        </w:tc>
        <w:tc>
          <w:tcPr>
            <w:tcW w:w="1000" w:type="dxa"/>
            <w:vAlign w:val="bottom"/>
            <w:gridSpan w:val="3"/>
          </w:tcPr>
          <w:p>
            <w:pPr>
              <w:ind w:left="1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c>
          <w:tcPr>
            <w:tcW w:w="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After one but within five years</w:t>
            </w:r>
          </w:p>
        </w:tc>
        <w:tc>
          <w:tcPr>
            <w:tcW w:w="16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1,135</w:t>
            </w: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2,143</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7,187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2,755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8,340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After ten years</w:t>
            </w:r>
          </w:p>
        </w:tc>
        <w:tc>
          <w:tcPr>
            <w:tcW w:w="16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6,486</w:t>
            </w:r>
          </w:p>
        </w:tc>
        <w:tc>
          <w:tcPr>
            <w:tcW w:w="3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43,497</w:t>
            </w: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43,416</w:t>
            </w:r>
          </w:p>
        </w:tc>
        <w:tc>
          <w:tcPr>
            <w:tcW w:w="16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2,587</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47,656</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48,615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Investment securities not due at a</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single maturity date:</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34,423</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34,189</w:t>
            </w: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23,601</w:t>
            </w: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Collateralized mortgage obligations</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682</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w:t>
            </w:r>
          </w:p>
        </w:tc>
        <w:tc>
          <w:tcPr>
            <w:tcW w:w="3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748</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197"/>
        </w:trPr>
        <w:tc>
          <w:tcPr>
            <w:tcW w:w="2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 Government treasuries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10,060</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9,981</w:t>
            </w: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U.S. Government agencies</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30,670</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30,456</w:t>
            </w:r>
          </w:p>
        </w:tc>
        <w:tc>
          <w:tcPr>
            <w:tcW w:w="3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32,069</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197"/>
        </w:trPr>
        <w:tc>
          <w:tcPr>
            <w:tcW w:w="2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6,486</w:t>
            </w:r>
          </w:p>
        </w:tc>
        <w:tc>
          <w:tcPr>
            <w:tcW w:w="36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6,732</w:t>
            </w:r>
          </w:p>
        </w:tc>
        <w:tc>
          <w:tcPr>
            <w:tcW w:w="280" w:type="dxa"/>
            <w:vAlign w:val="bottom"/>
            <w:tcBorders>
              <w:bottom w:val="single" w:sz="8" w:color="auto"/>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5"/>
              </w:rPr>
              <w:t>127,654</w:t>
            </w:r>
          </w:p>
        </w:tc>
        <w:tc>
          <w:tcPr>
            <w:tcW w:w="28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127,251</w:t>
            </w: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7,979</w:t>
            </w:r>
          </w:p>
        </w:tc>
        <w:tc>
          <w:tcPr>
            <w:tcW w:w="30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8,755</w:t>
            </w:r>
          </w:p>
        </w:tc>
        <w:tc>
          <w:tcPr>
            <w:tcW w:w="300" w:type="dxa"/>
            <w:vAlign w:val="bottom"/>
            <w:tcBorders>
              <w:bottom w:val="single" w:sz="8" w:color="auto"/>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2"/>
              </w:rPr>
              <w:t>113,555</w:t>
            </w:r>
          </w:p>
        </w:tc>
        <w:tc>
          <w:tcPr>
            <w:tcW w:w="28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2"/>
              </w:rPr>
              <w:t>114,949</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8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jc w:val="right"/>
              <w:ind w:right="13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w w:val="96"/>
              </w:rPr>
              <w:t>Sales of investment securities and gross gains and losses are shown in the following table: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For the three months ended</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March 31, 2021</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Sales proceeds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11,456</w:t>
            </w:r>
          </w:p>
        </w:tc>
        <w:tc>
          <w:tcPr>
            <w:tcW w:w="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18,696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realized gains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Pledged investment securities are shown in the following table: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2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March 31, 2021</w:t>
            </w: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Pledged to the State of California: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Secure deposits of public funds and borrowings</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51,351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52,897</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pledged investment securities</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51,351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52,897</w:t>
            </w: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gross unrealized losses and fair values aggregated by investment category and length of time that individual available-for-sale securities have been in a continuous unrealized loss position at March 31, 2021 and December 31, 2020:</w:t>
      </w:r>
    </w:p>
    <w:p>
      <w:pPr>
        <w:sectPr>
          <w:pgSz w:w="11900" w:h="16838" w:orient="portrait"/>
          <w:cols w:equalWidth="0" w:num="1">
            <w:col w:w="11240"/>
          </w:cols>
          <w:pgMar w:left="320" w:top="692" w:right="339" w:bottom="1440" w:gutter="0" w:footer="0" w:header="0"/>
        </w:sect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March 31, 2021</w:t>
            </w:r>
          </w:p>
        </w:tc>
        <w:tc>
          <w:tcPr>
            <w:tcW w:w="4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&lt; 12 continuous months</w:t>
            </w:r>
          </w:p>
        </w:tc>
      </w:tr>
      <w:tr>
        <w:trPr>
          <w:trHeight w:val="195"/>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2"/>
              </w:rPr>
              <w:t>Unrealized</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w w:val="91"/>
              </w:rPr>
              <w:t>Fair value</w:t>
            </w:r>
          </w:p>
        </w:tc>
        <w:tc>
          <w:tcPr>
            <w:tcW w:w="30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loss</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22,411</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4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8,632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rPr>
              <w:t>Obligations of state and political</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94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40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34,998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U.S. Government treasuries</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9,981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temporarily impaired securities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76,022</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3"/>
          </w:tcPr>
          <w:p>
            <w:pPr>
              <w:spacing w:after="0" w:line="20" w:lineRule="exact"/>
              <w:rPr>
                <w:sz w:val="1"/>
                <w:szCs w:val="1"/>
                <w:color w:val="auto"/>
              </w:rPr>
            </w:pPr>
          </w:p>
        </w:tc>
      </w:tr>
      <w:tr>
        <w:trPr>
          <w:trHeight w:val="642"/>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2020</w:t>
            </w:r>
          </w:p>
        </w:tc>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&lt; 12 continuous months</w:t>
            </w: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16"/>
                <w:szCs w:val="16"/>
                <w:color w:val="auto"/>
              </w:rPr>
            </w:pPr>
          </w:p>
        </w:tc>
        <w:tc>
          <w:tcPr>
            <w:tcW w:w="102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1"/>
              </w:rPr>
              <w:t>Fair value</w:t>
            </w:r>
          </w:p>
        </w:tc>
        <w:tc>
          <w:tcPr>
            <w:tcW w:w="1380" w:type="dxa"/>
            <w:vAlign w:val="bottom"/>
            <w:gridSpan w:val="2"/>
          </w:tcPr>
          <w:p>
            <w:pPr>
              <w:ind w:left="180"/>
              <w:spacing w:after="0" w:line="195" w:lineRule="exact"/>
              <w:rPr>
                <w:sz w:val="20"/>
                <w:szCs w:val="20"/>
                <w:color w:val="auto"/>
              </w:rPr>
            </w:pPr>
            <w:r>
              <w:rPr>
                <w:rFonts w:ascii="Arial" w:cs="Arial" w:eastAsia="Arial" w:hAnsi="Arial"/>
                <w:sz w:val="18"/>
                <w:szCs w:val="18"/>
                <w:color w:val="auto"/>
                <w:w w:val="95"/>
              </w:rPr>
              <w:t>Unrealized loss</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1,786</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4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10,800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rPr>
              <w:t>Obligations of state and political</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subdivisions</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3,922</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temporarily impaired securities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16,508</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12 continuous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603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Unrealized</w:t>
      </w:r>
    </w:p>
    <w:p>
      <w:pPr>
        <w:spacing w:after="0" w:line="23"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8"/>
          <w:szCs w:val="18"/>
          <w:color w:val="auto"/>
        </w:rPr>
        <w:t>Fair value</w:t>
      </w:r>
      <w:r>
        <w:rPr>
          <w:sz w:val="20"/>
          <w:szCs w:val="20"/>
          <w:color w:val="auto"/>
        </w:rPr>
        <w:tab/>
      </w:r>
      <w:r>
        <w:rPr>
          <w:rFonts w:ascii="Arial" w:cs="Arial" w:eastAsia="Arial" w:hAnsi="Arial"/>
          <w:sz w:val="15"/>
          <w:szCs w:val="15"/>
          <w:color w:val="auto"/>
        </w:rPr>
        <w:t>loss</w:t>
      </w:r>
    </w:p>
    <w:p>
      <w:pPr>
        <w:spacing w:after="0" w:line="9" w:lineRule="exact"/>
        <w:rPr>
          <w:sz w:val="20"/>
          <w:szCs w:val="20"/>
          <w:color w:val="auto"/>
        </w:rPr>
      </w:pPr>
    </w:p>
    <w:p>
      <w:pPr>
        <w:spacing w:after="0"/>
        <w:tabs>
          <w:tab w:leader="none" w:pos="780" w:val="left"/>
          <w:tab w:leader="none" w:pos="1300" w:val="left"/>
          <w:tab w:leader="none" w:pos="2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500"/>
        <w:spacing w:after="0"/>
        <w:tabs>
          <w:tab w:leader="none" w:pos="2060" w:val="left"/>
        </w:tabs>
        <w:rPr>
          <w:sz w:val="20"/>
          <w:szCs w:val="20"/>
          <w:color w:val="auto"/>
        </w:rPr>
      </w:pPr>
      <w:r>
        <w:rPr>
          <w:rFonts w:ascii="Arial" w:cs="Arial" w:eastAsia="Arial" w:hAnsi="Arial"/>
          <w:sz w:val="18"/>
          <w:szCs w:val="18"/>
          <w:color w:val="auto"/>
        </w:rPr>
        <w:t>14,318</w:t>
      </w:r>
      <w:r>
        <w:rPr>
          <w:sz w:val="20"/>
          <w:szCs w:val="20"/>
          <w:color w:val="auto"/>
        </w:rPr>
        <w:tab/>
      </w:r>
      <w:r>
        <w:rPr>
          <w:rFonts w:ascii="Arial" w:cs="Arial" w:eastAsia="Arial" w:hAnsi="Arial"/>
          <w:sz w:val="18"/>
          <w:szCs w:val="18"/>
          <w:color w:val="auto"/>
        </w:rPr>
        <w:t>(266)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8"/>
                <w:szCs w:val="18"/>
                <w:color w:val="auto"/>
                <w:w w:val="87"/>
              </w:rPr>
              <w:t>$14,318</w:t>
            </w:r>
          </w:p>
        </w:tc>
        <w:tc>
          <w:tcPr>
            <w:tcW w:w="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12 continuous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603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color w:val="auto"/>
        </w:rPr>
        <w:t>Fair value</w:t>
      </w:r>
      <w:r>
        <w:rPr>
          <w:sz w:val="20"/>
          <w:szCs w:val="20"/>
          <w:color w:val="auto"/>
        </w:rPr>
        <w:tab/>
      </w:r>
      <w:r>
        <w:rPr>
          <w:rFonts w:ascii="Arial" w:cs="Arial" w:eastAsia="Arial" w:hAnsi="Arial"/>
          <w:sz w:val="16"/>
          <w:szCs w:val="16"/>
          <w:color w:val="auto"/>
        </w:rPr>
        <w:t>Unrealized loss</w:t>
      </w:r>
    </w:p>
    <w:p>
      <w:pPr>
        <w:spacing w:after="0" w:line="23" w:lineRule="exact"/>
        <w:rPr>
          <w:sz w:val="20"/>
          <w:szCs w:val="20"/>
          <w:color w:val="auto"/>
        </w:rPr>
      </w:pPr>
    </w:p>
    <w:p>
      <w:pPr>
        <w:spacing w:after="0"/>
        <w:tabs>
          <w:tab w:leader="none" w:pos="780" w:val="left"/>
          <w:tab w:leader="none" w:pos="1300" w:val="left"/>
          <w:tab w:leader="none" w:pos="2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500"/>
        <w:spacing w:after="0"/>
        <w:tabs>
          <w:tab w:leader="none" w:pos="2060" w:val="left"/>
        </w:tabs>
        <w:rPr>
          <w:sz w:val="20"/>
          <w:szCs w:val="20"/>
          <w:color w:val="auto"/>
        </w:rPr>
      </w:pPr>
      <w:r>
        <w:rPr>
          <w:rFonts w:ascii="Arial" w:cs="Arial" w:eastAsia="Arial" w:hAnsi="Arial"/>
          <w:sz w:val="18"/>
          <w:szCs w:val="18"/>
          <w:color w:val="auto"/>
        </w:rPr>
        <w:t>15,195</w:t>
      </w:r>
      <w:r>
        <w:rPr>
          <w:sz w:val="20"/>
          <w:szCs w:val="20"/>
          <w:color w:val="auto"/>
        </w:rPr>
        <w:tab/>
      </w:r>
      <w:r>
        <w:rPr>
          <w:rFonts w:ascii="Arial" w:cs="Arial" w:eastAsia="Arial" w:hAnsi="Arial"/>
          <w:sz w:val="18"/>
          <w:szCs w:val="18"/>
          <w:color w:val="auto"/>
        </w:rPr>
        <w:t>(296)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$15,195</w:t>
            </w:r>
          </w:p>
        </w:tc>
        <w:tc>
          <w:tcPr>
            <w:tcW w:w="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securities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 loss position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95"/>
              </w:rPr>
              <w:t>Unrealized</w:t>
            </w:r>
          </w:p>
        </w:tc>
      </w:tr>
      <w:tr>
        <w:trPr>
          <w:trHeight w:val="216"/>
        </w:trPr>
        <w:tc>
          <w:tcPr>
            <w:tcW w:w="1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1"/>
              </w:rPr>
              <w:t>Fair value</w:t>
            </w:r>
          </w:p>
        </w:tc>
        <w:tc>
          <w:tcPr>
            <w:tcW w:w="28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loss</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22,411</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12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22,950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431"/>
        </w:trPr>
        <w:tc>
          <w:tcPr>
            <w:tcW w:w="12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34,998</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9,981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90,340</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3"/>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420" w:type="dxa"/>
            <w:vAlign w:val="bottom"/>
            <w:gridSpan w:val="3"/>
          </w:tcPr>
          <w:p>
            <w:pPr>
              <w:jc w:val="right"/>
              <w:ind w:right="690"/>
              <w:spacing w:after="0"/>
              <w:rPr>
                <w:sz w:val="20"/>
                <w:szCs w:val="20"/>
                <w:color w:val="auto"/>
              </w:rPr>
            </w:pPr>
            <w:r>
              <w:rPr>
                <w:rFonts w:ascii="Arial" w:cs="Arial" w:eastAsia="Arial" w:hAnsi="Arial"/>
                <w:sz w:val="18"/>
                <w:szCs w:val="18"/>
                <w:color w:val="auto"/>
              </w:rPr>
              <w:t>Total securities</w:t>
            </w:r>
          </w:p>
        </w:tc>
      </w:tr>
      <w:tr>
        <w:trPr>
          <w:trHeight w:val="230"/>
        </w:trPr>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in a loss position</w:t>
            </w:r>
          </w:p>
        </w:tc>
      </w:tr>
      <w:tr>
        <w:trPr>
          <w:trHeight w:val="195"/>
        </w:trPr>
        <w:tc>
          <w:tcPr>
            <w:tcW w:w="120" w:type="dxa"/>
            <w:vAlign w:val="bottom"/>
          </w:tcPr>
          <w:p>
            <w:pPr>
              <w:spacing w:after="0"/>
              <w:rPr>
                <w:sz w:val="16"/>
                <w:szCs w:val="16"/>
                <w:color w:val="auto"/>
              </w:rPr>
            </w:pPr>
          </w:p>
        </w:tc>
        <w:tc>
          <w:tcPr>
            <w:tcW w:w="104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1"/>
              </w:rPr>
              <w:t>Fair value</w:t>
            </w:r>
          </w:p>
        </w:tc>
        <w:tc>
          <w:tcPr>
            <w:tcW w:w="1380" w:type="dxa"/>
            <w:vAlign w:val="bottom"/>
            <w:gridSpan w:val="2"/>
          </w:tcPr>
          <w:p>
            <w:pPr>
              <w:ind w:left="160"/>
              <w:spacing w:after="0" w:line="195" w:lineRule="exact"/>
              <w:rPr>
                <w:sz w:val="20"/>
                <w:szCs w:val="20"/>
                <w:color w:val="auto"/>
              </w:rPr>
            </w:pPr>
            <w:r>
              <w:rPr>
                <w:rFonts w:ascii="Arial" w:cs="Arial" w:eastAsia="Arial" w:hAnsi="Arial"/>
                <w:sz w:val="18"/>
                <w:szCs w:val="18"/>
                <w:color w:val="auto"/>
                <w:w w:val="97"/>
              </w:rPr>
              <w:t>Unrealized loss</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1,786</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2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25,995</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432"/>
        </w:trPr>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3,922</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31,703</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740" w:space="220"/>
            <w:col w:w="2520" w:space="220"/>
            <w:col w:w="2540"/>
          </w:cols>
          <w:pgMar w:left="320" w:top="692" w:right="3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113 and 31 securities in unrealized loss positions at March 31, 2021 and December 31, 2020, respectively, which were all classified as available-for-sale. As of March 31, 2021, the investment portfolio included 14 investment securities that had been in a continuous loss position for twelve months or more and 99 investment securities that had been in a loss position for less than twelve months. As of December 31, 2020, the investment portfolio included 14 investment securities that had been in a continuous loss position for twelve months or more and 17 investment securities that had been in a loss position for less than twelve months.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The Company periodically evaluates each available-for-sale investment security in an unrealized loss position to determine if the impairment is temporary or other than temporary and has determined that no investment security is other than temporarily impaired. The unrealized losses are due primarily to interest rate changes and the Company does not intend to sell the securities and it is more likely than not that the Company will not be required to sell the securities before the earlier of the forecasted recovery or the maturity of the underlying debt 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held-to-maturity securities in a continuous loss position at March 31, 2021 or December 31,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Obligations issued or guaranteed by government agencies such as GNMA and SBA or government-sponsored enterprises under conservatorship such as FNMA and FHLMC are guaranteed or sponsored by agencies of the U.S. government and have strong credit profiles. The Company therefore expects to receive all contractual interest payments on-time and believes the risk of credit losses on these securities is remote.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investment in obligations of state and political subdivisions bonds are deemed credit worthy after management’s comprehensive analysis of the issuers’ latest financial information, credit ratings by major credit agencies, and/or credit enhancements.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Non-Marketable Securities Included in 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FHLB Capital Stock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$6.2 million of FHLB stock included in other assets on the consolidated statements of condition at both March 31, 2021 and December 31, 2020. The carrying amounts of these investments are reasonable estimates of fair value because the securities are restricted to member banks and they do not have a readily determinable market value. Based on management’s analysis of FHLB’s financial condition and certain qualitative factors, management determined that the FHLB stock was not impaired at March 31, 2021 and December 31, 2020. On April 29, 2021, FHLB announced a cash dividend for the first quarter of 2021 at an annualized dividend rate of 6.00%, which was paid on May 11, 2021. Cash dividends received on FHLB capital stock in the amount of $0.1 million were recorded as non-interest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and Allowance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portfolio is our largest class of earning assets and typically provides higher yields than other types of earning assets. Associated with the higher yields is an inherent amount of credit risk which we attempt to mitigate with strong underwriting. As of March 31, 2021 and December 31, 2020, total loans held for investment amounted to $1,521 million. The following table presents the balance of each major product type within the Company’s portfolio as of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1"/>
              </w:rPr>
              <w:t>March 31, 2021</w:t>
            </w:r>
          </w:p>
        </w:tc>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December 31, 2020</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3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1,053,417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1,002,497</w:t>
            </w: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11,070</w:t>
            </w: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10,600</w:t>
            </w: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34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66,979</w:t>
            </w:r>
          </w:p>
        </w:tc>
        <w:tc>
          <w:tcPr>
            <w:tcW w:w="38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91,760</w:t>
            </w: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7,843</w:t>
            </w: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11,914</w:t>
            </w: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34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26,216</w:t>
            </w:r>
          </w:p>
        </w:tc>
        <w:tc>
          <w:tcPr>
            <w:tcW w:w="38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30,431</w:t>
            </w: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47,298</w:t>
            </w: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50,164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Commercial</w:t>
            </w:r>
          </w:p>
        </w:tc>
        <w:tc>
          <w:tcPr>
            <w:tcW w:w="3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129,502</w:t>
            </w: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138,676</w:t>
            </w: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34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19,224</w:t>
            </w:r>
          </w:p>
        </w:tc>
        <w:tc>
          <w:tcPr>
            <w:tcW w:w="38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17,526</w:t>
            </w: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Paycheck Protection Program (“PPP”)</w:t>
            </w:r>
          </w:p>
        </w:tc>
        <w:tc>
          <w:tcPr>
            <w:tcW w:w="3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182,876</w:t>
            </w: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147,965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Consumer and other</w:t>
            </w:r>
          </w:p>
        </w:tc>
        <w:tc>
          <w:tcPr>
            <w:tcW w:w="334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4,450</w:t>
            </w:r>
          </w:p>
        </w:tc>
        <w:tc>
          <w:tcPr>
            <w:tcW w:w="38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4,921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1,548,875</w:t>
            </w: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1,506,454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Less: Net deferred loan fees</w:t>
            </w:r>
          </w:p>
        </w:tc>
        <w:tc>
          <w:tcPr>
            <w:tcW w:w="334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5,382</w:t>
            </w:r>
          </w:p>
        </w:tc>
        <w:tc>
          <w:tcPr>
            <w:tcW w:w="38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3,295</w:t>
            </w:r>
          </w:p>
        </w:tc>
      </w:tr>
      <w:tr>
        <w:trPr>
          <w:trHeight w:val="216"/>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33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22,271</w:t>
            </w:r>
          </w:p>
        </w:tc>
        <w:tc>
          <w:tcPr>
            <w:tcW w:w="3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22,189</w:t>
            </w:r>
          </w:p>
        </w:tc>
      </w:tr>
      <w:tr>
        <w:trPr>
          <w:trHeight w:val="21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loans, net</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1,521,222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1,480,970</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33"/>
        </w:trPr>
        <w:tc>
          <w:tcPr>
            <w:tcW w:w="4240" w:type="dxa"/>
            <w:vAlign w:val="bottom"/>
            <w:tcBorders>
              <w:bottom w:val="single" w:sz="8" w:color="DCDCDC"/>
            </w:tcBorders>
          </w:tcPr>
          <w:p>
            <w:pPr>
              <w:spacing w:after="0"/>
              <w:rPr>
                <w:sz w:val="24"/>
                <w:szCs w:val="24"/>
                <w:color w:val="auto"/>
              </w:rPr>
            </w:pPr>
          </w:p>
        </w:tc>
        <w:tc>
          <w:tcPr>
            <w:tcW w:w="3340" w:type="dxa"/>
            <w:vAlign w:val="bottom"/>
            <w:tcBorders>
              <w:bottom w:val="single" w:sz="8" w:color="DCDCDC"/>
            </w:tcBorders>
          </w:tcPr>
          <w:p>
            <w:pPr>
              <w:jc w:val="right"/>
              <w:ind w:right="1770"/>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Underwriting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Commercial loans</w:t>
      </w:r>
      <w:r>
        <w:rPr>
          <w:rFonts w:ascii="Arial" w:cs="Arial" w:eastAsia="Arial" w:hAnsi="Arial"/>
          <w:sz w:val="17"/>
          <w:szCs w:val="17"/>
          <w:color w:val="auto"/>
        </w:rPr>
        <w:t xml:space="preserve"> -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Real estate loans</w:t>
      </w:r>
      <w:r>
        <w:rPr>
          <w:rFonts w:ascii="Arial" w:cs="Arial" w:eastAsia="Arial" w:hAnsi="Arial"/>
          <w:sz w:val="17"/>
          <w:szCs w:val="17"/>
          <w:color w:val="auto"/>
        </w:rPr>
        <w:t xml:space="preserve"> -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by conditions in the real estate markets or in the general economy. The properties securing the Company’s commercial real estate portfolio are diverse in terms of type and geographic location. This diversity helps reduce the Company’s exposure to adverse economic events that affect any single market or industry. Management monitors and evaluates commercial real estate loans based on collateral, geography, and risk grade criteria.</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Construction loans</w:t>
      </w:r>
      <w:r>
        <w:rPr>
          <w:rFonts w:ascii="Arial" w:cs="Arial" w:eastAsia="Arial" w:hAnsi="Arial"/>
          <w:sz w:val="17"/>
          <w:szCs w:val="17"/>
          <w:color w:val="auto"/>
        </w:rPr>
        <w:t xml:space="preserve"> -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by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real estate loans</w:t>
      </w:r>
      <w:r>
        <w:rPr>
          <w:rFonts w:ascii="Arial" w:cs="Arial" w:eastAsia="Arial" w:hAnsi="Arial"/>
          <w:sz w:val="18"/>
          <w:szCs w:val="18"/>
          <w:color w:val="auto"/>
        </w:rPr>
        <w:t xml:space="preserve"> -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u w:val="single" w:color="auto"/>
          <w:color w:val="auto"/>
        </w:rPr>
        <w:t>Farmland loans</w:t>
      </w:r>
      <w:r>
        <w:rPr>
          <w:rFonts w:ascii="Arial" w:cs="Arial" w:eastAsia="Arial" w:hAnsi="Arial"/>
          <w:sz w:val="18"/>
          <w:szCs w:val="18"/>
          <w:color w:val="auto"/>
        </w:rPr>
        <w:t xml:space="preserve"> -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Consumer loans</w:t>
      </w:r>
      <w:r>
        <w:rPr>
          <w:rFonts w:ascii="Arial" w:cs="Arial" w:eastAsia="Arial" w:hAnsi="Arial"/>
          <w:sz w:val="18"/>
          <w:szCs w:val="18"/>
          <w:color w:val="auto"/>
        </w:rPr>
        <w:t xml:space="preserve"> -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Quality Indicators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Loans Rated Pass</w:t>
      </w:r>
      <w:r>
        <w:rPr>
          <w:rFonts w:ascii="Arial" w:cs="Arial" w:eastAsia="Arial" w:hAnsi="Arial"/>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Rated Watch</w:t>
      </w:r>
      <w:r>
        <w:rPr>
          <w:rFonts w:ascii="Arial" w:cs="Arial" w:eastAsia="Arial" w:hAnsi="Arial"/>
          <w:sz w:val="18"/>
          <w:szCs w:val="18"/>
          <w:color w:val="auto"/>
        </w:rPr>
        <w:t>: These are loans which have deficient loan quality and potentially significant issues, but losses do not appear to be imminent, and the issues are expected to be temporary in nature. The significant issues are typically: (a) a history of losses or events that threaten the borrower’s viability, (b) a property with significant depreciation and/or marketability concerns, or (c) poor or deteriorating credit, occasional late payments, limited reserves but loan is generally kept current. If left uncorrected, these potential weaknesses may result in deterioration of the repayment prospects for the asset or in the Company’s credit position at some future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Loans Rated Substandard</w:t>
      </w:r>
      <w:r>
        <w:rPr>
          <w:rFonts w:ascii="Arial" w:cs="Arial" w:eastAsia="Arial" w:hAnsi="Arial"/>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 The substandard loan category includes loans that management has determined not to be impaired, as well as loans that are impaired.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Rated Doubtful</w:t>
      </w:r>
      <w:r>
        <w:rPr>
          <w:rFonts w:ascii="Arial" w:cs="Arial" w:eastAsia="Arial" w:hAnsi="Arial"/>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March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Pass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240" w:type="dxa"/>
            <w:vAlign w:val="bottom"/>
          </w:tcPr>
          <w:p>
            <w:pPr>
              <w:spacing w:after="0"/>
              <w:rPr>
                <w:sz w:val="21"/>
                <w:szCs w:val="21"/>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w w:val="90"/>
              </w:rPr>
              <w:t>Substandard</w:t>
            </w:r>
          </w:p>
        </w:tc>
        <w:tc>
          <w:tcPr>
            <w:tcW w:w="14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1,001,067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16,819</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35,531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1,053,417</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60,764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6,215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66,979</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26,034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26,216</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47,298</w:t>
            </w: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Secured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127,848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129,502</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PPP</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182,876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182,876</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Consumer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r>
      <w:tr>
        <w:trPr>
          <w:trHeight w:val="209"/>
        </w:trPr>
        <w:tc>
          <w:tcPr>
            <w:tcW w:w="3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1,488,403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23,651</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36,821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1,548,875</w:t>
            </w:r>
          </w:p>
        </w:tc>
        <w:tc>
          <w:tcPr>
            <w:tcW w:w="100" w:type="dxa"/>
            <w:vAlign w:val="bottom"/>
          </w:tcPr>
          <w:p>
            <w:pPr>
              <w:spacing w:after="0"/>
              <w:rPr>
                <w:sz w:val="21"/>
                <w:szCs w:val="21"/>
                <w:color w:val="auto"/>
              </w:rPr>
            </w:pP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240" w:type="dxa"/>
            <w:vAlign w:val="bottom"/>
          </w:tcPr>
          <w:p>
            <w:pPr>
              <w:spacing w:after="0"/>
              <w:rPr>
                <w:sz w:val="20"/>
                <w:szCs w:val="20"/>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w w:val="90"/>
              </w:rPr>
              <w:t>Substandard</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950,118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16,836</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1,002,497</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85,860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30,248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136,992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138,676</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147,965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94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1,446,308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24,288</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35,858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1,506,454</w:t>
            </w:r>
          </w:p>
        </w:tc>
        <w:tc>
          <w:tcPr>
            <w:tcW w:w="10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regularly reviews the Company’s credits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Management reviews other consumer loans based on delinquency. Management also reviews loans graded “Watch” or worse, regardless of loan type, no less than quarterly.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age analysis of past due loans by class as of March 31, 2021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Past Due</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w w:val="88"/>
              </w:rPr>
              <w:t>Total Past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1"/>
              </w:rPr>
              <w:t>Total Loans</w:t>
            </w:r>
          </w:p>
        </w:tc>
        <w:tc>
          <w:tcPr>
            <w:tcW w:w="0" w:type="dxa"/>
            <w:vAlign w:val="bottom"/>
          </w:tcPr>
          <w:p>
            <w:pPr>
              <w:spacing w:after="0"/>
              <w:rPr>
                <w:sz w:val="1"/>
                <w:szCs w:val="1"/>
                <w:color w:val="auto"/>
              </w:rPr>
            </w:pPr>
          </w:p>
        </w:tc>
      </w:tr>
      <w:tr>
        <w:trPr>
          <w:trHeight w:val="195"/>
        </w:trPr>
        <w:tc>
          <w:tcPr>
            <w:tcW w:w="34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30-89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Greater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Days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90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Due</w:t>
            </w:r>
          </w:p>
        </w:tc>
        <w:tc>
          <w:tcPr>
            <w:tcW w:w="1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Current</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Receivable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1,053,417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1,053,417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11,070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66,979</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66,979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7,843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26,216</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47,298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Secured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128,492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19,224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PPP</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182,876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Consumer and other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4,248</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Total Loans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1,212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1,547,663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1,548,875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60-89 days past due nor any loans greater than 90 days past due and still accruing as of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 analysis of past due loans by class as of December 31, 2020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Past Due</w:t>
            </w:r>
          </w:p>
        </w:tc>
        <w:tc>
          <w:tcPr>
            <w:tcW w:w="8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1"/>
              </w:rPr>
              <w:t>Total Loans</w:t>
            </w:r>
          </w:p>
        </w:tc>
        <w:tc>
          <w:tcPr>
            <w:tcW w:w="0" w:type="dxa"/>
            <w:vAlign w:val="bottom"/>
          </w:tcPr>
          <w:p>
            <w:pPr>
              <w:spacing w:after="0"/>
              <w:rPr>
                <w:sz w:val="1"/>
                <w:szCs w:val="1"/>
                <w:color w:val="auto"/>
              </w:rPr>
            </w:pPr>
          </w:p>
        </w:tc>
      </w:tr>
      <w:tr>
        <w:trPr>
          <w:trHeight w:val="195"/>
        </w:trPr>
        <w:tc>
          <w:tcPr>
            <w:tcW w:w="34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30-89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89"/>
              </w:rPr>
              <w:t>Greater Than</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Days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90 Days</w:t>
            </w:r>
          </w:p>
        </w:tc>
        <w:tc>
          <w:tcPr>
            <w:tcW w:w="1480" w:type="dxa"/>
            <w:vAlign w:val="bottom"/>
            <w:gridSpan w:val="3"/>
          </w:tcPr>
          <w:p>
            <w:pPr>
              <w:spacing w:after="0"/>
              <w:rPr>
                <w:sz w:val="20"/>
                <w:szCs w:val="20"/>
                <w:color w:val="auto"/>
              </w:rPr>
            </w:pPr>
            <w:r>
              <w:rPr>
                <w:rFonts w:ascii="Arial" w:cs="Arial" w:eastAsia="Arial" w:hAnsi="Arial"/>
                <w:sz w:val="18"/>
                <w:szCs w:val="18"/>
                <w:color w:val="auto"/>
              </w:rPr>
              <w:t>Total Past Due</w:t>
            </w:r>
          </w:p>
        </w:tc>
        <w:tc>
          <w:tcPr>
            <w:tcW w:w="1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Current</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Receivable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1,002,497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91,760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11,914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30,431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50,164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Secured</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138,676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17,526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PPP</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147,965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Consumer and other</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4,784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Total Loans</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1,506,317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1,506,454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60-89 days past due nor any loans greater than 90 days past due and still accruing as of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980" w:type="dxa"/>
            <w:vAlign w:val="bottom"/>
            <w:gridSpan w:val="4"/>
          </w:tcPr>
          <w:p>
            <w:pPr>
              <w:spacing w:after="0"/>
              <w:rPr>
                <w:sz w:val="20"/>
                <w:szCs w:val="20"/>
                <w:color w:val="auto"/>
              </w:rPr>
            </w:pPr>
            <w:r>
              <w:rPr>
                <w:rFonts w:ascii="Arial" w:cs="Arial" w:eastAsia="Arial" w:hAnsi="Arial"/>
                <w:sz w:val="18"/>
                <w:szCs w:val="18"/>
                <w:color w:val="auto"/>
              </w:rPr>
              <w:t>Impaired Loans</w:t>
            </w: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53"/>
        </w:trPr>
        <w:tc>
          <w:tcPr>
            <w:tcW w:w="8480" w:type="dxa"/>
            <w:vAlign w:val="bottom"/>
            <w:gridSpan w:val="10"/>
          </w:tcPr>
          <w:p>
            <w:pPr>
              <w:spacing w:after="0"/>
              <w:rPr>
                <w:sz w:val="20"/>
                <w:szCs w:val="20"/>
                <w:color w:val="auto"/>
              </w:rPr>
            </w:pPr>
            <w:r>
              <w:rPr>
                <w:rFonts w:ascii="Arial" w:cs="Arial" w:eastAsia="Arial" w:hAnsi="Arial"/>
                <w:sz w:val="18"/>
                <w:szCs w:val="18"/>
                <w:color w:val="auto"/>
                <w:w w:val="96"/>
              </w:rPr>
              <w:t>Information related to impaired loans as of March 31, 2021 and December 31, 2020 consisted of the following:</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Unpaid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Average</w:t>
            </w:r>
          </w:p>
        </w:tc>
        <w:tc>
          <w:tcPr>
            <w:tcW w:w="3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Interest</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Recoded</w:t>
            </w:r>
          </w:p>
        </w:tc>
        <w:tc>
          <w:tcPr>
            <w:tcW w:w="46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Principal</w:t>
            </w:r>
          </w:p>
        </w:tc>
        <w:tc>
          <w:tcPr>
            <w:tcW w:w="4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Related</w:t>
            </w:r>
          </w:p>
        </w:tc>
        <w:tc>
          <w:tcPr>
            <w:tcW w:w="3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Recorded</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Income</w:t>
            </w:r>
          </w:p>
        </w:tc>
      </w:tr>
      <w:tr>
        <w:trPr>
          <w:trHeight w:val="230"/>
        </w:trPr>
        <w:tc>
          <w:tcPr>
            <w:tcW w:w="2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(in thousands)</w:t>
            </w:r>
          </w:p>
        </w:tc>
        <w:tc>
          <w:tcPr>
            <w:tcW w:w="1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Investment</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Balance</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Allowance</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Investment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Recognized</w:t>
            </w:r>
          </w:p>
        </w:tc>
      </w:tr>
      <w:tr>
        <w:trPr>
          <w:trHeight w:val="190"/>
        </w:trPr>
        <w:tc>
          <w:tcPr>
            <w:tcW w:w="116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w w:val="91"/>
              </w:rPr>
              <w:t>March 31, 2021</w:t>
            </w:r>
          </w:p>
        </w:tc>
        <w:tc>
          <w:tcPr>
            <w:tcW w:w="1820" w:type="dxa"/>
            <w:vAlign w:val="bottom"/>
            <w:tcBorders>
              <w:bottom w:val="single" w:sz="8" w:color="CCEEFF"/>
            </w:tcBorders>
            <w:gridSpan w:val="2"/>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Commercial secured</w:t>
            </w:r>
          </w:p>
        </w:tc>
        <w:tc>
          <w:tcPr>
            <w:tcW w:w="14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29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513</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56"/>
        </w:trPr>
        <w:tc>
          <w:tcPr>
            <w:tcW w:w="29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December 31, 2020</w:t>
            </w:r>
          </w:p>
        </w:tc>
        <w:tc>
          <w:tcPr>
            <w:tcW w:w="1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1"/>
        </w:trPr>
        <w:tc>
          <w:tcPr>
            <w:tcW w:w="1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Commercial secured</w:t>
            </w:r>
          </w:p>
        </w:tc>
        <w:tc>
          <w:tcPr>
            <w:tcW w:w="1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29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452</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collateral-dependent loans were in process of foreclosure at March 31, 2021 or December 31, 2020. In addition, the weighted average loan-to-value of collateral dependent loans was approximately 48.64% at March 31, 2021 and 50.51% at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w w:val="95"/>
              </w:rPr>
              <w:t>Nonaccrual loans, segregated by class, are as follows as of March 31, 2021 and December 31, 2020:</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700" w:type="dxa"/>
            <w:vAlign w:val="bottom"/>
          </w:tcPr>
          <w:p>
            <w:pPr>
              <w:spacing w:after="0"/>
              <w:rPr>
                <w:sz w:val="20"/>
                <w:szCs w:val="20"/>
                <w:color w:val="auto"/>
              </w:rPr>
            </w:pPr>
            <w:r>
              <w:rPr>
                <w:rFonts w:ascii="Arial" w:cs="Arial" w:eastAsia="Arial" w:hAnsi="Arial"/>
                <w:sz w:val="18"/>
                <w:szCs w:val="18"/>
                <w:color w:val="auto"/>
              </w:rPr>
              <w:t>(in thousands)</w:t>
            </w:r>
          </w:p>
        </w:tc>
        <w:tc>
          <w:tcPr>
            <w:tcW w:w="2020" w:type="dxa"/>
            <w:vAlign w:val="bottom"/>
            <w:gridSpan w:val="4"/>
          </w:tcPr>
          <w:p>
            <w:pPr>
              <w:ind w:left="480"/>
              <w:spacing w:after="0"/>
              <w:rPr>
                <w:sz w:val="20"/>
                <w:szCs w:val="20"/>
                <w:color w:val="auto"/>
              </w:rPr>
            </w:pPr>
            <w:r>
              <w:rPr>
                <w:rFonts w:ascii="Arial" w:cs="Arial" w:eastAsia="Arial" w:hAnsi="Arial"/>
                <w:sz w:val="18"/>
                <w:szCs w:val="18"/>
                <w:color w:val="auto"/>
              </w:rPr>
              <w:t>March 31, 2021</w:t>
            </w:r>
          </w:p>
        </w:tc>
        <w:tc>
          <w:tcPr>
            <w:tcW w:w="1520" w:type="dxa"/>
            <w:vAlign w:val="bottom"/>
            <w:gridSpan w:val="4"/>
          </w:tcPr>
          <w:p>
            <w:pPr>
              <w:spacing w:after="0"/>
              <w:rPr>
                <w:sz w:val="20"/>
                <w:szCs w:val="20"/>
                <w:color w:val="auto"/>
              </w:rPr>
            </w:pPr>
            <w:r>
              <w:rPr>
                <w:rFonts w:ascii="Arial" w:cs="Arial" w:eastAsia="Arial" w:hAnsi="Arial"/>
                <w:sz w:val="18"/>
                <w:szCs w:val="18"/>
                <w:color w:val="auto"/>
                <w:w w:val="94"/>
              </w:rPr>
              <w:t>December 31, 2020</w:t>
            </w:r>
          </w:p>
        </w:tc>
      </w:tr>
      <w:tr>
        <w:trPr>
          <w:trHeight w:val="209"/>
        </w:trPr>
        <w:tc>
          <w:tcPr>
            <w:tcW w:w="7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Real estate loans:</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134</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182</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Commercial Secured</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125</w:t>
            </w:r>
          </w:p>
        </w:tc>
        <w:tc>
          <w:tcPr>
            <w:tcW w:w="6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r>
      <w:tr>
        <w:trPr>
          <w:trHeight w:val="230"/>
        </w:trPr>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foregone interest income related to nonaccrual loans was $6,807 during the three months ended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Troubled Debt Restructuring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loan portfolio includes certain loans that have been modified in a troubled debt restructuring (“TDR”), which are loans for which concessions in terms have been granted because of the borrowers’ financial difficulties. These concessions typically result from the Company’s loss mitigation activities and could include reductions in the interest rate, payment extensions, forgiveness of principal, forbearance, or other actions. Certain TDRs are placed on non-accrual status at the time of restructure and may only be returned to accruing status after considering the borrower’s sustained repayment performance for a reasonable period, generally six months.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 loan is modified, it is measured based upon the present value of future cash flows discounted at the contractual interest rate of the original loan agreement, or the fair value of collateral less selling costs if the loan is collateral dependent. If the value of the modified loan is less than the recorded investment in the loan, impairment is recognized through a specific allowance or a charge-off of the loan.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There were no loans outstanding with a TDR designation during the three months ended March 31, 2021 and December 31, 2020.</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4013 of the Coronavirus Aid, Relief and Economic Security Act (“CARES Act”), as subsequently amended by section 541 of the Economic Aid to Hard-Hit Small Businesses, Nonprofits, and Venues Act, provided TDR relief for borrowers affected by the COVID-19 pandemic. Specifically, the CARES Act, as amended, specified that to be eligible not to be considered a TDR, a loan modification must be (1) related to the COVID-19 pandemic; (2) executed on a loan that was not more than 30 days past due as of December 31, 2019; and (3) executed between March 1, 2020, and the earlier of (a) 60 days after the date of termination of the federal national emergency, or (b) January 1, 2022. In accordance with Section 4013 of the CARES Act, the Company elected to apply the temporary accounting relief provisions for loan modifications that met certain criteria, which would otherwise be designated TDRs under existing GAAP. As of March 31, 2021, three borrowing relationships with six loans totaling $17.2 million were continuing to benefit from payment relief. As of May 31, 2021, one of those relationships with two loans totaling $2.5 million remain on the payment relief program. The weighted average loan-to-value of these two loans was 46.17% as of May 31, 2021. The Company accrues and recognizes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activity in the allowance for loan losses for the periods presented.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Allowance for Loan Losses Rollforward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Real Estate</w:t>
            </w:r>
          </w:p>
        </w:tc>
        <w:tc>
          <w:tcPr>
            <w:tcW w:w="3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9"/>
              </w:rPr>
              <w:t>Commercial</w:t>
            </w: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r>
      <w:tr>
        <w:trPr>
          <w:trHeight w:val="123"/>
        </w:trPr>
        <w:tc>
          <w:tcPr>
            <w:tcW w:w="1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gridSpan w:val="2"/>
          </w:tcPr>
          <w:p>
            <w:pPr>
              <w:ind w:left="120"/>
              <w:spacing w:after="0" w:line="123" w:lineRule="exact"/>
              <w:rPr>
                <w:sz w:val="20"/>
                <w:szCs w:val="20"/>
                <w:color w:val="auto"/>
              </w:rPr>
            </w:pPr>
            <w:r>
              <w:rPr>
                <w:rFonts w:ascii="Arial" w:cs="Arial" w:eastAsia="Arial" w:hAnsi="Arial"/>
                <w:sz w:val="14"/>
                <w:szCs w:val="14"/>
                <w:color w:val="auto"/>
              </w:rPr>
              <w:t>Comml</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8"/>
        </w:trPr>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Land and</w:t>
            </w: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Comml</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w w:val="94"/>
              </w:rPr>
              <w:t>Resid</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Farm-</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7"/>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color w:val="auto"/>
              </w:rPr>
              <w:t>Comml</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4"/>
              </w:rPr>
              <w:t>Devel</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Const</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92"/>
              </w:rPr>
              <w:t>Const</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83"/>
              </w:rPr>
              <w:t>Resid</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land</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Secured</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Unsec</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PPP</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Consu</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97"/>
              </w:rPr>
              <w:t>Unal</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Total</w:t>
            </w:r>
          </w:p>
        </w:tc>
      </w:tr>
      <w:tr>
        <w:trPr>
          <w:trHeight w:val="142"/>
        </w:trPr>
        <w:tc>
          <w:tcPr>
            <w:tcW w:w="1540" w:type="dxa"/>
            <w:vAlign w:val="bottom"/>
            <w:shd w:val="clear" w:color="auto" w:fill="CCEEFF"/>
          </w:tcPr>
          <w:p>
            <w:pPr>
              <w:spacing w:after="0"/>
              <w:rPr>
                <w:sz w:val="12"/>
                <w:szCs w:val="12"/>
                <w:color w:val="auto"/>
              </w:rPr>
            </w:pPr>
          </w:p>
        </w:tc>
        <w:tc>
          <w:tcPr>
            <w:tcW w:w="2780" w:type="dxa"/>
            <w:vAlign w:val="bottom"/>
            <w:gridSpan w:val="7"/>
            <w:shd w:val="clear" w:color="auto" w:fill="CCEEFF"/>
          </w:tcPr>
          <w:p>
            <w:pPr>
              <w:ind w:left="400"/>
              <w:spacing w:after="0" w:line="142" w:lineRule="exact"/>
              <w:rPr>
                <w:sz w:val="20"/>
                <w:szCs w:val="20"/>
                <w:color w:val="auto"/>
              </w:rPr>
            </w:pPr>
            <w:r>
              <w:rPr>
                <w:rFonts w:ascii="Arial" w:cs="Arial" w:eastAsia="Arial" w:hAnsi="Arial"/>
                <w:sz w:val="14"/>
                <w:szCs w:val="14"/>
                <w:b w:val="1"/>
                <w:bCs w:val="1"/>
                <w:color w:val="auto"/>
                <w:w w:val="97"/>
              </w:rPr>
              <w:t>Three months ended March 31, 2021</w:t>
            </w: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5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9,358</w:t>
            </w: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77</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821</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4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5"/>
              </w:rPr>
              <w:t>220</w:t>
            </w:r>
          </w:p>
        </w:tc>
        <w:tc>
          <w:tcPr>
            <w:tcW w:w="24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615</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9,476</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179</w:t>
            </w:r>
          </w:p>
        </w:tc>
        <w:tc>
          <w:tcPr>
            <w:tcW w:w="4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632</w:t>
            </w: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724</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7"/>
              </w:rPr>
              <w:t>22,189</w:t>
            </w:r>
          </w:p>
        </w:tc>
      </w:tr>
      <w:tr>
        <w:trPr>
          <w:trHeight w:val="148"/>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Charge-offs</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Recoveries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87</w:t>
            </w:r>
          </w:p>
        </w:tc>
        <w:tc>
          <w:tcPr>
            <w:tcW w:w="320" w:type="dxa"/>
            <w:vAlign w:val="bottom"/>
          </w:tcPr>
          <w:p>
            <w:pPr>
              <w:spacing w:after="0"/>
              <w:rPr>
                <w:sz w:val="12"/>
                <w:szCs w:val="12"/>
                <w:color w:val="auto"/>
              </w:rPr>
            </w:pPr>
          </w:p>
        </w:tc>
        <w:tc>
          <w:tcPr>
            <w:tcW w:w="5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380" w:type="dxa"/>
            <w:vAlign w:val="bottom"/>
          </w:tcPr>
          <w:p>
            <w:pPr>
              <w:spacing w:after="0"/>
              <w:rPr>
                <w:sz w:val="12"/>
                <w:szCs w:val="12"/>
                <w:color w:val="auto"/>
              </w:rPr>
            </w:pPr>
          </w:p>
        </w:tc>
        <w:tc>
          <w:tcPr>
            <w:tcW w:w="4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137</w:t>
            </w:r>
          </w:p>
        </w:tc>
      </w:tr>
      <w:tr>
        <w:trPr>
          <w:trHeight w:val="148"/>
        </w:trPr>
        <w:tc>
          <w:tcPr>
            <w:tcW w:w="15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Provision (reversal)</w:t>
            </w:r>
          </w:p>
        </w:tc>
        <w:tc>
          <w:tcPr>
            <w:tcW w:w="4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861</w:t>
            </w:r>
          </w:p>
        </w:tc>
        <w:tc>
          <w:tcPr>
            <w:tcW w:w="4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(317)</w:t>
            </w:r>
          </w:p>
        </w:tc>
        <w:tc>
          <w:tcPr>
            <w:tcW w:w="4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6"/>
              </w:rPr>
              <w:t>(30)</w:t>
            </w:r>
          </w:p>
        </w:tc>
        <w:tc>
          <w:tcPr>
            <w:tcW w:w="4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w:t>
            </w: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3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4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(82)</w:t>
            </w:r>
          </w:p>
        </w:tc>
        <w:tc>
          <w:tcPr>
            <w:tcW w:w="3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208</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200</w:t>
            </w:r>
          </w:p>
        </w:tc>
      </w:tr>
      <w:tr>
        <w:trPr>
          <w:trHeight w:val="142"/>
        </w:trPr>
        <w:tc>
          <w:tcPr>
            <w:tcW w:w="1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Ending balance</w:t>
            </w:r>
          </w:p>
        </w:tc>
        <w:tc>
          <w:tcPr>
            <w:tcW w:w="520" w:type="dxa"/>
            <w:vAlign w:val="bottom"/>
            <w:tcBorders>
              <w:bottom w:val="single" w:sz="8" w:color="auto"/>
            </w:tcBorders>
            <w:gridSpan w:val="2"/>
          </w:tcPr>
          <w:p>
            <w:pPr>
              <w:ind w:left="40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10,219</w:t>
            </w:r>
          </w:p>
        </w:tc>
        <w:tc>
          <w:tcPr>
            <w:tcW w:w="4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80</w:t>
            </w:r>
          </w:p>
        </w:tc>
        <w:tc>
          <w:tcPr>
            <w:tcW w:w="3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504</w:t>
            </w:r>
          </w:p>
        </w:tc>
        <w:tc>
          <w:tcPr>
            <w:tcW w:w="4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57</w:t>
            </w:r>
          </w:p>
        </w:tc>
        <w:tc>
          <w:tcPr>
            <w:tcW w:w="4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85"/>
              </w:rPr>
              <w:t>188</w:t>
            </w:r>
          </w:p>
        </w:tc>
        <w:tc>
          <w:tcPr>
            <w:tcW w:w="2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578</w:t>
            </w:r>
          </w:p>
        </w:tc>
        <w:tc>
          <w:tcPr>
            <w:tcW w:w="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8,918</w:t>
            </w:r>
          </w:p>
        </w:tc>
        <w:tc>
          <w:tcPr>
            <w:tcW w:w="3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195</w:t>
            </w:r>
          </w:p>
        </w:tc>
        <w:tc>
          <w:tcPr>
            <w:tcW w:w="4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600</w:t>
            </w:r>
          </w:p>
        </w:tc>
        <w:tc>
          <w:tcPr>
            <w:tcW w:w="3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932</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97"/>
              </w:rPr>
              <w:t>22,271</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29"/>
        </w:trPr>
        <w:tc>
          <w:tcPr>
            <w:tcW w:w="1540" w:type="dxa"/>
            <w:vAlign w:val="bottom"/>
            <w:shd w:val="clear" w:color="auto" w:fill="CCEEFF"/>
          </w:tcPr>
          <w:p>
            <w:pPr>
              <w:spacing w:after="0"/>
              <w:rPr>
                <w:sz w:val="11"/>
                <w:szCs w:val="11"/>
                <w:color w:val="auto"/>
              </w:rPr>
            </w:pPr>
          </w:p>
        </w:tc>
        <w:tc>
          <w:tcPr>
            <w:tcW w:w="2780" w:type="dxa"/>
            <w:vAlign w:val="bottom"/>
            <w:gridSpan w:val="7"/>
            <w:shd w:val="clear" w:color="auto" w:fill="CCEEFF"/>
          </w:tcPr>
          <w:p>
            <w:pPr>
              <w:ind w:left="400"/>
              <w:spacing w:after="0" w:line="129" w:lineRule="exact"/>
              <w:rPr>
                <w:sz w:val="20"/>
                <w:szCs w:val="20"/>
                <w:color w:val="auto"/>
              </w:rPr>
            </w:pPr>
            <w:r>
              <w:rPr>
                <w:rFonts w:ascii="Arial" w:cs="Arial" w:eastAsia="Arial" w:hAnsi="Arial"/>
                <w:sz w:val="14"/>
                <w:szCs w:val="14"/>
                <w:b w:val="1"/>
                <w:bCs w:val="1"/>
                <w:color w:val="auto"/>
                <w:w w:val="97"/>
              </w:rPr>
              <w:t>Three months ended March 31, 2020</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5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6,331</w:t>
            </w: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5"/>
              </w:rPr>
              <w:t>109</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661</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5"/>
              </w:rPr>
              <w:t>116</w:t>
            </w:r>
          </w:p>
        </w:tc>
        <w:tc>
          <w:tcPr>
            <w:tcW w:w="4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5"/>
              </w:rPr>
              <w:t>224</w:t>
            </w:r>
          </w:p>
        </w:tc>
        <w:tc>
          <w:tcPr>
            <w:tcW w:w="24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4,976</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4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601</w:t>
            </w: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427</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7"/>
              </w:rPr>
              <w:t>14,915</w:t>
            </w:r>
          </w:p>
        </w:tc>
      </w:tr>
      <w:tr>
        <w:trPr>
          <w:trHeight w:val="148"/>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Charge-offs</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(224)</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Recoveries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320" w:type="dxa"/>
            <w:vAlign w:val="bottom"/>
          </w:tcPr>
          <w:p>
            <w:pPr>
              <w:spacing w:after="0"/>
              <w:rPr>
                <w:sz w:val="12"/>
                <w:szCs w:val="12"/>
                <w:color w:val="auto"/>
              </w:rPr>
            </w:pPr>
          </w:p>
        </w:tc>
        <w:tc>
          <w:tcPr>
            <w:tcW w:w="5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w:t>
            </w:r>
          </w:p>
        </w:tc>
        <w:tc>
          <w:tcPr>
            <w:tcW w:w="380" w:type="dxa"/>
            <w:vAlign w:val="bottom"/>
          </w:tcPr>
          <w:p>
            <w:pPr>
              <w:spacing w:after="0"/>
              <w:rPr>
                <w:sz w:val="12"/>
                <w:szCs w:val="12"/>
                <w:color w:val="auto"/>
              </w:rPr>
            </w:pPr>
          </w:p>
        </w:tc>
        <w:tc>
          <w:tcPr>
            <w:tcW w:w="4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33</w:t>
            </w:r>
          </w:p>
        </w:tc>
      </w:tr>
      <w:tr>
        <w:trPr>
          <w:trHeight w:val="149"/>
        </w:trPr>
        <w:tc>
          <w:tcPr>
            <w:tcW w:w="15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Provision (reversal)</w:t>
            </w:r>
          </w:p>
        </w:tc>
        <w:tc>
          <w:tcPr>
            <w:tcW w:w="4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1,422</w:t>
            </w:r>
          </w:p>
        </w:tc>
        <w:tc>
          <w:tcPr>
            <w:tcW w:w="4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w:t>
            </w:r>
          </w:p>
        </w:tc>
        <w:tc>
          <w:tcPr>
            <w:tcW w:w="3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258</w:t>
            </w:r>
          </w:p>
        </w:tc>
        <w:tc>
          <w:tcPr>
            <w:tcW w:w="4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w:t>
            </w:r>
          </w:p>
        </w:tc>
        <w:tc>
          <w:tcPr>
            <w:tcW w:w="4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570</w:t>
            </w:r>
          </w:p>
        </w:tc>
        <w:tc>
          <w:tcPr>
            <w:tcW w:w="3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4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306</w:t>
            </w:r>
          </w:p>
        </w:tc>
        <w:tc>
          <w:tcPr>
            <w:tcW w:w="3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1"/>
              </w:rPr>
              <w:t>(209)</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2,600</w:t>
            </w:r>
          </w:p>
        </w:tc>
      </w:tr>
      <w:tr>
        <w:trPr>
          <w:trHeight w:val="142"/>
        </w:trPr>
        <w:tc>
          <w:tcPr>
            <w:tcW w:w="1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Ending balance</w:t>
            </w:r>
          </w:p>
        </w:tc>
        <w:tc>
          <w:tcPr>
            <w:tcW w:w="520" w:type="dxa"/>
            <w:vAlign w:val="bottom"/>
            <w:tcBorders>
              <w:bottom w:val="single" w:sz="8" w:color="auto"/>
            </w:tcBorders>
            <w:gridSpan w:val="2"/>
          </w:tcPr>
          <w:p>
            <w:pPr>
              <w:ind w:left="40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7,753</w:t>
            </w:r>
          </w:p>
        </w:tc>
        <w:tc>
          <w:tcPr>
            <w:tcW w:w="4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85"/>
              </w:rPr>
              <w:t>128</w:t>
            </w:r>
          </w:p>
        </w:tc>
        <w:tc>
          <w:tcPr>
            <w:tcW w:w="3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919</w:t>
            </w:r>
          </w:p>
        </w:tc>
        <w:tc>
          <w:tcPr>
            <w:tcW w:w="4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85"/>
              </w:rPr>
              <w:t>156</w:t>
            </w:r>
          </w:p>
        </w:tc>
        <w:tc>
          <w:tcPr>
            <w:tcW w:w="4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85"/>
              </w:rPr>
              <w:t>241</w:t>
            </w:r>
          </w:p>
        </w:tc>
        <w:tc>
          <w:tcPr>
            <w:tcW w:w="2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1,533</w:t>
            </w:r>
          </w:p>
        </w:tc>
        <w:tc>
          <w:tcPr>
            <w:tcW w:w="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4,720</w:t>
            </w:r>
          </w:p>
        </w:tc>
        <w:tc>
          <w:tcPr>
            <w:tcW w:w="3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114</w:t>
            </w:r>
          </w:p>
        </w:tc>
        <w:tc>
          <w:tcPr>
            <w:tcW w:w="4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708</w:t>
            </w:r>
          </w:p>
        </w:tc>
        <w:tc>
          <w:tcPr>
            <w:tcW w:w="3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218</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97"/>
              </w:rPr>
              <w:t>16,490</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Pledged Loans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FHLB line of credit is secured under terms of a collateral agreement by a pledge of certain qualifying loans with unpaid principal balances of $667.0 million and $1,093.5 million at March 31, 2021 and December 31, 2020, respectively. In addition, the Company pledges eligible Tenants in Common loans, which totaled $37.5 million and $61.6 million at March 31, 2021 and December 31, 2020, respectively, to secure its borrowing capacity with the Federal Reserve Bank of San Francisco. Also, see Note 7, Long Term Debt and Other Borrowings.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Related Party Loans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and expects to have in the future, banking transactions in the ordinary course of its business with directors, officers, principal shareholders, and their businesses or associates. In accordance with applicable regulations and Bank policies, these loans are granted on substantially the same terms, including interest rates and collateral on loans, as those prevailing at the same time for comparable transactions with persons not related to us. Likewise, these transactions do not involve more than the normal risk of collectability or present other unfavorable features. Loan commitment to insiders and affiliates, net of cash collateral, totaled $3.5 million at March 31, 2021 and $1.6 million at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Note 6: Interest-Bearing Deposits</w:t>
            </w: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color w:val="auto"/>
                <w:w w:val="97"/>
              </w:rPr>
              <w:t>Interest-bearing deposits consisted of the following as of March 31, 2021 and December 31, 2020:</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8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March 31, 2021</w:t>
            </w:r>
          </w:p>
        </w:tc>
        <w:tc>
          <w:tcPr>
            <w:tcW w:w="17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4"/>
              </w:rPr>
              <w:t>December 31, 2020</w:t>
            </w:r>
          </w:p>
        </w:tc>
      </w:tr>
      <w:tr>
        <w:trPr>
          <w:trHeight w:val="209"/>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73,681</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49,714</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Money market</w:t>
            </w:r>
          </w:p>
        </w:tc>
        <w:tc>
          <w:tcPr>
            <w:tcW w:w="7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918,400</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844,445</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checking accounts</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155,866</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146,553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Time, $250 or more</w:t>
            </w:r>
          </w:p>
        </w:tc>
        <w:tc>
          <w:tcPr>
            <w:tcW w:w="7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7,663</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7,568</w:t>
            </w:r>
          </w:p>
        </w:tc>
      </w:tr>
      <w:tr>
        <w:trPr>
          <w:trHeight w:val="216"/>
        </w:trPr>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time</w:t>
            </w: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28,675</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40,034</w:t>
            </w:r>
          </w:p>
        </w:tc>
      </w:tr>
      <w:tr>
        <w:trPr>
          <w:trHeight w:val="209"/>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Interest-Bearing Deposits</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1,184,285</w:t>
            </w: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1,088,314</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deposits totaled $36.3 million and $47.6 million as of March 31, 2021 and December 31, 2020. As of March 31, 2021, scheduled maturities of time deposits for the next five years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4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March 31, 2021</w:t>
            </w:r>
          </w:p>
        </w:tc>
      </w:tr>
      <w:tr>
        <w:trPr>
          <w:trHeight w:val="209"/>
        </w:trPr>
        <w:tc>
          <w:tcPr>
            <w:tcW w:w="5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40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09"/>
        </w:trPr>
        <w:tc>
          <w:tcPr>
            <w:tcW w:w="5120" w:type="dxa"/>
            <w:vAlign w:val="bottom"/>
          </w:tcPr>
          <w:p>
            <w:pPr>
              <w:ind w:left="40"/>
              <w:spacing w:after="0"/>
              <w:rPr>
                <w:sz w:val="20"/>
                <w:szCs w:val="20"/>
                <w:color w:val="auto"/>
              </w:rPr>
            </w:pPr>
            <w:r>
              <w:rPr>
                <w:rFonts w:ascii="Arial" w:cs="Arial" w:eastAsia="Arial" w:hAnsi="Arial"/>
                <w:sz w:val="18"/>
                <w:szCs w:val="18"/>
                <w:color w:val="auto"/>
              </w:rPr>
              <w:t>2021</w:t>
            </w:r>
          </w:p>
        </w:tc>
        <w:tc>
          <w:tcPr>
            <w:tcW w:w="4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34,794</w:t>
            </w:r>
          </w:p>
        </w:tc>
      </w:tr>
      <w:tr>
        <w:trPr>
          <w:trHeight w:val="21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r>
      <w:tr>
        <w:trPr>
          <w:trHeight w:val="216"/>
        </w:trPr>
        <w:tc>
          <w:tcPr>
            <w:tcW w:w="5120" w:type="dxa"/>
            <w:vAlign w:val="bottom"/>
          </w:tcPr>
          <w:p>
            <w:pPr>
              <w:ind w:left="40"/>
              <w:spacing w:after="0"/>
              <w:rPr>
                <w:sz w:val="20"/>
                <w:szCs w:val="20"/>
                <w:color w:val="auto"/>
              </w:rPr>
            </w:pPr>
            <w:r>
              <w:rPr>
                <w:rFonts w:ascii="Arial" w:cs="Arial" w:eastAsia="Arial" w:hAnsi="Arial"/>
                <w:sz w:val="18"/>
                <w:szCs w:val="18"/>
                <w:color w:val="auto"/>
              </w:rPr>
              <w:t>2023</w:t>
            </w:r>
          </w:p>
        </w:tc>
        <w:tc>
          <w:tcPr>
            <w:tcW w:w="40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1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0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2025</w:t>
            </w:r>
          </w:p>
        </w:tc>
        <w:tc>
          <w:tcPr>
            <w:tcW w:w="4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Time Deposits</w:t>
            </w:r>
          </w:p>
        </w:tc>
        <w:tc>
          <w:tcPr>
            <w:tcW w:w="4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36,338</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is able to offer customers access to Federal Deposit Insurance Corporation (“FDIC”) insured deposit products in aggregate amounts exceeding current insurance limits. When funds are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 following table shows the composition of network deposits for March 31, 2021 and December 31, 2020. There were no one-way deposits for both periods.</w:t>
      </w:r>
    </w:p>
    <w:p>
      <w:pPr>
        <w:sectPr>
          <w:pgSz w:w="11900" w:h="16838" w:orient="portrait"/>
          <w:cols w:equalWidth="0" w:num="1">
            <w:col w:w="11240"/>
          </w:cols>
          <w:pgMar w:left="320" w:top="692"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Schedule of Composition of Network Deposits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CDARS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40" w:type="dxa"/>
            <w:vAlign w:val="bottom"/>
            <w:gridSpan w:val="4"/>
          </w:tcPr>
          <w:p>
            <w:pPr>
              <w:spacing w:after="0"/>
              <w:rPr>
                <w:sz w:val="20"/>
                <w:szCs w:val="20"/>
                <w:color w:val="auto"/>
              </w:rPr>
            </w:pPr>
            <w:r>
              <w:rPr>
                <w:rFonts w:ascii="Arial" w:cs="Arial" w:eastAsia="Arial" w:hAnsi="Arial"/>
                <w:sz w:val="18"/>
                <w:szCs w:val="18"/>
                <w:color w:val="auto"/>
              </w:rPr>
              <w:t>March 31, 2021</w:t>
            </w:r>
          </w:p>
        </w:tc>
        <w:tc>
          <w:tcPr>
            <w:tcW w:w="1420" w:type="dxa"/>
            <w:vAlign w:val="bottom"/>
            <w:gridSpan w:val="2"/>
          </w:tcPr>
          <w:p>
            <w:pPr>
              <w:spacing w:after="0"/>
              <w:rPr>
                <w:sz w:val="20"/>
                <w:szCs w:val="20"/>
                <w:color w:val="auto"/>
              </w:rPr>
            </w:pPr>
            <w:r>
              <w:rPr>
                <w:rFonts w:ascii="Arial" w:cs="Arial" w:eastAsia="Arial" w:hAnsi="Arial"/>
                <w:sz w:val="18"/>
                <w:szCs w:val="18"/>
                <w:color w:val="auto"/>
                <w:w w:val="88"/>
              </w:rPr>
              <w:t>December 31, 2020</w:t>
            </w:r>
          </w:p>
        </w:tc>
      </w:tr>
      <w:tr>
        <w:trPr>
          <w:trHeight w:val="209"/>
        </w:trPr>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24,438</w:t>
            </w:r>
          </w:p>
        </w:tc>
        <w:tc>
          <w:tcPr>
            <w:tcW w:w="42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35,534</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319,891</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266,519</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692" w:right="339" w:bottom="1440" w:gutter="0" w:footer="0" w:header="0"/>
          <w:type w:val="continuous"/>
        </w:sectPr>
      </w:pPr>
    </w:p>
    <w:p>
      <w:pPr>
        <w:spacing w:after="0" w:line="29" w:lineRule="exact"/>
        <w:rPr>
          <w:sz w:val="20"/>
          <w:szCs w:val="20"/>
          <w:color w:val="auto"/>
        </w:rPr>
      </w:pPr>
    </w:p>
    <w:p>
      <w:pPr>
        <w:ind w:left="8180"/>
        <w:spacing w:after="0"/>
        <w:tabs>
          <w:tab w:leader="none" w:pos="8700" w:val="left"/>
          <w:tab w:leader="none" w:pos="9700" w:val="left"/>
          <w:tab w:leader="none" w:pos="10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344,329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302,053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14605</wp:posOffset>
            </wp:positionV>
            <wp:extent cx="187706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77060" cy="25400"/>
                    </a:xfrm>
                    <a:prstGeom prst="rect">
                      <a:avLst/>
                    </a:prstGeom>
                    <a:noFill/>
                  </pic:spPr>
                </pic:pic>
              </a:graphicData>
            </a:graphic>
          </wp:anchor>
        </w:drawing>
      </w:r>
    </w:p>
    <w:p>
      <w:pPr>
        <w:spacing w:after="0" w:line="2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2021 and December 31, 2020, deposits from related parties (directors, shareholders and officers) totaled $50.6 million and $42.5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recognized on interest-bearing deposits for periods ended March 31, 2021, and 2020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5900" w:type="dxa"/>
            <w:vAlign w:val="bottom"/>
            <w:tcBorders>
              <w:bottom w:val="single" w:sz="8" w:color="auto"/>
            </w:tcBorders>
            <w:gridSpan w:val="2"/>
          </w:tcPr>
          <w:p>
            <w:pPr>
              <w:ind w:left="4560"/>
              <w:spacing w:after="0"/>
              <w:rPr>
                <w:sz w:val="20"/>
                <w:szCs w:val="20"/>
                <w:color w:val="auto"/>
              </w:rPr>
            </w:pPr>
            <w:r>
              <w:rPr>
                <w:rFonts w:ascii="Arial" w:cs="Arial" w:eastAsia="Arial" w:hAnsi="Arial"/>
                <w:sz w:val="18"/>
                <w:szCs w:val="18"/>
                <w:color w:val="auto"/>
              </w:rPr>
              <w:t>March 31, 2021</w:t>
            </w:r>
          </w:p>
        </w:tc>
        <w:tc>
          <w:tcPr>
            <w:tcW w:w="14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7"/>
              </w:rPr>
              <w:t>March 31, 2020</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5020" w:type="dxa"/>
            <w:vAlign w:val="bottom"/>
            <w:shd w:val="clear" w:color="auto" w:fill="CCEEFF"/>
          </w:tcPr>
          <w:p>
            <w:pPr>
              <w:ind w:left="4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Money market</w:t>
            </w:r>
          </w:p>
        </w:tc>
        <w:tc>
          <w:tcPr>
            <w:tcW w:w="50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582</w:t>
            </w:r>
          </w:p>
        </w:tc>
        <w:tc>
          <w:tcPr>
            <w:tcW w:w="6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1,740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checking accounts</w:t>
            </w:r>
          </w:p>
        </w:tc>
        <w:tc>
          <w:tcPr>
            <w:tcW w:w="5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Time, $250 or more</w:t>
            </w:r>
          </w:p>
        </w:tc>
        <w:tc>
          <w:tcPr>
            <w:tcW w:w="50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16"/>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time</w:t>
            </w:r>
          </w:p>
        </w:tc>
        <w:tc>
          <w:tcPr>
            <w:tcW w:w="50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10"/>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Interest-Bearing Expense</w:t>
            </w:r>
          </w:p>
        </w:tc>
        <w:tc>
          <w:tcPr>
            <w:tcW w:w="502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699</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2,367</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33"/>
        </w:trPr>
        <w:tc>
          <w:tcPr>
            <w:tcW w:w="3880" w:type="dxa"/>
            <w:vAlign w:val="bottom"/>
            <w:tcBorders>
              <w:bottom w:val="single" w:sz="8" w:color="DCDCDC"/>
            </w:tcBorders>
          </w:tcPr>
          <w:p>
            <w:pPr>
              <w:spacing w:after="0"/>
              <w:rPr>
                <w:sz w:val="24"/>
                <w:szCs w:val="24"/>
                <w:color w:val="auto"/>
              </w:rPr>
            </w:pPr>
          </w:p>
        </w:tc>
        <w:tc>
          <w:tcPr>
            <w:tcW w:w="5020" w:type="dxa"/>
            <w:vAlign w:val="bottom"/>
            <w:tcBorders>
              <w:bottom w:val="single" w:sz="8" w:color="DCDCDC"/>
            </w:tcBorders>
          </w:tcPr>
          <w:p>
            <w:pPr>
              <w:jc w:val="right"/>
              <w:ind w:right="3090"/>
              <w:spacing w:after="0"/>
              <w:rPr>
                <w:sz w:val="20"/>
                <w:szCs w:val="20"/>
                <w:color w:val="auto"/>
              </w:rPr>
            </w:pPr>
            <w:r>
              <w:rPr>
                <w:rFonts w:ascii="Arial" w:cs="Arial" w:eastAsia="Arial" w:hAnsi="Arial"/>
                <w:sz w:val="18"/>
                <w:szCs w:val="18"/>
                <w:color w:val="auto"/>
              </w:rPr>
              <w:t>26</w:t>
            </w:r>
          </w:p>
        </w:tc>
        <w:tc>
          <w:tcPr>
            <w:tcW w:w="88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7: Long Term Debt and Other Borrowings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Subordinated Notes</w:t>
      </w:r>
      <w:r>
        <w:rPr>
          <w:rFonts w:ascii="Arial" w:cs="Arial" w:eastAsia="Arial" w:hAnsi="Arial"/>
          <w:sz w:val="18"/>
          <w:szCs w:val="18"/>
          <w:color w:val="auto"/>
        </w:rPr>
        <w:t>: On November 8, 2019, the Company completed a private placement of $3.75 million in principal amount of fixed-to-floating rate subordinated notes to certain qualified investors. All of the debt was purchased by four existing members of the Board of Directors or their affiliates. The notes were used for general corporate purposes, capital management, and to support future growth. The subordinated notes have a maturity date of September 15, 2027 and bear interest, payable semi-annually, at the rate of 5.50% per annum until September 15, 2022. On that date, the interest rate will be adjusted to float at a rate equal to the three-month LIBOR rate plus 354.4 basis points (3.73% as of March 31, 2021) until maturity. The notes include a right of prepayment, on or after September 15, 2022 and,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$25 million in principal of fixed-to-floating rate subordinated notes to certain qualified investors, of which $8 million is owned by an entity that is controlled by a member of the Board of Directors and three shareholders. The notes were used for general corporate purposes, capital management, and to support future growth. The subordinated notes have a maturity date of September 15, 2027 and bear interest, payable semi-annually, at the rate of 6.00% per annum until September 15, 2022. On that date, the interest rate will be adjusted to float at a rate equal to the three-month LIBOR rate plus 404.4 basis points (4.23% as of March 31, 2021) until maturity. The notes include a right of prepayment, on or after September 15, 2022 and,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subordinated notes have been structured to qualify as Tier 2 capital for regulatory capital purposes. Debt issuance costs incurred in conjunction with the notes were $0.6 million, of which $0.2 million has been amortized through March 31, 2021. The Company reflects debt issuance costs as a direct deduction from the face of the note. The debt issuance costs are amortized into interest expense through the maturity period. At March 31, 2021 and December 31, 2020, the Company’s subordinated debt outstanding was $28.8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xml:space="preserve"> In 2005, the Company granted the FHLB a blanket lien on all loans receivable (except for construction and agricultural loans) as collateral for a borrowing line. Based on the dollar volume of qualifying loan collateral, the Company had a total financing availability of $476.8 million at March 31, 2021 and $519.3 million at December 31, 2020. At March 31, 2021 and December 31, 2020, the Company had no outstanding borrowings. As of March 31, 2021 and December 31, 2020, the Company had letters of credit (“LC”) issued on its behalf totaling $298.5 million and $293.5 million, respectively, as discussed below.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LCs totaling $13.5 million were pledged to secure State of California deposits and $285.0 million were pledged to secure local agency deposits. As of December 31, 2020, LCs totaling $13.5 million were pledged to secure State of California deposits and $280.0 million were pledged to secure local agency deposits. The outstanding borrowings and the LCs issued reduced the Company’s available borrowing capacity to $178.3 million and $284.8 million as of March 31, 2021 and December 31, 2020,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At March 31, 2021 and December 31, 2020, the Company also had three unsecured federal funds lines of credit totaling $75.0 million with three of its correspondent banks, respectively. There were no amounts outstanding at March 31, 2021 and December 31,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and December 31, 2020, the Company had the ability to borrow from the Federal Reserve Discount Window. At March 31, 2021 and December 31, 2020, the borrowing capacity under this arrangement was $19.7 million and $25.9 million and there were no amounts outstanding, respectively. The borrowing line is secured by liens on the Company’s construction and agricultural loan portfolios.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5, 2021, the Board of Directors declared a $0.75 per share dividend, totaling $8.3 million. On January 21, 2021, the Board of Directors declared a $0.25 per share dividend, totaling $2.8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Incentive Arrangement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 stock-based incentive arrangement for certain executive officers of the Company including the Chief Executive Officer, Chief Operating Officer, Chief Credit Officer, Chief Regulatory Officer, and Chief Banking Officer. The arrangement, which may be renewed annually at the sole discretion of the Board of Directors, provides that these executive officers will receive shares of restricted common stock of the Company, with the number of shares granted based upon achieving certain performance objectives, and vest over three years. These objectives include, but are not limited to, net income adjusted for the provision for loan losses, deposit growth, efficiency ratio, net interest margin, and asset quality. Compensation expense is recognized over the service period, which is equal to the vesting period of the shares based on the fair value of the shares at issue date.</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granted 9,454 and 8,148 restricted shares during the three months ended March 31, 2021 and 2020, respectively. Of the restricted shares granted, 2,722 restricted shares were forfeited as of February 28, 2021 upon the resignation of the Company’s then-Executive Vice President and Chief Operating Officer. At March 31, 2021 and 2020, respectively, there were 6,296 and 11,568 restricted shares outstanding. The holders of unvested restricted stock awards are entitled to dividends on the same per-share ratio as holders of common stock. Tax benefits for dividends paid on unvested restricted stock awards are recorded as tax benefits in the consolidated statements of comprehensive income with a corresponding decrease to current taxes payable.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restricted shares: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9"/>
              </w:rPr>
              <w:t>For the three months ended March 31,</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2021</w:t>
            </w:r>
          </w:p>
        </w:tc>
        <w:tc>
          <w:tcPr>
            <w:tcW w:w="11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2020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Weighted</w:t>
            </w: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Average</w:t>
            </w: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4540" w:type="dxa"/>
            <w:vAlign w:val="bottom"/>
            <w:vMerge w:val="restart"/>
          </w:tcPr>
          <w:p>
            <w:pPr>
              <w:spacing w:after="0"/>
              <w:rPr>
                <w:sz w:val="20"/>
                <w:szCs w:val="20"/>
                <w:color w:val="auto"/>
              </w:rPr>
            </w:pPr>
            <w:r>
              <w:rPr>
                <w:rFonts w:ascii="Arial" w:cs="Arial" w:eastAsia="Arial" w:hAnsi="Arial"/>
                <w:sz w:val="18"/>
                <w:szCs w:val="18"/>
                <w:color w:val="auto"/>
              </w:rPr>
              <w:t>Nonvested Shares</w:t>
            </w: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Grant Date</w:t>
            </w: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20"/>
                <w:szCs w:val="20"/>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Fair Value</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Shares</w:t>
            </w:r>
          </w:p>
        </w:tc>
        <w:tc>
          <w:tcPr>
            <w:tcW w:w="62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of the period balance</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5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Shares 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9,454</w:t>
            </w:r>
          </w:p>
        </w:tc>
        <w:tc>
          <w:tcPr>
            <w:tcW w:w="5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18.00</w:t>
            </w:r>
          </w:p>
        </w:tc>
        <w:tc>
          <w:tcPr>
            <w:tcW w:w="1320" w:type="dxa"/>
            <w:vAlign w:val="bottom"/>
          </w:tcPr>
          <w:p>
            <w:pPr>
              <w:jc w:val="right"/>
              <w:spacing w:after="0"/>
              <w:rPr>
                <w:sz w:val="20"/>
                <w:szCs w:val="20"/>
                <w:color w:val="auto"/>
              </w:rPr>
            </w:pPr>
            <w:r>
              <w:rPr>
                <w:rFonts w:ascii="Arial" w:cs="Arial" w:eastAsia="Arial" w:hAnsi="Arial"/>
                <w:sz w:val="18"/>
                <w:szCs w:val="18"/>
                <w:color w:val="auto"/>
              </w:rPr>
              <w:t>8,148</w:t>
            </w:r>
          </w:p>
        </w:tc>
        <w:tc>
          <w:tcPr>
            <w:tcW w:w="6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Shares 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20.45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Shares 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(2,722)</w:t>
            </w:r>
          </w:p>
        </w:tc>
        <w:tc>
          <w:tcPr>
            <w:tcW w:w="580" w:type="dxa"/>
            <w:vAlign w:val="bottom"/>
          </w:tcPr>
          <w:p>
            <w:pPr>
              <w:spacing w:after="0"/>
              <w:rPr>
                <w:sz w:val="19"/>
                <w:szCs w:val="19"/>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18.88</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the period balance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54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jc w:val="right"/>
              <w:ind w:right="30"/>
              <w:spacing w:after="0"/>
              <w:rPr>
                <w:sz w:val="20"/>
                <w:szCs w:val="20"/>
                <w:color w:val="auto"/>
              </w:rPr>
            </w:pPr>
            <w:r>
              <w:rPr>
                <w:rFonts w:ascii="Arial" w:cs="Arial" w:eastAsia="Arial" w:hAnsi="Arial"/>
                <w:sz w:val="18"/>
                <w:szCs w:val="18"/>
                <w:color w:val="auto"/>
              </w:rPr>
              <w:t>28</w:t>
            </w:r>
          </w:p>
        </w:tc>
        <w:tc>
          <w:tcPr>
            <w:tcW w:w="58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132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 Off-Balance Sheet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Off-balance-sheet risk to loan loss exists up to the face amount of these instruments, although material losses are not anticipated. The same credit policies used to make such commitments are used for loans, including obtaining collateral at exercise of the commitment. The contractual amount of unfunded loan commitments and standby letters of credit not reflected in the consolidated statements of condition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720" w:type="dxa"/>
            <w:vAlign w:val="bottom"/>
            <w:tcBorders>
              <w:bottom w:val="single" w:sz="8" w:color="auto"/>
            </w:tcBorders>
            <w:gridSpan w:val="2"/>
          </w:tcPr>
          <w:p>
            <w:pPr>
              <w:ind w:left="2380"/>
              <w:spacing w:after="0"/>
              <w:rPr>
                <w:sz w:val="20"/>
                <w:szCs w:val="20"/>
                <w:color w:val="auto"/>
              </w:rPr>
            </w:pPr>
            <w:r>
              <w:rPr>
                <w:rFonts w:ascii="Arial" w:cs="Arial" w:eastAsia="Arial" w:hAnsi="Arial"/>
                <w:sz w:val="18"/>
                <w:szCs w:val="18"/>
                <w:color w:val="auto"/>
              </w:rPr>
              <w:t>March 31, 2021</w:t>
            </w:r>
          </w:p>
        </w:tc>
        <w:tc>
          <w:tcPr>
            <w:tcW w:w="17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4"/>
              </w:rPr>
              <w:t>December 31, 2020</w:t>
            </w: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of credit</w:t>
            </w:r>
          </w:p>
        </w:tc>
        <w:tc>
          <w:tcPr>
            <w:tcW w:w="270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110,453</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107,231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Undisbursed Construction Loans</w:t>
            </w:r>
          </w:p>
        </w:tc>
        <w:tc>
          <w:tcPr>
            <w:tcW w:w="27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42,145</w:t>
            </w:r>
          </w:p>
        </w:tc>
        <w:tc>
          <w:tcPr>
            <w:tcW w:w="6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50,442</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Undisbursed Commercial Real Estate Loans</w:t>
            </w:r>
          </w:p>
        </w:tc>
        <w:tc>
          <w:tcPr>
            <w:tcW w:w="2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41,632</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39,946</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Agricultural Lines of Credit</w:t>
            </w:r>
          </w:p>
        </w:tc>
        <w:tc>
          <w:tcPr>
            <w:tcW w:w="27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13,247</w:t>
            </w:r>
          </w:p>
        </w:tc>
        <w:tc>
          <w:tcPr>
            <w:tcW w:w="6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11,553</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Undisbursed Agricultural Real Estate Loans</w:t>
            </w:r>
          </w:p>
        </w:tc>
        <w:tc>
          <w:tcPr>
            <w:tcW w:w="2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5,927</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5,945</w:t>
            </w:r>
          </w:p>
        </w:tc>
      </w:tr>
      <w:tr>
        <w:trPr>
          <w:trHeight w:val="216"/>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469</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w:t>
            </w:r>
          </w:p>
        </w:tc>
      </w:tr>
      <w:tr>
        <w:trPr>
          <w:trHeight w:val="209"/>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commitments and standby letters of credit</w:t>
            </w:r>
          </w:p>
        </w:tc>
        <w:tc>
          <w:tcPr>
            <w:tcW w:w="2700" w:type="dxa"/>
            <w:vAlign w:val="bottom"/>
            <w:tcBorders>
              <w:bottom w:val="single" w:sz="8" w:color="auto"/>
            </w:tcBorders>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213,873</w:t>
            </w:r>
          </w:p>
        </w:tc>
        <w:tc>
          <w:tcPr>
            <w:tcW w:w="6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216,037</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records an allowance for loan losses on unfunded loan commitments at the consolidated statements of condition date based on estimates of the probability that these commitments will be drawn upon according to historical utilization experience of the different types of commitments and historical loss rates determined for pooled funded loans. The allowance for loan losses on unfunded commitments totaled $0.1 million as of March 31, 2021 and December 31, 2020, which is recorded in interest payable and other liabilities in the consolidated statements of condition.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Concentrations of Credit Risk</w:t>
      </w:r>
      <w:r>
        <w:rPr>
          <w:rFonts w:ascii="Arial" w:cs="Arial" w:eastAsia="Arial" w:hAnsi="Arial"/>
          <w:sz w:val="18"/>
          <w:szCs w:val="18"/>
          <w:color w:val="auto"/>
        </w:rPr>
        <w:t>: The Company grants real estate mortgage, real estate construction, commercial and consumer loans to customers primarily in Sacramento, and to a lesser extent, Placer, Shasta, and Yolo counties. Although the Company has a diversified loan portfolio, a substantial portion is secured by commercial and residential real estate.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judgment, a concentration of loans exists in real estate related loans which represented approximately 78.15% of the Company’s loan portfolio at March 31, 2021 and 79.23% of the Company’s loan portfolio at December 31, 2020.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 Concentrations</w:t>
      </w:r>
      <w:r>
        <w:rPr>
          <w:rFonts w:ascii="Arial" w:cs="Arial" w:eastAsia="Arial" w:hAnsi="Arial"/>
          <w:sz w:val="18"/>
          <w:szCs w:val="18"/>
          <w:color w:val="auto"/>
        </w:rPr>
        <w:t>: At March 31, 2021, the Company had 56 deposit relationships that exceeded $5 million each, totaling $964.9 million and representing 48.57% of total deposits. The Company’s largest single deposit relationship at March 31, 2021 totaled $160.4 million or approximately 8.07% of total deposits. Management maintains the Company’s liquidity position and lines of credit with correspondent banks to mitigate the risk of large withdrawals by this group of large depositors.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Correspondent Banking Agreements</w:t>
      </w:r>
      <w:r>
        <w:rPr>
          <w:rFonts w:ascii="Arial" w:cs="Arial" w:eastAsia="Arial" w:hAnsi="Arial"/>
          <w:sz w:val="18"/>
          <w:szCs w:val="18"/>
          <w:color w:val="auto"/>
        </w:rPr>
        <w:t>: The Company maintains funds on deposit with other Federally-insured financial institutions under correspondent banking agreements. Uninsured deposits through these agreements totaled $116.9 million and $118.0 million at March 31, 2021 and December 31, 2020,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for its banking operations under non-cancelable operating leases of various terms. The leases expire at dates through 2030 and provide for renewal options from zero to five years. In the normal course of business, it is expected that these leases will be renewed or replaced by leases on other properties. One of the leases provides for increases in future minimum annual rental payments based on defined increases in the Consumer Price Index while the remaining leases include pre-defined rental increases over the term of the lease.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sublease agreement for space adjacent to the Redding location. The sublease has renewal terms extended to December 31, 2021.</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leases its Natomas branch and Sacramento loan production office from a partnership comprised of some of the Company’s shareholders and certain members of the Board of Directors. The Natomas branch lease extends through February 2025 and the Sacramento loan production office lease extends through April 2023. Rent expense was $0.1 million for the three months ended March 31, 2021 and 2020 under these leases.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future minimum lease payments and weighted average remaining lease terms under the Company’s operating lease arrangements as of March 31,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March 31, 2021</w:t>
            </w:r>
          </w:p>
        </w:tc>
      </w:tr>
      <w:tr>
        <w:trPr>
          <w:trHeight w:val="209"/>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36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Operating Leases</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2022</w:t>
            </w:r>
          </w:p>
        </w:tc>
        <w:tc>
          <w:tcPr>
            <w:tcW w:w="22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2024</w:t>
            </w:r>
          </w:p>
        </w:tc>
        <w:tc>
          <w:tcPr>
            <w:tcW w:w="22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1,068</w:t>
            </w:r>
          </w:p>
        </w:tc>
      </w:tr>
      <w:tr>
        <w:trPr>
          <w:trHeight w:val="210"/>
        </w:trPr>
        <w:tc>
          <w:tcPr>
            <w:tcW w:w="5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1"/>
        </w:trPr>
        <w:tc>
          <w:tcPr>
            <w:tcW w:w="5320" w:type="dxa"/>
            <w:vAlign w:val="bottom"/>
          </w:tcPr>
          <w:p>
            <w:pPr>
              <w:spacing w:after="0"/>
              <w:rPr>
                <w:sz w:val="20"/>
                <w:szCs w:val="20"/>
                <w:color w:val="auto"/>
              </w:rPr>
            </w:pPr>
            <w:r>
              <w:rPr>
                <w:rFonts w:ascii="Arial" w:cs="Arial" w:eastAsia="Arial" w:hAnsi="Arial"/>
                <w:sz w:val="18"/>
                <w:szCs w:val="18"/>
                <w:color w:val="auto"/>
              </w:rPr>
              <w:t>Weighted average remaining term (in years)</w:t>
            </w:r>
          </w:p>
        </w:tc>
        <w:tc>
          <w:tcPr>
            <w:tcW w:w="22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Matters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 and Hedging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 lending arrangement with one of its borrowers that contains a structured prepayment provision and interest rate swap, which for accounting purposes is considered a derivative. The transaction between the Company and the borrower in effect is a floating rate loan combined with a pay floating/receive fixed interest rate swap. To offset the interest rate risk of this lending arrangement, management entered into a separate interest rate swap with a separate counterparty that mirrors the interest rate swap with the borrower. The net economic effect of the arrangement for the borrower is a fixed rate loan of 7.81%, and for the Company is a floating rate loan of LIBOR plus 2.35%, adjusting monthly. The loan balance as of March 31, 2021 and December 31, 2020 was $0.8 million, with monthly amortization through its maturity in April 2027. The notional amounts of the two interest rate swaps are the same as the loan balance and they amortize and mature similarly. The notional amount of the interest rate swap transactions do not represent amounts exchanged by the parties. The amount exchanged is determined by reference to the notional amount and the other terms of the individual interest rate swap agreements. The two derivatives are carried at fair value at $0.1 million and were reported in other assets at March 31, 2021 and December 31, 2020, and $0.1 million was reported in other liabilities at March 31, 2021 and December 31,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April 6, 2021, the Board of Directors declared a $0.80 per common share dividend, totaling $8.8 million.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9, 2021, the Company publicly filed the Registration Statement with the SEC, which was subsequently amended on April 26, 2021 and May 3, 2021. The Registration Statement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at a price to the public of $20.00 per share and began trading on the Nasdaq Stock Market LLC on May 5, 2021. On May 7, 2021, the closing date of the IPO, the Company received total net proceeds of $109.1 million.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in connection with its IPO, the Company terminated its status as a “Subchapter S” corporation. Prior to this date, the Company elected to be taxed for U.S. federal income tax purposes as an S Corporation. As a result, the Company’s earnings were not subject to, and the Company did not pay, U.S. federal income tax and the Company was not required to make any provision or recognize any liability for U.S. federal income tax in its consolidated financial statements. While it was not subject to and did not pay U.S. federal income tax, the Company was subject to, and paid, California S Corporation income tax at a rate of 3.50%.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termination of its status as an S Corporation on May 5, 2021, the Company is obligated to pay U.S. federal income tax and a higher California income tax on its taxable earnings and, thereafter, the consolidated financial statements will reflect a provision for both U.S. federal income tax and California income tax on the Company’s earnings and related deferred income tax assets and liabilities.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20, 2021, the Board of Directors of the Company approved the Company’s payment on May 21, 2021 of the cash distribution of an aggregate of $27.0 million to the Company’s shareholders of record as of May 3, 2021 and prior to its conversion to a C corporation in connection with its IPO. This distribution represents the estimated balance of the Company’s federal accumulated adjustments account for federal income tax purposes, which is the cumulative amount of the Company’s taxable income that has been included in the taxable income of its S corporation shareholders, but not yet distributed to them. This distribution was disclosed in conjunction with the Company’s Registration Statement and corresponding termination of the Company’s S Corporation status and is being paid in fulfilment of the Company’s obligations to its S Corporation shareholders under the previously-disclosed Tax Sharing Agreement, as defined, with such shareholders.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of the financial condition and results of operations, which is unaudited, should be read in conjunction with the related unaudited consolidated financial statements in this Quarterly Report on Form 10-Q and with the audited consolidated financial statements and accompanying notes included in the Company’s Form S-1, which was declared effective by the U.S. Securities and Exchange Commission (“SEC”) on May 4, 2021. Average balances, including balances used in calculating certain financial ratios, are generally comprised of average daily balances.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“Risk Factors.” We assume no obligation to update any of these forward-looking statements, except to the extent required by law. The following discussion presents management’s perspective on our results of operations and financial condition on a consolidated basis. However, because we conduct all of our material business operations through our bank subsidiary, Five Star Bank, the discussion and analysis relates to activities primarily conducted by the Bank.</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references in this report to “we”, “our”, “us”, “the Company”, or “Bancorp” refer to Five Star Bancorp and our consolidated subsidiary. All references to “the Bank” refer to Five Star Bank, our wholly-owned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Headquartered in the greater Sacramento metropolitan area of California, Five Star Bancorp is a bank holding company that operates through its wholly-owned subsidiary, Five Star Bank, a California state-chartered bank. We provide a broad range of banking products and services to small and medium-sized businesses, professionals, and individuals primarily in Northern California through seven branch offices and two loan production offices. Our mission is to strive to become the top business bank in all markets we serve through exceptional service, deep connectivity, and customer empathy. We are dedicated to serving real estate, agricultural, faith based, and small to medium-sized enterprises. We aim to consistently deliver value that meets or exceeds expectations of our shareholders, customers, employees, business partners, and community. In summary, we refer to our mission as “purpose-driven and integrity-centered banking.” As of March 31, 2021, we had total assets of $2,150.7 million, total loans, net of allowance for loan losses, of $1,524.3 million, and total deposits of $1,983.1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Corporation Status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Beginning at our inception, we elected to be taxed for U.S. federal income tax purposes as an S Corporation. In conjunction with our initial public offering (“IPO”), we filed consents from the requisite amount of our shareholders to revoke our S Corporation election with the Internal Revenue Service (the “IRS”), resulting in the commencement of our taxation as a C Corporation for U.S. federal and California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income tax on our taxable earnings for each year (including the short year beginning on the date our status as an S Corporation terminates), and our consolidated financial statements will reflect a provision for U.S. federal income tax and a higher California income tax going forward. As a result of this change, the net income and earnings per share data presented in our historical financial statements and the other financial information set forth in this filing, which (unless otherwise specified) do not include any provision for U.S. federal income tax or the higher California income tax rate, will not be comparable with our future net income and earnings per share (“EPS”) in periods after we commence to be taxed as a C Corporation. As a C Corporation, our net income will be calculated by including a provision for U.S. federal income tax and a higher California income tax rate at a combined statutory rate of 29.56%.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85" w:lineRule="auto"/>
        <w:rPr>
          <w:sz w:val="20"/>
          <w:szCs w:val="20"/>
          <w:color w:val="auto"/>
        </w:rPr>
      </w:pPr>
      <w:r>
        <w:rPr>
          <w:rFonts w:ascii="Arial" w:cs="Arial" w:eastAsia="Arial" w:hAnsi="Arial"/>
          <w:sz w:val="16"/>
          <w:szCs w:val="16"/>
          <w:color w:val="auto"/>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income tax liabilities resulting from our taxable income that was “passed through” to them. However, these distributions were not consistent, as sometimes the distributions were less than or in excess of the shareholders’ estimated U.S. federal and California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income tax. However, in the event of an adjustment to our reported taxable income for periods prior to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accumulated adjustments account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terminates. The amounts that we have historically distributed to our shareholders may not be indicative of the amount of U.S. federal and California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deferred tax assets and liabilities will be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will be recognized in net income in the second quarter of fiscal year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Company Costs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Following the completion of our IPO, we incur additional costs associated with operating as a public company. These costs will include additional personnel, legal, consulting, regulatory, insurance, accounting, investor relations, and other expenses that we did not incur as a private company.</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Sarbanes-Oxley Act, as well as rules adopted by the SEC, the Federal Deposit Insurance Corporation (“FDIC”), the California Department of Financial Protection and Innovation (“DFPI”), and national securities exchanges, require public companies to implement specified corporate governance practices that were inapplicable to us as a private company. These additional rules and regulations have increased, and are expected to continue to increase, our legal, regulatory, and financial compliance costs and will make some activities more time-consuming and costly.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accounting principles generally accepted in the United States of America (“GAAP”) as contained within the Financial Accounting Standards Board’s (“FASB”) Accounting Standards Codification (“ASC”) and rules and regulations of the SEC, including the instructions to Regulation S 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2020, and the notes thereto.</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most significant accounting policies are described in Note 1, Summary of Significant Accounting Policies in our audited financial statements included in our Form S-1. We have identified accounting policies and estimates, discussed below,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such extended transition period, which means that when a standard is issued or revised and it has different application dates for public or private companies, we may adopt the standard on the application date for private companies.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and Allowance for Loan Losses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allowance for loan losses represents the estimated probable incurred loan losses in our loan portfolio. 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 off amounts, if any, are credited to the allowance for loan losses.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consider an originated loan to be impaired when it is probable that the collection of all amounts due, according to the contractual terms is unlikely. Loans that experience insignificant payment delays and payment shortfalls generally are not classified as impaired. Management determines the significance of payment delays and payment shortfalls on a case-by-case basis, taking into consideration all of the facts and circumstances surrounding the loan and the borrower, including the length of the delay, the reasons for the delay, the borrower’s prior payment record, and the amount of the shortfall in relation to the principal and interest owed. Interest income is recognized on impaired loans in the same manner as nonaccrual loans.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a loan to be a troubled debt restructuring (“TDR”) when we have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CARES Act, as amended by the Consolidated Appropriations Act, 2021,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require an entity to maximize the use of observable inputs and minimize the use of unobservable inputs when measuring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a reporting entity’s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Available-for-sale securities are recorded at fair value on a recurring basis. When available, quoted market prices (Level 1)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Level 2 securities include U.S. agencies or government-sponsored agencies’ debt securities, mortgage-backed securities, government agency-issued, privately-issued collateralized mortgage obligations, and corporate bonds.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impaired loans that are collateral dependent and other real estate owned (“OREO”).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cost is recognized for stock options and restricted stock awards issued to executives and directors, based on the fair value of these awards at the date of grant. The fair value of restricted stock awards is determined by considering projections of discounted cash flows available to shareholders (paid in the form of dividends) as well as comparable values for publicly traded banks of similar size and complexity. A Black-Scholes model is utilized to estimate the grant date fair value of stock options, while the estimated fair value of our common stock at the date of grant is used for restricted stock awards. Compensation cost is recognized over the required service period, generally defined as the vesting period. For awards with graded vesting, compensation cost is recognized on a straight-line basis over the requisite service period for the entire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Impairment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each consolidated financial statement date, management assesses each investment to determine if impaired investments are temporarily impaired or if the impairment is other than temporary. Various factors are considered in the assessment, including the nature of the investment, the cause of the impairment, the severity and duration of the impairment, credit ratings and other credit related factors such as third party guarantees and volatility of the security’s fair value. This assessment also includes a determination as to whether we intend to sell the security, or if it is more likely than not that we will be required to sell the security before recovery of its amortized cost basis less any current-period credit losses. If we intend to sell a security or if it is more likely than not that we will be required to sell the security before recovery, an other-than-temporary impairment (“OTTI”) write-down is recognized in earnings equal to the entire difference between the security’s amortized cost basis and its fair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 Corporation net income for the first quarter of 2021 totaled $10.3 million, compared to $7.0 million in the first quarter of 2020. S Corporation EPS was $0.93 in the first quarter of 2021, compared to $0.72 in the same quarter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highlights of our operating and financial performance for the periods presented:</w:t>
      </w:r>
    </w:p>
    <w:p>
      <w:pPr>
        <w:spacing w:after="0" w:line="22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Assets. </w:t>
      </w:r>
      <w:r>
        <w:rPr>
          <w:rFonts w:ascii="Arial" w:cs="Arial" w:eastAsia="Arial" w:hAnsi="Arial"/>
          <w:sz w:val="18"/>
          <w:szCs w:val="18"/>
          <w:color w:val="auto"/>
        </w:rPr>
        <w:t>Total assets were $2,150.7 million as of March 31, 2021, representing a $196.9 million, or 10.08%, increase compared to $1,953.8 million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 primary drivers of this increase are discussed below.</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Total loans were $1,546.6 million at March 31, 2021, compared to $1,508.0 million at December 31, 2020, an increase of $38.6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2.56%. The increase was attributed to a $50.9 million net increase in commercial real estate loans, a $34.9 million net increase in Paycheck Protection Program (“PPP”) loans, and partially offset by a $43.4 million net decrease in all other non-PPP loans.</w:t>
      </w:r>
    </w:p>
    <w:p>
      <w:pPr>
        <w:spacing w:after="0" w:line="210"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PPP Loans. </w:t>
      </w:r>
      <w:r>
        <w:rPr>
          <w:rFonts w:ascii="Arial" w:cs="Arial" w:eastAsia="Arial" w:hAnsi="Arial"/>
          <w:sz w:val="17"/>
          <w:szCs w:val="17"/>
          <w:color w:val="auto"/>
        </w:rPr>
        <w:t>As of March 31, 2021, there were 649 PPP loans outstanding totaling $182.9 million, which included 448 loans totaling $109.2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funded during the first quarter of 2021 under the second round of the PPP stimulus plan. Approximately 374 of these PPP loans, or 57.63% of total PPP loans as of March 31, 2021, totaling $22.8 million were less than or equal to $0.2 million and had access to streamlined forgiveness processing. As of March 31, 2021, 791 PPP loan forgiveness applications had been submitted to the Small Business Administration (“SBA”) and forgiveness payments had been received on 753 of these PPP loans, totaling $169.2 million in principal and interest. As of May 24, 2021, an additional 135 PPP loan forgiveness applications had been submitted to the SBA and forgiveness payments had been received on an additional 144 PPP loans, totaling $28.5 million in principal and interest. We expect full forgiveness of the first round of PPP loans to be completed in the near future, with 33 PPP loan forgiveness applications remaining to be submitted as of May 24, 2021.</w:t>
      </w:r>
    </w:p>
    <w:p>
      <w:pPr>
        <w:spacing w:after="0" w:line="205" w:lineRule="exact"/>
        <w:rPr>
          <w:rFonts w:ascii="Arial" w:cs="Arial" w:eastAsia="Arial" w:hAnsi="Arial"/>
          <w:sz w:val="17"/>
          <w:szCs w:val="17"/>
          <w:color w:val="auto"/>
        </w:rPr>
      </w:pPr>
    </w:p>
    <w:p>
      <w:pPr>
        <w:jc w:val="both"/>
        <w:ind w:left="340" w:hanging="332"/>
        <w:spacing w:after="0" w:line="279"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COVID-19 Deferments. </w:t>
      </w:r>
      <w:r>
        <w:rPr>
          <w:rFonts w:ascii="Arial" w:cs="Arial" w:eastAsia="Arial" w:hAnsi="Arial"/>
          <w:sz w:val="17"/>
          <w:szCs w:val="17"/>
          <w:color w:val="auto"/>
        </w:rPr>
        <w:t>As of March 31, 2021, three borrowing relationships with six loans totaling $17.2 million were still on COVID-19 deferment.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loans that ended COVID-19 deferments in the quarter ended March 31, 2021 returned to their contractual payment structures prior to the COVID-19 pandemic with no risk rating downgrades to classified nor any TDR, and we anticipate that the remaining loans on COVID-19 deferment will return to their pre-COVID-19 contractual payment status after their COVID-19 deferments end.</w:t>
      </w:r>
    </w:p>
    <w:p>
      <w:pPr>
        <w:spacing w:after="0" w:line="171"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Nonaccrual Loans. </w:t>
      </w:r>
      <w:r>
        <w:rPr>
          <w:rFonts w:ascii="Arial" w:cs="Arial" w:eastAsia="Arial" w:hAnsi="Arial"/>
          <w:sz w:val="18"/>
          <w:szCs w:val="18"/>
          <w:color w:val="auto"/>
        </w:rPr>
        <w:t>Credit quality remains strong, with non-accrual loans representing $0.5 million, or 0.03% of total loans, at March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$0.5 million, or 0.03% of total loans, at December 31, 2020. The ratio of allowance for loan losses to total loans was 1.44% at March 31, 2021 and 1.47% at December 31, 2020.</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Average Assets (“ROAA”) and Return on Average Equity (“ROAE”). </w:t>
      </w:r>
      <w:r>
        <w:rPr>
          <w:rFonts w:ascii="Arial" w:cs="Arial" w:eastAsia="Arial" w:hAnsi="Arial"/>
          <w:sz w:val="18"/>
          <w:szCs w:val="18"/>
          <w:color w:val="auto"/>
        </w:rPr>
        <w:t>S-Corporation ROAA and ROAE were 2.05% and 32.08%,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for the quarter ended March 31, 2021. These reflect meaningful increases as ROAA was 1.93% and ROAE was 26.27% in the first quarter of 2020.</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Interest Margin. </w:t>
      </w:r>
      <w:r>
        <w:rPr>
          <w:rFonts w:ascii="Arial" w:cs="Arial" w:eastAsia="Arial" w:hAnsi="Arial"/>
          <w:sz w:val="18"/>
          <w:szCs w:val="18"/>
          <w:color w:val="auto"/>
        </w:rPr>
        <w:t>Net interest margin was 3.83% and 4.02% in the first quarters of 2021 and 2020, respectively. The decrease from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a year ago was primarily attributed to the lower interest rate environment.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Efficiency Ratio. </w:t>
      </w:r>
      <w:r>
        <w:rPr>
          <w:rFonts w:ascii="Arial" w:cs="Arial" w:eastAsia="Arial" w:hAnsi="Arial"/>
          <w:sz w:val="18"/>
          <w:szCs w:val="18"/>
          <w:color w:val="auto"/>
        </w:rPr>
        <w:t>Efficiency ratio was 44.77% for the three months ended March 31, 2021, up from 38.19% in the comparative period a year ago.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from the same quarter a year ago was primarily attributed to expenses incurred to support organizational matters leading up to the IPO as well as an increase in full time equivalent employees.</w:t>
      </w:r>
    </w:p>
    <w:p>
      <w:pPr>
        <w:spacing w:after="0" w:line="183"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Deposits. </w:t>
      </w:r>
      <w:r>
        <w:rPr>
          <w:rFonts w:ascii="Arial" w:cs="Arial" w:eastAsia="Arial" w:hAnsi="Arial"/>
          <w:sz w:val="17"/>
          <w:szCs w:val="17"/>
          <w:color w:val="auto"/>
        </w:rPr>
        <w:t>Total deposits increased $199.1 million in the first three months of 2021 from $1,784.0 million to $1,983.1 million at March 31, 2021.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was primarily due to increases in PPP borrower-related balances and normal fluctuations in some of our large accounts. Non-interest-bearing deposits represented 40.28% of total deposits as of the end of the first quarter of 2021, compared to 39.00% as of December 31, 2020. The cost of total deposits was 0.24% in the first quarter of 2021, a decrease of 59 basis compared to the first quarter of 2020.</w:t>
      </w:r>
    </w:p>
    <w:p>
      <w:pPr>
        <w:spacing w:after="0" w:line="171"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Capital Ratios</w:t>
      </w:r>
      <w:r>
        <w:rPr>
          <w:rFonts w:ascii="Arial" w:cs="Arial" w:eastAsia="Arial" w:hAnsi="Arial"/>
          <w:sz w:val="18"/>
          <w:szCs w:val="18"/>
          <w:color w:val="auto"/>
        </w:rPr>
        <w:t>. All capital ratios were above well-capitalized regulatory requirements as of March 31, 2021. The total risk-based capital ratio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was 12.09% at March 31, 2021, compared to 12.18% at December 31, 2020. Tier 1 capital to average assets was 6.37% at March 31, 2021, compared to 6.58% at December 31, 2020.</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Board of Directors declared cash dividends of $0.75 per share on January 5, 2021 and $0.25 per share on January 21,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the financial results are presented in the following tables: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As of</w:t>
            </w:r>
          </w:p>
        </w:tc>
        <w:tc>
          <w:tcPr>
            <w:tcW w:w="1200" w:type="dxa"/>
            <w:vAlign w:val="bottom"/>
          </w:tcPr>
          <w:p>
            <w:pPr>
              <w:spacing w:after="0"/>
              <w:rPr>
                <w:sz w:val="19"/>
                <w:szCs w:val="19"/>
                <w:color w:val="auto"/>
              </w:rPr>
            </w:pPr>
          </w:p>
        </w:tc>
      </w:tr>
      <w:tr>
        <w:trPr>
          <w:trHeight w:val="234"/>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980" w:type="dxa"/>
            <w:vAlign w:val="bottom"/>
            <w:tcBorders>
              <w:bottom w:val="single" w:sz="8" w:color="auto"/>
            </w:tcBorders>
            <w:gridSpan w:val="2"/>
          </w:tcPr>
          <w:p>
            <w:pPr>
              <w:ind w:left="2700"/>
              <w:spacing w:after="0"/>
              <w:rPr>
                <w:sz w:val="20"/>
                <w:szCs w:val="20"/>
                <w:color w:val="auto"/>
              </w:rPr>
            </w:pPr>
            <w:r>
              <w:rPr>
                <w:rFonts w:ascii="Arial" w:cs="Arial" w:eastAsia="Arial" w:hAnsi="Arial"/>
                <w:sz w:val="18"/>
                <w:szCs w:val="18"/>
                <w:b w:val="1"/>
                <w:bCs w:val="1"/>
                <w:color w:val="auto"/>
                <w:w w:val="98"/>
              </w:rPr>
              <w:t>March 31, 2021</w:t>
            </w:r>
          </w:p>
        </w:tc>
        <w:tc>
          <w:tcPr>
            <w:tcW w:w="20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financial condition data:</w:t>
            </w:r>
          </w:p>
        </w:tc>
        <w:tc>
          <w:tcPr>
            <w:tcW w:w="2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980" w:type="dxa"/>
            <w:vAlign w:val="bottom"/>
          </w:tcPr>
          <w:p>
            <w:pPr>
              <w:ind w:left="27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2,150,737</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1,953,765</w:t>
            </w:r>
          </w:p>
        </w:tc>
      </w:tr>
      <w:tr>
        <w:trPr>
          <w:trHeight w:val="21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net</w:t>
            </w:r>
          </w:p>
        </w:tc>
        <w:tc>
          <w:tcPr>
            <w:tcW w:w="29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1,524,282</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1,485,790</w:t>
            </w: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9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1,983,110</w:t>
            </w:r>
          </w:p>
        </w:tc>
        <w:tc>
          <w:tcPr>
            <w:tcW w:w="8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1,784,001</w:t>
            </w:r>
          </w:p>
        </w:tc>
      </w:tr>
      <w:tr>
        <w:trPr>
          <w:trHeight w:val="216"/>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net</w:t>
            </w:r>
          </w:p>
        </w:tc>
        <w:tc>
          <w:tcPr>
            <w:tcW w:w="29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28,336</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28,320</w:t>
            </w: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29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131,377</w:t>
            </w:r>
          </w:p>
        </w:tc>
        <w:tc>
          <w:tcPr>
            <w:tcW w:w="8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133,775</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quality ratios:</w:t>
            </w:r>
          </w:p>
        </w:tc>
        <w:tc>
          <w:tcPr>
            <w:tcW w:w="4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Allowance for loan losses to total loans</w:t>
            </w:r>
          </w:p>
        </w:tc>
        <w:tc>
          <w:tcPr>
            <w:tcW w:w="4660" w:type="dxa"/>
            <w:vAlign w:val="bottom"/>
          </w:tcPr>
          <w:p>
            <w:pPr>
              <w:jc w:val="right"/>
              <w:ind w:right="590"/>
              <w:spacing w:after="0"/>
              <w:rPr>
                <w:sz w:val="20"/>
                <w:szCs w:val="20"/>
                <w:color w:val="auto"/>
              </w:rPr>
            </w:pPr>
            <w:r>
              <w:rPr>
                <w:rFonts w:ascii="Arial" w:cs="Arial" w:eastAsia="Arial" w:hAnsi="Arial"/>
                <w:sz w:val="18"/>
                <w:szCs w:val="18"/>
                <w:color w:val="auto"/>
              </w:rPr>
              <w:t>1.44%</w:t>
            </w: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56"/>
        </w:trPr>
        <w:tc>
          <w:tcPr>
            <w:tcW w:w="53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w w:val="94"/>
              </w:rPr>
              <w:t xml:space="preserve">Allowance for loan losses to total loans, excluding SBA PPP loans </w:t>
            </w:r>
            <w:r>
              <w:rPr>
                <w:rFonts w:ascii="Arial" w:cs="Arial" w:eastAsia="Arial" w:hAnsi="Arial"/>
                <w:sz w:val="29"/>
                <w:szCs w:val="29"/>
                <w:color w:val="auto"/>
                <w:w w:val="94"/>
                <w:vertAlign w:val="superscript"/>
              </w:rPr>
              <w:t>1</w:t>
            </w:r>
          </w:p>
        </w:tc>
        <w:tc>
          <w:tcPr>
            <w:tcW w:w="4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1.63%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Allowance for loan losses to non-accrual loans</w:t>
            </w:r>
          </w:p>
        </w:tc>
        <w:tc>
          <w:tcPr>
            <w:tcW w:w="4660" w:type="dxa"/>
            <w:vAlign w:val="bottom"/>
          </w:tcPr>
          <w:p>
            <w:pPr>
              <w:jc w:val="right"/>
              <w:ind w:right="650"/>
              <w:spacing w:after="0"/>
              <w:rPr>
                <w:sz w:val="20"/>
                <w:szCs w:val="20"/>
                <w:color w:val="auto"/>
              </w:rPr>
            </w:pPr>
            <w:r>
              <w:rPr>
                <w:rFonts w:ascii="Arial" w:cs="Arial" w:eastAsia="Arial" w:hAnsi="Arial"/>
                <w:sz w:val="18"/>
                <w:szCs w:val="18"/>
                <w:color w:val="auto"/>
              </w:rPr>
              <w:t>43.42x</w:t>
            </w:r>
          </w:p>
        </w:tc>
        <w:tc>
          <w:tcPr>
            <w:tcW w:w="1260" w:type="dxa"/>
            <w:vAlign w:val="bottom"/>
          </w:tcPr>
          <w:p>
            <w:pPr>
              <w:jc w:val="right"/>
              <w:spacing w:after="0"/>
              <w:rPr>
                <w:sz w:val="20"/>
                <w:szCs w:val="20"/>
                <w:color w:val="auto"/>
              </w:rPr>
            </w:pPr>
            <w:r>
              <w:rPr>
                <w:rFonts w:ascii="Arial" w:cs="Arial" w:eastAsia="Arial" w:hAnsi="Arial"/>
                <w:sz w:val="18"/>
                <w:szCs w:val="18"/>
                <w:color w:val="auto"/>
              </w:rPr>
              <w:t>49.09x</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loans to total loans</w:t>
            </w:r>
          </w:p>
        </w:tc>
        <w:tc>
          <w:tcPr>
            <w:tcW w:w="4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46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to total assets ratio</w:t>
            </w:r>
          </w:p>
        </w:tc>
        <w:tc>
          <w:tcPr>
            <w:tcW w:w="4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6.11%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56"/>
        </w:trPr>
        <w:tc>
          <w:tcPr>
            <w:tcW w:w="53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Tangible common equity to tangible assets </w:t>
            </w:r>
            <w:r>
              <w:rPr>
                <w:rFonts w:ascii="Arial" w:cs="Arial" w:eastAsia="Arial" w:hAnsi="Arial"/>
                <w:sz w:val="29"/>
                <w:szCs w:val="29"/>
                <w:color w:val="auto"/>
                <w:vertAlign w:val="superscript"/>
              </w:rPr>
              <w:t>2</w:t>
            </w:r>
          </w:p>
        </w:tc>
        <w:tc>
          <w:tcPr>
            <w:tcW w:w="4660" w:type="dxa"/>
            <w:vAlign w:val="bottom"/>
          </w:tcPr>
          <w:p>
            <w:pPr>
              <w:jc w:val="right"/>
              <w:ind w:right="590"/>
              <w:spacing w:after="0"/>
              <w:rPr>
                <w:sz w:val="20"/>
                <w:szCs w:val="20"/>
                <w:color w:val="auto"/>
              </w:rPr>
            </w:pPr>
            <w:r>
              <w:rPr>
                <w:rFonts w:ascii="Arial" w:cs="Arial" w:eastAsia="Arial" w:hAnsi="Arial"/>
                <w:sz w:val="18"/>
                <w:szCs w:val="18"/>
                <w:color w:val="auto"/>
              </w:rPr>
              <w:t>6.11%</w:t>
            </w:r>
          </w:p>
        </w:tc>
        <w:tc>
          <w:tcPr>
            <w:tcW w:w="12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 (to risk-weighted assets)</w:t>
            </w:r>
          </w:p>
        </w:tc>
        <w:tc>
          <w:tcPr>
            <w:tcW w:w="4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12.09%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Tier 1 capital (to risk-weighted assets)</w:t>
            </w:r>
          </w:p>
        </w:tc>
        <w:tc>
          <w:tcPr>
            <w:tcW w:w="4660" w:type="dxa"/>
            <w:vAlign w:val="bottom"/>
          </w:tcPr>
          <w:p>
            <w:pPr>
              <w:jc w:val="right"/>
              <w:ind w:right="590"/>
              <w:spacing w:after="0"/>
              <w:rPr>
                <w:sz w:val="20"/>
                <w:szCs w:val="20"/>
                <w:color w:val="auto"/>
              </w:rPr>
            </w:pPr>
            <w:r>
              <w:rPr>
                <w:rFonts w:ascii="Arial" w:cs="Arial" w:eastAsia="Arial" w:hAnsi="Arial"/>
                <w:sz w:val="18"/>
                <w:szCs w:val="18"/>
                <w:color w:val="auto"/>
              </w:rPr>
              <w:t>8.89%</w:t>
            </w:r>
          </w:p>
        </w:tc>
        <w:tc>
          <w:tcPr>
            <w:tcW w:w="126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Tier 1 capital (to average assets)</w:t>
            </w:r>
          </w:p>
        </w:tc>
        <w:tc>
          <w:tcPr>
            <w:tcW w:w="4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6.37%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5320" w:type="dxa"/>
            <w:vAlign w:val="bottom"/>
          </w:tcPr>
          <w:p>
            <w:pPr>
              <w:ind w:left="160"/>
              <w:spacing w:after="0"/>
              <w:rPr>
                <w:sz w:val="20"/>
                <w:szCs w:val="20"/>
                <w:color w:val="auto"/>
              </w:rPr>
            </w:pPr>
            <w:r>
              <w:rPr>
                <w:rFonts w:ascii="Arial" w:cs="Arial" w:eastAsia="Arial" w:hAnsi="Arial"/>
                <w:sz w:val="18"/>
                <w:szCs w:val="18"/>
                <w:color w:val="auto"/>
              </w:rPr>
              <w:t>Common equity Tier 1 capital (to risk weighted assets)</w:t>
            </w:r>
          </w:p>
        </w:tc>
        <w:tc>
          <w:tcPr>
            <w:tcW w:w="4660" w:type="dxa"/>
            <w:vAlign w:val="bottom"/>
          </w:tcPr>
          <w:p>
            <w:pPr>
              <w:jc w:val="right"/>
              <w:ind w:right="590"/>
              <w:spacing w:after="0"/>
              <w:rPr>
                <w:sz w:val="20"/>
                <w:szCs w:val="20"/>
                <w:color w:val="auto"/>
              </w:rPr>
            </w:pPr>
            <w:r>
              <w:rPr>
                <w:rFonts w:ascii="Arial" w:cs="Arial" w:eastAsia="Arial" w:hAnsi="Arial"/>
                <w:sz w:val="18"/>
                <w:szCs w:val="18"/>
                <w:color w:val="auto"/>
              </w:rPr>
              <w:t>8.89%</w:t>
            </w:r>
          </w:p>
        </w:tc>
        <w:tc>
          <w:tcPr>
            <w:tcW w:w="126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438"/>
        </w:trPr>
        <w:tc>
          <w:tcPr>
            <w:tcW w:w="5320" w:type="dxa"/>
            <w:vAlign w:val="bottom"/>
            <w:tcBorders>
              <w:bottom w:val="single" w:sz="8" w:color="DCDCDC"/>
            </w:tcBorders>
          </w:tcPr>
          <w:p>
            <w:pPr>
              <w:spacing w:after="0"/>
              <w:rPr>
                <w:sz w:val="24"/>
                <w:szCs w:val="24"/>
                <w:color w:val="auto"/>
              </w:rPr>
            </w:pPr>
          </w:p>
        </w:tc>
        <w:tc>
          <w:tcPr>
            <w:tcW w:w="4660" w:type="dxa"/>
            <w:vAlign w:val="bottom"/>
            <w:tcBorders>
              <w:bottom w:val="single" w:sz="8" w:color="DCDCDC"/>
            </w:tcBorders>
          </w:tcPr>
          <w:p>
            <w:pPr>
              <w:jc w:val="right"/>
              <w:ind w:right="4170"/>
              <w:spacing w:after="0"/>
              <w:rPr>
                <w:sz w:val="20"/>
                <w:szCs w:val="20"/>
                <w:color w:val="auto"/>
              </w:rPr>
            </w:pPr>
            <w:r>
              <w:rPr>
                <w:rFonts w:ascii="Arial" w:cs="Arial" w:eastAsia="Arial" w:hAnsi="Arial"/>
                <w:sz w:val="18"/>
                <w:szCs w:val="18"/>
                <w:color w:val="auto"/>
              </w:rPr>
              <w:t>37</w:t>
            </w:r>
          </w:p>
        </w:tc>
        <w:tc>
          <w:tcPr>
            <w:tcW w:w="12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(dollars in thousands, except per share data)</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4"/>
              </w:rPr>
              <w:t>For the three months ended</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March 31, 2021</w:t>
            </w:r>
          </w:p>
        </w:tc>
        <w:tc>
          <w:tcPr>
            <w:tcW w:w="13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0"/>
              </w:rPr>
              <w:t>March 31, 2020</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operating data:</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Net interest income</w:t>
            </w:r>
          </w:p>
        </w:tc>
        <w:tc>
          <w:tcPr>
            <w:tcW w:w="256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18,048</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Non-interest income</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1,616</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expense</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8,804</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Net income (S-Corp)</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10,278</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(S Corp):</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Basic</w:t>
            </w:r>
          </w:p>
        </w:tc>
        <w:tc>
          <w:tcPr>
            <w:tcW w:w="256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0.93</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5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0.93</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Performance and other financial ratios: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assets (S Corp)</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Return on average equity (S Corp)</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32.08%</w:t>
            </w:r>
          </w:p>
        </w:tc>
        <w:tc>
          <w:tcPr>
            <w:tcW w:w="5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margin</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3.83%</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color w:val="auto"/>
              </w:rPr>
              <w:t>Cost of deposits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0.24%</w:t>
            </w:r>
          </w:p>
        </w:tc>
        <w:tc>
          <w:tcPr>
            <w:tcW w:w="5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Efficiency ratio</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44.77%</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390"/>
        </w:trPr>
        <w:tc>
          <w:tcPr>
            <w:tcW w:w="5900" w:type="dxa"/>
            <w:vAlign w:val="bottom"/>
          </w:tcPr>
          <w:p>
            <w:pPr>
              <w:ind w:left="160"/>
              <w:spacing w:after="0"/>
              <w:rPr>
                <w:sz w:val="20"/>
                <w:szCs w:val="20"/>
                <w:color w:val="auto"/>
              </w:rPr>
            </w:pPr>
            <w:r>
              <w:rPr>
                <w:rFonts w:ascii="Arial" w:cs="Arial" w:eastAsia="Arial" w:hAnsi="Arial"/>
                <w:sz w:val="18"/>
                <w:szCs w:val="18"/>
                <w:color w:val="auto"/>
              </w:rPr>
              <w:t xml:space="preserve">Cash dividend payout ratio on common stock </w:t>
            </w:r>
            <w:r>
              <w:rPr>
                <w:rFonts w:ascii="Arial" w:cs="Arial" w:eastAsia="Arial" w:hAnsi="Arial"/>
                <w:sz w:val="29"/>
                <w:szCs w:val="29"/>
                <w:color w:val="auto"/>
                <w:vertAlign w:val="superscript"/>
              </w:rPr>
              <w:t>3</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107.10%</w:t>
            </w:r>
          </w:p>
        </w:tc>
        <w:tc>
          <w:tcPr>
            <w:tcW w:w="5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340" w:hanging="332"/>
        <w:spacing w:after="0" w:line="233"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4"/>
          <w:szCs w:val="14"/>
          <w:color w:val="auto"/>
        </w:rPr>
        <w:t>The allowance for loan losses to total loans, excluding SBA-guaranteed PPP loans, is considered a non-GAAP financial measure. See the section entitled “Non-GAAP Financial Measures” for a reconciliation of our non-GAAP measures to the most directly comparable GAAP financial measure. Allowance for loan losses to total loans, excluding SBA-guaranteed PPP Loans, is defined as allowance for loan losses, divided by total loans less SBA-guaranteed PPP loans. The most directly comparable GAAP financial measure is allowance for loan losses to total loans.</w:t>
      </w:r>
    </w:p>
    <w:p>
      <w:pPr>
        <w:spacing w:after="0" w:line="185" w:lineRule="exact"/>
        <w:rPr>
          <w:sz w:val="20"/>
          <w:szCs w:val="20"/>
          <w:color w:val="auto"/>
        </w:rPr>
      </w:pPr>
    </w:p>
    <w:p>
      <w:pPr>
        <w:jc w:val="both"/>
        <w:ind w:left="340" w:hanging="332"/>
        <w:spacing w:after="0" w:line="255" w:lineRule="auto"/>
        <w:tabs>
          <w:tab w:leader="none" w:pos="340" w:val="left"/>
        </w:tabs>
        <w:numPr>
          <w:ilvl w:val="0"/>
          <w:numId w:val="7"/>
        </w:numPr>
        <w:rPr>
          <w:rFonts w:ascii="Arial" w:cs="Arial" w:eastAsia="Arial" w:hAnsi="Arial"/>
          <w:sz w:val="11"/>
          <w:szCs w:val="11"/>
          <w:color w:val="auto"/>
        </w:rPr>
      </w:pPr>
      <w:r>
        <w:rPr>
          <w:rFonts w:ascii="Arial" w:cs="Arial" w:eastAsia="Arial" w:hAnsi="Arial"/>
          <w:sz w:val="13"/>
          <w:szCs w:val="13"/>
          <w:color w:val="auto"/>
        </w:rPr>
        <w:t>Tangible common equity to tangible assets is considered to be a non-GAAP financial measure. See the section entitled “Non-GAAP Financial Measures” for a reconciliation of our non-GAAP measures to the most directly comparable GAAP financial measure. Tangible common equity to tangible assets is defined as total equity less goodwill and other intangible assets, divided by total assets less goodwill and other intangible assets. The most directly comparable GAAP financial measure is total equity to total assets. We had no goodwill or other intangible assets as of any of the dates indicated. As a result, tangible common equity to tangible assets is the same as total equity to total assets as of each of the dates indicated.</w:t>
      </w:r>
    </w:p>
    <w:p>
      <w:pPr>
        <w:spacing w:after="0" w:line="17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Calculated as dividends on common shares divided by basic net income per common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discussion of our results of operations compares the three months ended March 31, 2021 to the three months ended March 31, 2020. The results of operations for the three months ended March 31, 2021 are not necessarily indicative of the results of operations that may be expected for the year ending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income is the most significant contributor to our net income. Net interest income represents interest income from 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increased by $3.8 million, or 27.03%, to $18.0 million for the quarter ended March 31, 2021 from $14.2 million for the quarter ended March 31, 2020. Our net interest margin of 3.83% for the quarter ended March 31, 2021 declined from our net interest margin of 4.02% for the quarter ended March 31, 2020, primarily due to the lower interest rate environment.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and rates paid for each period reported. The average balances are daily averages and include both performing and nonperforming loans.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gridSpan w:val="5"/>
          </w:tcPr>
          <w:p>
            <w:pPr>
              <w:ind w:left="34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19"/>
                <w:szCs w:val="19"/>
                <w:color w:val="auto"/>
              </w:rPr>
            </w:pPr>
          </w:p>
        </w:tc>
        <w:tc>
          <w:tcPr>
            <w:tcW w:w="30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4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3"/>
              </w:rPr>
              <w:t>March 31, 2021</w:t>
            </w:r>
          </w:p>
        </w:tc>
        <w:tc>
          <w:tcPr>
            <w:tcW w:w="9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3"/>
              </w:rPr>
              <w:t>March 31, 2020</w:t>
            </w:r>
          </w:p>
        </w:tc>
        <w:tc>
          <w:tcPr>
            <w:tcW w:w="940" w:type="dxa"/>
            <w:vAlign w:val="bottom"/>
            <w:tcBorders>
              <w:bottom w:val="single" w:sz="8" w:color="auto"/>
            </w:tcBorders>
          </w:tcPr>
          <w:p>
            <w:pPr>
              <w:spacing w:after="0"/>
              <w:rPr>
                <w:sz w:val="20"/>
                <w:szCs w:val="20"/>
                <w:color w:val="auto"/>
              </w:rPr>
            </w:pPr>
          </w:p>
        </w:tc>
      </w:tr>
      <w:tr>
        <w:trPr>
          <w:trHeight w:val="191"/>
        </w:trPr>
        <w:tc>
          <w:tcPr>
            <w:tcW w:w="4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gridSpan w:val="2"/>
          </w:tcPr>
          <w:p>
            <w:pPr>
              <w:jc w:val="right"/>
              <w:ind w:right="250"/>
              <w:spacing w:after="0" w:line="191" w:lineRule="exact"/>
              <w:rPr>
                <w:sz w:val="20"/>
                <w:szCs w:val="20"/>
                <w:color w:val="auto"/>
              </w:rPr>
            </w:pPr>
            <w:r>
              <w:rPr>
                <w:rFonts w:ascii="Arial" w:cs="Arial" w:eastAsia="Arial" w:hAnsi="Arial"/>
                <w:sz w:val="18"/>
                <w:szCs w:val="18"/>
                <w:b w:val="1"/>
                <w:bCs w:val="1"/>
                <w:color w:val="auto"/>
              </w:rPr>
              <w:t>Interest</w:t>
            </w: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Average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2"/>
          </w:tcPr>
          <w:p>
            <w:pPr>
              <w:jc w:val="right"/>
              <w:ind w:right="250"/>
              <w:spacing w:after="0" w:line="191" w:lineRule="exact"/>
              <w:rPr>
                <w:sz w:val="20"/>
                <w:szCs w:val="20"/>
                <w:color w:val="auto"/>
              </w:rPr>
            </w:pPr>
            <w:r>
              <w:rPr>
                <w:rFonts w:ascii="Arial" w:cs="Arial" w:eastAsia="Arial" w:hAnsi="Arial"/>
                <w:sz w:val="18"/>
                <w:szCs w:val="18"/>
                <w:b w:val="1"/>
                <w:bCs w:val="1"/>
                <w:color w:val="auto"/>
              </w:rPr>
              <w:t>Interest</w:t>
            </w: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r>
      <w:tr>
        <w:trPr>
          <w:trHeight w:val="216"/>
        </w:trPr>
        <w:tc>
          <w:tcPr>
            <w:tcW w:w="4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Yield/</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rPr>
              <w:t>Income/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5"/>
              </w:rPr>
              <w:t>Yield/</w:t>
            </w:r>
          </w:p>
        </w:tc>
      </w:tr>
      <w:tr>
        <w:trPr>
          <w:trHeight w:val="23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Balance</w:t>
            </w:r>
          </w:p>
        </w:tc>
        <w:tc>
          <w:tcPr>
            <w:tcW w:w="136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Expense</w:t>
            </w: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Balance</w:t>
            </w:r>
          </w:p>
        </w:tc>
        <w:tc>
          <w:tcPr>
            <w:tcW w:w="13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Expense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7"/>
        </w:trPr>
        <w:tc>
          <w:tcPr>
            <w:tcW w:w="40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Interest-earning deposits with banks </w:t>
            </w:r>
            <w:r>
              <w:rPr>
                <w:rFonts w:ascii="Arial" w:cs="Arial" w:eastAsia="Arial" w:hAnsi="Arial"/>
                <w:sz w:val="29"/>
                <w:szCs w:val="29"/>
                <w:color w:val="auto"/>
                <w:vertAlign w:val="superscript"/>
              </w:rPr>
              <w:t>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263,120</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3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129,382</w:t>
            </w: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504</w:t>
            </w: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4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Investment securities </w:t>
            </w:r>
            <w:r>
              <w:rPr>
                <w:rFonts w:ascii="Arial" w:cs="Arial" w:eastAsia="Arial" w:hAnsi="Arial"/>
                <w:sz w:val="29"/>
                <w:szCs w:val="29"/>
                <w:color w:val="auto"/>
                <w:vertAlign w:val="superscript"/>
              </w:rPr>
              <w:t>2</w:t>
            </w: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121,862</w:t>
            </w: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80,829</w:t>
            </w: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57"/>
        </w:trPr>
        <w:tc>
          <w:tcPr>
            <w:tcW w:w="4060" w:type="dxa"/>
            <w:vAlign w:val="bottom"/>
            <w:tcBorders>
              <w:bottom w:val="single" w:sz="8" w:color="auto"/>
            </w:tcBorders>
          </w:tcPr>
          <w:p>
            <w:pPr>
              <w:ind w:left="160"/>
              <w:spacing w:after="0" w:line="256" w:lineRule="exact"/>
              <w:rPr>
                <w:sz w:val="20"/>
                <w:szCs w:val="20"/>
                <w:color w:val="auto"/>
              </w:rPr>
            </w:pPr>
            <w:r>
              <w:rPr>
                <w:rFonts w:ascii="Arial" w:cs="Arial" w:eastAsia="Arial" w:hAnsi="Arial"/>
                <w:sz w:val="18"/>
                <w:szCs w:val="18"/>
                <w:color w:val="auto"/>
              </w:rPr>
              <w:t xml:space="preserve">Loans </w:t>
            </w:r>
            <w:r>
              <w:rPr>
                <w:rFonts w:ascii="Arial" w:cs="Arial" w:eastAsia="Arial" w:hAnsi="Arial"/>
                <w:sz w:val="29"/>
                <w:szCs w:val="29"/>
                <w:color w:val="auto"/>
                <w:vertAlign w:val="superscript"/>
              </w:rPr>
              <w:t>1, 3</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1,526,130</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0"/>
              </w:rPr>
              <w:t>18,613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1,224,426</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16,061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50"/>
        </w:trPr>
        <w:tc>
          <w:tcPr>
            <w:tcW w:w="4060" w:type="dxa"/>
            <w:vAlign w:val="bottom"/>
            <w:shd w:val="clear" w:color="auto" w:fill="CCEEFF"/>
          </w:tcPr>
          <w:p>
            <w:pPr>
              <w:ind w:left="160"/>
              <w:spacing w:after="0" w:line="250" w:lineRule="exact"/>
              <w:rPr>
                <w:sz w:val="20"/>
                <w:szCs w:val="20"/>
                <w:color w:val="auto"/>
              </w:rPr>
            </w:pPr>
            <w:r>
              <w:rPr>
                <w:rFonts w:ascii="Arial" w:cs="Arial" w:eastAsia="Arial" w:hAnsi="Arial"/>
                <w:sz w:val="17"/>
                <w:szCs w:val="17"/>
                <w:color w:val="auto"/>
              </w:rPr>
              <w:t xml:space="preserve">Total interest-earning assets </w:t>
            </w:r>
            <w:r>
              <w:rPr>
                <w:rFonts w:ascii="Arial" w:cs="Arial" w:eastAsia="Arial" w:hAnsi="Arial"/>
                <w:sz w:val="28"/>
                <w:szCs w:val="28"/>
                <w:color w:val="auto"/>
                <w:vertAlign w:val="superscript"/>
              </w:rPr>
              <w:t>1</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1,911,112</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0"/>
              </w:rPr>
              <w:t>19,190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1,434,637</w:t>
            </w: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4"/>
              </w:rPr>
              <w:t>17,019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Cash and non-interest-bearing due from banks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44,720</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27,260</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premises and equipment, net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0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Interest receivable and other assets, net</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79,616</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6,822</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2,037,093</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1,470,034</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transaction accounts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154,678</w:t>
            </w:r>
          </w:p>
        </w:tc>
        <w:tc>
          <w:tcPr>
            <w:tcW w:w="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129,037</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60,885</w:t>
            </w:r>
          </w:p>
        </w:tc>
        <w:tc>
          <w:tcPr>
            <w:tcW w:w="5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35,088</w:t>
            </w:r>
          </w:p>
        </w:tc>
        <w:tc>
          <w:tcPr>
            <w:tcW w:w="50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94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16"/>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867,374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581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683,960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1,740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Time accounts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46,171</w:t>
            </w:r>
          </w:p>
        </w:tc>
        <w:tc>
          <w:tcPr>
            <w:tcW w:w="52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64</w:t>
            </w: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110,037</w:t>
            </w:r>
          </w:p>
        </w:tc>
        <w:tc>
          <w:tcPr>
            <w:tcW w:w="50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472</w:t>
            </w: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56"/>
        </w:trPr>
        <w:tc>
          <w:tcPr>
            <w:tcW w:w="4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Borrowings and other obligations </w:t>
            </w:r>
            <w:r>
              <w:rPr>
                <w:rFonts w:ascii="Arial" w:cs="Arial" w:eastAsia="Arial" w:hAnsi="Arial"/>
                <w:sz w:val="29"/>
                <w:szCs w:val="29"/>
                <w:color w:val="auto"/>
                <w:vertAlign w:val="superscript"/>
              </w:rPr>
              <w:t>1</w:t>
            </w: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57"/>
        </w:trPr>
        <w:tc>
          <w:tcPr>
            <w:tcW w:w="4060" w:type="dxa"/>
            <w:vAlign w:val="bottom"/>
            <w:tcBorders>
              <w:bottom w:val="single" w:sz="8" w:color="auto"/>
            </w:tcBorders>
          </w:tcPr>
          <w:p>
            <w:pPr>
              <w:ind w:left="160"/>
              <w:spacing w:after="0" w:line="256" w:lineRule="exact"/>
              <w:rPr>
                <w:sz w:val="20"/>
                <w:szCs w:val="20"/>
                <w:color w:val="auto"/>
              </w:rPr>
            </w:pPr>
            <w:r>
              <w:rPr>
                <w:rFonts w:ascii="Arial" w:cs="Arial" w:eastAsia="Arial" w:hAnsi="Arial"/>
                <w:sz w:val="18"/>
                <w:szCs w:val="18"/>
                <w:color w:val="auto"/>
              </w:rPr>
              <w:t xml:space="preserve">Subordinated debenture </w:t>
            </w:r>
            <w:r>
              <w:rPr>
                <w:rFonts w:ascii="Arial" w:cs="Arial" w:eastAsia="Arial" w:hAnsi="Arial"/>
                <w:sz w:val="29"/>
                <w:szCs w:val="29"/>
                <w:color w:val="auto"/>
                <w:vertAlign w:val="superscript"/>
              </w:rPr>
              <w:t>1</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28,326</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443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28,259</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444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1,157,434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1,142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990,037</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Demand accounts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745,605</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367,586</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 and other liabilities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0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Shareholders’ equity</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128,637</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106,867</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&amp; shareholders’ equity</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2,037,093</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1,470,034</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r>
      <w:tr>
        <w:trPr>
          <w:trHeight w:val="250"/>
        </w:trPr>
        <w:tc>
          <w:tcPr>
            <w:tcW w:w="406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color w:val="auto"/>
              </w:rPr>
              <w:t xml:space="preserve">Net interest spread </w:t>
            </w:r>
            <w:r>
              <w:rPr>
                <w:rFonts w:ascii="Arial" w:cs="Arial" w:eastAsia="Arial" w:hAnsi="Arial"/>
                <w:sz w:val="28"/>
                <w:szCs w:val="28"/>
                <w:color w:val="auto"/>
                <w:vertAlign w:val="superscript"/>
              </w:rPr>
              <w:t>4</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income/margin</w:t>
            </w: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0"/>
              </w:rPr>
              <w:t>18,048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4"/>
              </w:rPr>
              <w:t>14,208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bl>
    <w:p>
      <w:pPr>
        <w:spacing w:after="0" w:line="13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4"/>
          <w:szCs w:val="14"/>
          <w:color w:val="auto"/>
        </w:rPr>
        <w:t>Interest income/expense is divided by actual number of days in the period times actual number of days in the year to correspond to stated interest rate terms, where applicable.</w:t>
      </w:r>
    </w:p>
    <w:p>
      <w:pPr>
        <w:spacing w:after="0" w:line="150" w:lineRule="exact"/>
        <w:rPr>
          <w:sz w:val="20"/>
          <w:szCs w:val="20"/>
          <w:color w:val="auto"/>
        </w:rPr>
      </w:pPr>
    </w:p>
    <w:p>
      <w:pPr>
        <w:ind w:left="340" w:right="20" w:hanging="332"/>
        <w:spacing w:after="0" w:line="253"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106" w:lineRule="exact"/>
        <w:rPr>
          <w:sz w:val="20"/>
          <w:szCs w:val="20"/>
          <w:color w:val="auto"/>
        </w:rPr>
      </w:pPr>
    </w:p>
    <w:p>
      <w:pPr>
        <w:ind w:left="340" w:hanging="332"/>
        <w:spacing w:after="0" w:line="253"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pacing w:after="0" w:line="10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Net interest spread is the average yield on total interest-earning assets minus the average rate on total interest-bearing liabilities.</w:t>
      </w:r>
    </w:p>
    <w:p>
      <w:pPr>
        <w:spacing w:after="0" w:line="15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4"/>
          <w:szCs w:val="14"/>
          <w:color w:val="auto"/>
        </w:rPr>
        <w:t>Net interest income/margin is net interest income divided by total interest-earning assets.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spacing w:after="0" w:line="291" w:lineRule="auto"/>
        <w:rPr>
          <w:sz w:val="20"/>
          <w:szCs w:val="20"/>
          <w:color w:val="auto"/>
        </w:rPr>
      </w:pPr>
      <w:r>
        <w:rPr>
          <w:rFonts w:ascii="Arial" w:cs="Arial" w:eastAsia="Arial" w:hAnsi="Arial"/>
          <w:sz w:val="16"/>
          <w:szCs w:val="16"/>
          <w:i w:val="1"/>
          <w:iCs w:val="1"/>
          <w:color w:val="auto"/>
        </w:rPr>
        <w:t xml:space="preserve">Analysis of changes in interest income and expenses. </w:t>
      </w:r>
      <w:r>
        <w:rPr>
          <w:rFonts w:ascii="Arial" w:cs="Arial" w:eastAsia="Arial" w:hAnsi="Arial"/>
          <w:sz w:val="16"/>
          <w:szCs w:val="16"/>
          <w:color w:val="auto"/>
        </w:rPr>
        <w:t>Increases and decreases in interest income and interest expense result from change in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(volume) of interest-earning assets and interest-bearing liabilities, as well as changes in average interest 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rate. The effect of rate changes is calculated by multiplying the change in average rate by the previous period’s volume. The change in interest due to both rate and volume has been allocated to rate and volume changes in proportion to the relationship of the absolute dollar amounts of the changes in each. Mix variances are attributable to the change in yields or rates multiplied by the change in average balances, including one more day in the three months ended March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89"/>
              </w:rPr>
              <w:t>For the three months ended</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1"/>
              </w:rPr>
              <w:t>March 31, 2021 compared to</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the three months ended</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8"/>
                <w:szCs w:val="18"/>
                <w:b w:val="1"/>
                <w:bCs w:val="1"/>
                <w:color w:val="auto"/>
                <w:w w:val="93"/>
              </w:rPr>
              <w:t>March 31, 2020</w:t>
            </w: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09"/>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Volume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Yield/Rate</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Mix</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deposits with banks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(451)</w:t>
            </w:r>
          </w:p>
        </w:tc>
        <w:tc>
          <w:tcPr>
            <w:tcW w:w="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(467)</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8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3,959</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(1,004)</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(403)</w:t>
            </w: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r>
      <w:tr>
        <w:trPr>
          <w:trHeight w:val="209"/>
        </w:trPr>
        <w:tc>
          <w:tcPr>
            <w:tcW w:w="5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interest-earning assets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5,654</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(2,494)</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(989)</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2,171</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transaction accounts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Savings accounts</w:t>
            </w: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1,278</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348</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Time accounts</w:t>
            </w:r>
          </w:p>
        </w:tc>
        <w:tc>
          <w:tcPr>
            <w:tcW w:w="28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318</w:t>
            </w:r>
          </w:p>
        </w:tc>
        <w:tc>
          <w:tcPr>
            <w:tcW w:w="8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0"/>
              </w:rPr>
              <w:t>(184)</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Borrowings and other obligations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Subordinated debenture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09"/>
        </w:trPr>
        <w:tc>
          <w:tcPr>
            <w:tcW w:w="57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(475)</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1,826</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318</w:t>
            </w: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1,669</w:t>
            </w:r>
          </w:p>
        </w:tc>
      </w:tr>
      <w:tr>
        <w:trPr>
          <w:trHeight w:val="237"/>
        </w:trPr>
        <w:tc>
          <w:tcPr>
            <w:tcW w:w="5740" w:type="dxa"/>
            <w:vAlign w:val="bottom"/>
          </w:tcPr>
          <w:p>
            <w:pPr>
              <w:ind w:left="320"/>
              <w:spacing w:after="0"/>
              <w:rPr>
                <w:sz w:val="20"/>
                <w:szCs w:val="20"/>
                <w:color w:val="auto"/>
              </w:rPr>
            </w:pPr>
            <w:r>
              <w:rPr>
                <w:rFonts w:ascii="Arial" w:cs="Arial" w:eastAsia="Arial" w:hAnsi="Arial"/>
                <w:sz w:val="18"/>
                <w:szCs w:val="18"/>
                <w:color w:val="auto"/>
              </w:rPr>
              <w:t>Changes in net interest income/margin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5,179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(668)</w:t>
            </w:r>
          </w:p>
        </w:tc>
        <w:tc>
          <w:tcPr>
            <w:tcW w:w="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(671)</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3,840</w:t>
            </w: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interest income increased by $2.2 million to $19.2 million, or 12.75%, for the three months ended March 31, 2021 as compared to the same period for 2020. For the three months ended March 31, 2021, interest income from loans increased by $2.6 million to $18.6 million as the average daily balance of loans increased by $301.7 million, or 24.64%, compared to the same period of 2020. This interest income increase from greater average loan balances was partially offset by a 33 basis points decrease in loan yield for the three months ended March 31, 2021 as compared to the same period of 2020. Additionally, $2.0 million of fee income from forgiven PPP loans was recognized in the three months ended March 31, 2021, which did not occur during the same period of 2020. Excluding PPP loans, the average loan balances increased by $125.0 million to $1,349.4 million and the yield declined by 41 basis points for the three months ended March 31, 2021 compared to the same period of 2020.</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interest expense decreased $1.7 million to $1.1 million for the three months ended March 31, 2021 from $2.8 million for the same period of 2020. Interest expense on customer deposits decreased $1.7 million to $0.7 million for the three months ended March 31, 2021 from $2.4 million for the same period of 2020. This decrease is due to the cost of interest-bearing liabilities declining to 0.40% for the three months ended March 31, 2021, from 1.14% for the same period of 2020, reflecting the decline in overall interest rates during the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Provision for Loan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loan losses is based on management’s assessment of the adequacy of our allowance for loan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loan losses is charged against earnings in order to maintain our allowance for loan losses, which reflects management’s best estimate of probable losses inherent in our loan portfolio at the balance sheet date.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recorded a $0.2 million provision for loan losses in the first quarter of 2021, compared to a $2.6 million provision for loan losses for the same period in 2020. The decline of $2.4 million for the provision in the first quarter of 2021 was primarily due to improvements in the economy overall as more counties within California and other states with collateral located outside of California began to loosen restrictions related to the COVID-19 pandemic.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Non-interest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is a secondary contributor to our net income. Non-interest income consists primarily of net gains on the sale of loans, FHLB dividends, and other fee income including loan-related fees and fees related to customer deposits.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decreased by $0.1 million in the first quarter of 2021 to $1.6 million, compared to $1.8 million in the first quarter of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gridSpan w:val="4"/>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420" w:type="dxa"/>
            <w:vAlign w:val="bottom"/>
          </w:tcPr>
          <w:p>
            <w:pPr>
              <w:spacing w:after="0"/>
              <w:rPr>
                <w:sz w:val="21"/>
                <w:szCs w:val="21"/>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Amount</w:t>
            </w:r>
          </w:p>
        </w:tc>
        <w:tc>
          <w:tcPr>
            <w:tcW w:w="1860" w:type="dxa"/>
            <w:vAlign w:val="bottom"/>
          </w:tcPr>
          <w:p>
            <w:pPr>
              <w:jc w:val="right"/>
              <w:ind w:right="570"/>
              <w:spacing w:after="0"/>
              <w:rPr>
                <w:sz w:val="20"/>
                <w:szCs w:val="20"/>
                <w:color w:val="auto"/>
              </w:rPr>
            </w:pPr>
            <w:r>
              <w:rPr>
                <w:rFonts w:ascii="Arial" w:cs="Arial" w:eastAsia="Arial" w:hAnsi="Arial"/>
                <w:sz w:val="18"/>
                <w:szCs w:val="18"/>
                <w:b w:val="1"/>
                <w:bCs w:val="1"/>
                <w:color w:val="auto"/>
              </w:rPr>
              <w:t>Percent</w:t>
            </w:r>
          </w:p>
        </w:tc>
      </w:tr>
      <w:tr>
        <w:trPr>
          <w:trHeight w:val="209"/>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900" w:type="dxa"/>
            <w:vAlign w:val="bottom"/>
            <w:tcBorders>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March 31, 2021</w:t>
            </w:r>
          </w:p>
        </w:tc>
        <w:tc>
          <w:tcPr>
            <w:tcW w:w="13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0"/>
              </w:rPr>
              <w:t>March 31, 2020</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8"/>
              </w:rPr>
              <w:t>Increase (Decrease)</w:t>
            </w: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Increase (Decrease)</w:t>
            </w: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w:t>
            </w: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Net gains on sales of securities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182</w:t>
            </w:r>
          </w:p>
        </w:tc>
        <w:tc>
          <w:tcPr>
            <w:tcW w:w="6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532</w:t>
            </w:r>
          </w:p>
        </w:tc>
        <w:tc>
          <w:tcPr>
            <w:tcW w:w="4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(350)</w:t>
            </w:r>
          </w:p>
        </w:tc>
        <w:tc>
          <w:tcPr>
            <w:tcW w:w="1860" w:type="dxa"/>
            <w:vAlign w:val="bottom"/>
          </w:tcPr>
          <w:p>
            <w:pPr>
              <w:jc w:val="right"/>
              <w:spacing w:after="0"/>
              <w:rPr>
                <w:sz w:val="20"/>
                <w:szCs w:val="20"/>
                <w:color w:val="auto"/>
              </w:rPr>
            </w:pPr>
            <w:r>
              <w:rPr>
                <w:rFonts w:ascii="Arial" w:cs="Arial" w:eastAsia="Arial" w:hAnsi="Arial"/>
                <w:sz w:val="18"/>
                <w:szCs w:val="18"/>
                <w:color w:val="auto"/>
              </w:rPr>
              <w:t>(65.79)%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loans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931</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Loan-related fees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1860" w:type="dxa"/>
            <w:vAlign w:val="bottom"/>
          </w:tcPr>
          <w:p>
            <w:pPr>
              <w:jc w:val="right"/>
              <w:spacing w:after="0"/>
              <w:rPr>
                <w:sz w:val="20"/>
                <w:szCs w:val="20"/>
                <w:color w:val="auto"/>
              </w:rPr>
            </w:pPr>
            <w:r>
              <w:rPr>
                <w:rFonts w:ascii="Arial" w:cs="Arial" w:eastAsia="Arial" w:hAnsi="Arial"/>
                <w:sz w:val="18"/>
                <w:szCs w:val="18"/>
                <w:color w:val="auto"/>
              </w:rPr>
              <w:t>(44.04)%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FHLB stock dividends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Earnings on bank-owned life insurance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86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16"/>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9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1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non-interest income</w:t>
            </w:r>
          </w:p>
        </w:tc>
        <w:tc>
          <w:tcPr>
            <w:tcW w:w="1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1,616</w:t>
            </w: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1,753</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Net gains on sale of securities. </w:t>
      </w:r>
      <w:r>
        <w:rPr>
          <w:rFonts w:ascii="Arial" w:cs="Arial" w:eastAsia="Arial" w:hAnsi="Arial"/>
          <w:sz w:val="17"/>
          <w:szCs w:val="17"/>
          <w:color w:val="auto"/>
        </w:rPr>
        <w:t>Gains on the sale of securities declined by $0.4 million to $0.2 million for the quarter ended March 31,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2020. The decline related to a lower volume of securities sold in the quarter ended March 31, 2021 compared to March 31, 2020. During the quarter ended March 31, 2021, approximately $11.5 million of municipal securities were sold, which represented lower yielding securities in the portfolio for a total gain recognized of $0.2 million. During the quarter ended March 31, 2020, the entire municipal portfolio of approximately $17.3 million was sold to provide liquidity to support the loan pipeline, for a total gain recognized of $0.5 million.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Gain on sale of loans increased by $0.3 million to $0.9 million for the quarter ended March 31, 2021 compared to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principal balance of SBA 7(a) guaranteed portions sold during the quarter ended March 31, 2021 was $10.0 million compared to $11.5 million in the quarter ended March 31, 2020. The weighted average premium received was 7.91% during the quarter ended March 31, 2021 compared to 5.56% in the quarter ended March 31, 2020.</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Loan-related expenses</w:t>
      </w:r>
      <w:r>
        <w:rPr>
          <w:rFonts w:ascii="Arial" w:cs="Arial" w:eastAsia="Arial" w:hAnsi="Arial"/>
          <w:sz w:val="16"/>
          <w:szCs w:val="16"/>
          <w:color w:val="auto"/>
        </w:rPr>
        <w:t>. Loan-related expenses are primarily comprised of appraisal, insurance and taxes, loan-related legal feels, Uniform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Code “UCC” filings, credit reports, inspections, and amortization of servicing assets. Loan-related expenses declined by $0.1 million to $0.1 million for the quarter ended March 31, 2021 compared to March 31, 2020, which is primarily related a decline in swap referral fees. During the quarter ended March 31, 2021, the Company did not recognize swap referral fees compared to approximately $0.2 million of swap referral fees recognized in the quarter ended March 31, 2020. Such fees are recognized when borrowers seeking fixed rate loans are referred to a counterparty who places the swap for the borrower.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Non-interest expense includes salaries and employee benefits, occupancy and equipment costs, data processing and software fees, Federal deposit insurance expense, professional services fees, advertising and promotional expense, loan-related expenses and other operating expenses. In evaluating our level of non-interest expense we closely monitor our efficiency ratio. The efficiency ratio is calculated by dividing non-interest expense to net interest income plus non-interest income. We constantly seek to identify ways to streamline our business and operate more efficiently, which has enabled us to reduce our non-interest expense in both absolute terms and as a percentage of our revenue while continuing to achieve growth in total loans and assets.</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Over the past several years, we have invested significant resources in personnel and infrastructure. Non-interest expense is declining and we expect our efficiency ratio will improve due, in part, to our past investment in infrastructure. We believe that we are currently well positioned to continue our growth trajectory without meaningful additions to our cost structure.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 increased by $2.7 million to $8.8 million for the quarter ended March 31, 2021, compared to $6.1 million for the quarter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gridSpan w:val="4"/>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420" w:type="dxa"/>
            <w:vAlign w:val="bottom"/>
          </w:tcPr>
          <w:p>
            <w:pPr>
              <w:spacing w:after="0"/>
              <w:rPr>
                <w:sz w:val="21"/>
                <w:szCs w:val="21"/>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Amount</w:t>
            </w:r>
          </w:p>
        </w:tc>
        <w:tc>
          <w:tcPr>
            <w:tcW w:w="1860" w:type="dxa"/>
            <w:vAlign w:val="bottom"/>
          </w:tcPr>
          <w:p>
            <w:pPr>
              <w:jc w:val="right"/>
              <w:ind w:right="570"/>
              <w:spacing w:after="0"/>
              <w:rPr>
                <w:sz w:val="20"/>
                <w:szCs w:val="20"/>
                <w:color w:val="auto"/>
              </w:rPr>
            </w:pPr>
            <w:r>
              <w:rPr>
                <w:rFonts w:ascii="Arial" w:cs="Arial" w:eastAsia="Arial" w:hAnsi="Arial"/>
                <w:sz w:val="18"/>
                <w:szCs w:val="18"/>
                <w:b w:val="1"/>
                <w:bCs w:val="1"/>
                <w:color w:val="auto"/>
              </w:rPr>
              <w:t>Percent</w:t>
            </w:r>
          </w:p>
        </w:tc>
      </w:tr>
      <w:tr>
        <w:trPr>
          <w:trHeight w:val="21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0" w:type="dxa"/>
            <w:vAlign w:val="bottom"/>
            <w:tcBorders>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March 31, 2021</w:t>
            </w:r>
          </w:p>
        </w:tc>
        <w:tc>
          <w:tcPr>
            <w:tcW w:w="13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0"/>
              </w:rPr>
              <w:t>March 31, 2020</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8"/>
              </w:rPr>
              <w:t>Increase (Decrease)</w:t>
            </w: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Increase (Decrease)</w:t>
            </w: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4,697</w:t>
            </w: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3,446</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1,251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Occupancy and equipment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451</w:t>
            </w:r>
          </w:p>
        </w:tc>
        <w:tc>
          <w:tcPr>
            <w:tcW w:w="6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86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and software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629</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177</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Federal deposit insurance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280</w:t>
            </w:r>
          </w:p>
        </w:tc>
        <w:tc>
          <w:tcPr>
            <w:tcW w:w="6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1860" w:type="dxa"/>
            <w:vAlign w:val="bottom"/>
          </w:tcPr>
          <w:p>
            <w:pPr>
              <w:jc w:val="right"/>
              <w:spacing w:after="0"/>
              <w:rPr>
                <w:sz w:val="20"/>
                <w:szCs w:val="20"/>
                <w:color w:val="auto"/>
              </w:rPr>
            </w:pPr>
            <w:r>
              <w:rPr>
                <w:rFonts w:ascii="Arial" w:cs="Arial" w:eastAsia="Arial" w:hAnsi="Arial"/>
                <w:sz w:val="18"/>
                <w:szCs w:val="18"/>
                <w:color w:val="auto"/>
              </w:rPr>
              <w:t>36.59%</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1,532</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1,193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Advertising and promotional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170</w:t>
            </w:r>
          </w:p>
        </w:tc>
        <w:tc>
          <w:tcPr>
            <w:tcW w:w="6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4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1860" w:type="dxa"/>
            <w:vAlign w:val="bottom"/>
          </w:tcPr>
          <w:p>
            <w:pPr>
              <w:jc w:val="right"/>
              <w:spacing w:after="0"/>
              <w:rPr>
                <w:sz w:val="20"/>
                <w:szCs w:val="20"/>
                <w:color w:val="auto"/>
              </w:rPr>
            </w:pPr>
            <w:r>
              <w:rPr>
                <w:rFonts w:ascii="Arial" w:cs="Arial" w:eastAsia="Arial" w:hAnsi="Arial"/>
                <w:sz w:val="18"/>
                <w:szCs w:val="18"/>
                <w:color w:val="auto"/>
              </w:rPr>
              <w:t>(33.33)%</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Loan-related expenses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229</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r>
      <w:tr>
        <w:trPr>
          <w:trHeight w:val="216"/>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expenses</w:t>
            </w: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816</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888</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10"/>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380" w:type="dxa"/>
            <w:vAlign w:val="bottom"/>
            <w:tcBorders>
              <w:bottom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8,804</w:t>
            </w:r>
          </w:p>
        </w:tc>
        <w:tc>
          <w:tcPr>
            <w:tcW w:w="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6,096</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2,708</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433"/>
        </w:trPr>
        <w:tc>
          <w:tcPr>
            <w:tcW w:w="342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jc w:val="right"/>
              <w:ind w:right="170"/>
              <w:spacing w:after="0"/>
              <w:rPr>
                <w:sz w:val="20"/>
                <w:szCs w:val="20"/>
                <w:color w:val="auto"/>
              </w:rPr>
            </w:pPr>
            <w:r>
              <w:rPr>
                <w:rFonts w:ascii="Arial" w:cs="Arial" w:eastAsia="Arial" w:hAnsi="Arial"/>
                <w:sz w:val="18"/>
                <w:szCs w:val="18"/>
                <w:color w:val="auto"/>
              </w:rPr>
              <w:t>42</w:t>
            </w:r>
          </w:p>
        </w:tc>
        <w:tc>
          <w:tcPr>
            <w:tcW w:w="60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1440" w:type="dxa"/>
            <w:vAlign w:val="bottom"/>
            <w:tcBorders>
              <w:bottom w:val="single" w:sz="8" w:color="DCDCDC"/>
            </w:tcBorders>
          </w:tcPr>
          <w:p>
            <w:pPr>
              <w:spacing w:after="0"/>
              <w:rPr>
                <w:sz w:val="24"/>
                <w:szCs w:val="24"/>
                <w:color w:val="auto"/>
              </w:rPr>
            </w:pPr>
          </w:p>
        </w:tc>
        <w:tc>
          <w:tcPr>
            <w:tcW w:w="18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88" w:right="339" w:bottom="879"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i w:val="1"/>
          <w:iCs w:val="1"/>
          <w:color w:val="auto"/>
        </w:rPr>
        <w:t>Salaries and employee benefits</w:t>
      </w:r>
      <w:r>
        <w:rPr>
          <w:rFonts w:ascii="Arial" w:cs="Arial" w:eastAsia="Arial" w:hAnsi="Arial"/>
          <w:sz w:val="18"/>
          <w:szCs w:val="18"/>
          <w:color w:val="auto"/>
        </w:rPr>
        <w:t>. Salaries and employee benefits increased by $1.3 million to $4.7 million for the quarter ended March 31, 2021 from $3.4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2020, primarily related to an increase of full-time equivalent employees from 113 employees as of March 31, 2020 to 140 employees as of March 31, 2021, a 23.89% increase, and increased commissions related to our loan and deposit growth for the quarter ended March 31, 2021 compared to March 31, 2020.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Data processing and software</w:t>
      </w:r>
      <w:r>
        <w:rPr>
          <w:rFonts w:ascii="Arial" w:cs="Arial" w:eastAsia="Arial" w:hAnsi="Arial"/>
          <w:sz w:val="17"/>
          <w:szCs w:val="17"/>
          <w:color w:val="auto"/>
        </w:rPr>
        <w:t>. Data processing and software expenses increased by approximately $0.2 million period-over-period to $0.6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ended March 31, 2021. The increase was primarily due to (i) increased usage of our digital banking platform; (ii) higher transaction volumes related to the increased number of loan and deposit accounts; (iii) increased costs related to improved collateral tracking, electronic statements, and mobile payment solutions; and (iv) increased number of licenses for new users on our loan origination and documentation system.</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Professional services</w:t>
      </w:r>
      <w:r>
        <w:rPr>
          <w:rFonts w:ascii="Arial" w:cs="Arial" w:eastAsia="Arial" w:hAnsi="Arial"/>
          <w:sz w:val="18"/>
          <w:szCs w:val="18"/>
          <w:color w:val="auto"/>
        </w:rPr>
        <w:t>. Professional services expenses increased by approximately $1.2 million period-over-period to $1.5 million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which is due to increased audit, consulting, and legal costs incurred to support corporate organizational matters leading up to the IPO during the quarter ended March 31, 2021, which did not occur during the same quarter of the prior year.</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Advertising and promotional. </w:t>
      </w:r>
      <w:r>
        <w:rPr>
          <w:rFonts w:ascii="Arial" w:cs="Arial" w:eastAsia="Arial" w:hAnsi="Arial"/>
          <w:sz w:val="16"/>
          <w:szCs w:val="16"/>
          <w:color w:val="auto"/>
        </w:rPr>
        <w:t>Advertising and promotional expenses are comprised of advertising, marketing, sponsorship, and business development-related expenses, which decreased by approximately $0.1 million period-over-period to $0.2 million for the quarter ended March 31, 2021. The decrease primarily reflects the impact of the COVID-19 pandemic, resulting in reduced sponsorship events and business development-related expenses.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Loan-related expenses. </w:t>
      </w:r>
      <w:r>
        <w:rPr>
          <w:rFonts w:ascii="Arial" w:cs="Arial" w:eastAsia="Arial" w:hAnsi="Arial"/>
          <w:sz w:val="18"/>
          <w:szCs w:val="18"/>
          <w:color w:val="auto"/>
        </w:rPr>
        <w:t>Loan-related expenses are primarily comprised of appraisal, insurance and taxes, loan-related legal feels, UCC filings, credit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inspections, and amortization of servicing assets, and increased by approximately $0.1 million period-over-period to $0.2 million for the quarter ended March 31, 2021, primarily due to loan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State income tax expense was $0.4 million and $0.3 million for the quarters ended March 31, 2021 and 2020, respectively, with an effective tax rate of 3.5%. During the periods discussed, we elected to be taxed as an S Corporation. Under these provisions, we did not pay corporate U.S. federal income tax on our taxable income. Instead, our taxable income was “passed through” to our shareholders. See the section entitled “S Corporation Status” above for a discussion of our status as an S Corporation and “Pro Forma Income Tax Expense and Net Income” below for a discussion on what our income tax expense and net income would have been had we been taxed as a C Corporation..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Income Tax Expense and Net Income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our status as an S Corporation, we had no U.S. federal income tax expense for the three months ended March 31, 2021 and 2020. Had we been taxed as a C Corporation and paid U.S. federal income tax for the three months ended March 31, 2021 and 2020, our combined statutory income tax rate would have been 29.56% in each period. These pro forma statutory rates reflect a U.S. federal income tax rate of 21.0% and a California income tax rate of 8.56%, after adjustment for the federal tax benefit, on corporate income and the fact that a portion of our net income in each of these periods was derived from nontaxable income and other nondeductible expenses. Our net income for the three months ended March 31, 2021 and 2020 was $10.3 million and $7.0 million, respectively. Had we been subject to U.S. federal income tax during these periods, on a pro forma basis, our provision for combined federal and state income tax would have been $3.2 million and $2.1 million, respectively, for the three months ended March 31, 2021 and 2020. As a result of the foregoing factors, our pro forma net income (after U.S. federal and California state income tax) for the three months ended March 31, 2021 and 2020 would have been $7.5 million and $5.1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FINANCIAL CONDITION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compares our financial condition as of March 31, 2021 to December 31, 2020. The following table summarizes selected components of our balance sheet as of March 31, 2021 and December 31, 2020.</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30,</w:t>
            </w: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r>
      <w:tr>
        <w:trPr>
          <w:trHeight w:val="209"/>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2,150,737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1,953,765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434,592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290,493</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133,737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122,928</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Total loans,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1,521,222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1,480,970</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1,983,110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1,784,001</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Total subordinated notes,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28,336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28,320</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131,377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133,775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2021, total assets was $2,150.7 million, an increase of $196.9 million, from $1,953.8 million at December 31, 2020, mainly due to increases in cash and cash equivalents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cash and cash equivalents were $434.6 million at March 31, 2021, an increase of $144.1 million compared to $290.5 million at December 31, 2020. The increase was primarily due to an increase of deposit balances of $199.4 million. This was partially offset by increases in investment securities and loans as the Company redeploys its excess liquidity from deposit inflows, of which approximately $109.2 million related to PPP second draw loan funding.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portfolio is generally comprised of guaranteed U.S. government agency securities and obligations of states and political subdivisions, which are high-quality liquid investments under Basel III. We manage our investment portfolio according to written investment policies approved by our board of directors. Our investment strategy aims to maximize earnings while maintaining liquidity in securities with minimal credit risk and interest rate risk that is reflective in the yields obtained on those securities. Most of our securities are classified as available-for-sale, although we have one long-term, fixed rate municipal security classified as held-to-maturity.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total securities held for investment and available-for-sale amounted to $133.7 million at March 31, 2021 and $122.9 million at December 31, 2020, an increase of $10.8 million. The increase was primarily due to purchases of $28.8 million of U.S. Government treasuries, municipal securities, and mortgage-backed securities to deploy excess cash into interest earning assets in a more favorable interest rate environment, partially offset by the sale of $11.5 million of low yielding municipal securities, and paydowns, calls and maturities of $4.5 million. Additionally, the fair value of available-for-sale securities decreased $1.8 million as a result of the higher interest rate environment in the first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presents the carrying value of our investment portfolio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As of</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March 31, 2021</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4"/>
              </w:rPr>
              <w:t>Carrying</w:t>
            </w:r>
          </w:p>
        </w:tc>
        <w:tc>
          <w:tcPr>
            <w:tcW w:w="148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16"/>
                <w:szCs w:val="16"/>
                <w:color w:val="auto"/>
              </w:rPr>
            </w:pPr>
          </w:p>
        </w:tc>
        <w:tc>
          <w:tcPr>
            <w:tcW w:w="132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w w:val="97"/>
              </w:rPr>
              <w:t>Carrying</w:t>
            </w:r>
          </w:p>
        </w:tc>
        <w:tc>
          <w:tcPr>
            <w:tcW w:w="116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0" w:type="dxa"/>
            <w:vAlign w:val="bottom"/>
          </w:tcPr>
          <w:p>
            <w:pPr>
              <w:spacing w:after="0"/>
              <w:rPr>
                <w:sz w:val="1"/>
                <w:szCs w:val="1"/>
                <w:color w:val="auto"/>
              </w:rPr>
            </w:pPr>
          </w:p>
        </w:tc>
      </w:tr>
      <w:tr>
        <w:trPr>
          <w:trHeight w:val="126"/>
        </w:trPr>
        <w:tc>
          <w:tcPr>
            <w:tcW w:w="4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8"/>
                <w:szCs w:val="18"/>
                <w:b w:val="1"/>
                <w:bCs w:val="1"/>
                <w:color w:val="auto"/>
                <w:w w:val="87"/>
              </w:rPr>
              <w:t>Value</w:t>
            </w:r>
          </w:p>
        </w:tc>
        <w:tc>
          <w:tcPr>
            <w:tcW w:w="14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 fair value)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Mortgage-backed securities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34,189</w:t>
            </w:r>
          </w:p>
        </w:tc>
        <w:tc>
          <w:tcPr>
            <w:tcW w:w="14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25.56%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23,932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U.S. Government treasuries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9,981</w:t>
            </w:r>
          </w:p>
        </w:tc>
        <w:tc>
          <w:tcPr>
            <w:tcW w:w="1480" w:type="dxa"/>
            <w:vAlign w:val="bottom"/>
            <w:gridSpan w:val="3"/>
          </w:tcPr>
          <w:p>
            <w:pPr>
              <w:jc w:val="right"/>
              <w:ind w:right="230"/>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30,456</w:t>
            </w:r>
          </w:p>
        </w:tc>
        <w:tc>
          <w:tcPr>
            <w:tcW w:w="14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31,828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51,924</w:t>
            </w:r>
          </w:p>
        </w:tc>
        <w:tc>
          <w:tcPr>
            <w:tcW w:w="1480" w:type="dxa"/>
            <w:vAlign w:val="bottom"/>
            <w:gridSpan w:val="3"/>
          </w:tcPr>
          <w:p>
            <w:pPr>
              <w:jc w:val="right"/>
              <w:ind w:right="230"/>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58,420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Collateralized mortgage obligations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480"/>
              <w:spacing w:after="0"/>
              <w:rPr>
                <w:sz w:val="20"/>
                <w:szCs w:val="20"/>
                <w:color w:val="auto"/>
              </w:rPr>
            </w:pPr>
            <w:r>
              <w:rPr>
                <w:rFonts w:ascii="Arial" w:cs="Arial" w:eastAsia="Arial" w:hAnsi="Arial"/>
                <w:sz w:val="18"/>
                <w:szCs w:val="18"/>
                <w:color w:val="auto"/>
              </w:rPr>
              <w:t>Total available-for-sale</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127,251</w:t>
            </w:r>
          </w:p>
        </w:tc>
        <w:tc>
          <w:tcPr>
            <w:tcW w:w="4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114,949</w:t>
            </w:r>
          </w:p>
        </w:tc>
        <w:tc>
          <w:tcPr>
            <w:tcW w:w="4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Held-to-maturity: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 amortized cost)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6,486</w:t>
            </w:r>
          </w:p>
        </w:tc>
        <w:tc>
          <w:tcPr>
            <w:tcW w:w="1480" w:type="dxa"/>
            <w:vAlign w:val="bottom"/>
            <w:gridSpan w:val="3"/>
          </w:tcPr>
          <w:p>
            <w:pPr>
              <w:jc w:val="right"/>
              <w:ind w:right="23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7,979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133,737</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6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vMerge w:val="continue"/>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The following table presents the book value of our securities by their stated maturities, as well as the weighted average yields for each maturity range,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Due in one year</w:t>
            </w:r>
          </w:p>
        </w:tc>
        <w:tc>
          <w:tcPr>
            <w:tcW w:w="100" w:type="dxa"/>
            <w:vAlign w:val="bottom"/>
          </w:tcPr>
          <w:p>
            <w:pPr>
              <w:spacing w:after="0"/>
              <w:rPr>
                <w:sz w:val="14"/>
                <w:szCs w:val="14"/>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Dues after one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Due after five</w:t>
            </w:r>
          </w:p>
        </w:tc>
        <w:tc>
          <w:tcPr>
            <w:tcW w:w="80" w:type="dxa"/>
            <w:vAlign w:val="bottom"/>
          </w:tcPr>
          <w:p>
            <w:pPr>
              <w:spacing w:after="0"/>
              <w:rPr>
                <w:sz w:val="14"/>
                <w:szCs w:val="14"/>
                <w:color w:val="auto"/>
              </w:rPr>
            </w:pPr>
          </w:p>
        </w:tc>
        <w:tc>
          <w:tcPr>
            <w:tcW w:w="16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8"/>
              </w:rPr>
              <w:t>Due after ten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4"/>
              </w:rPr>
              <w:t>or less</w:t>
            </w: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year through five years</w:t>
            </w:r>
          </w:p>
        </w:tc>
        <w:tc>
          <w:tcPr>
            <w:tcW w:w="1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years through ten years</w:t>
            </w:r>
          </w:p>
        </w:tc>
        <w:tc>
          <w:tcPr>
            <w:tcW w:w="8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Book</w:t>
            </w: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Book</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Book</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Book</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Book</w:t>
            </w: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Avg</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Avg</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Avg</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Yield</w:t>
            </w:r>
          </w:p>
        </w:tc>
        <w:tc>
          <w:tcPr>
            <w:tcW w:w="8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Mortgage-backed securities</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30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2"/>
                <w:szCs w:val="12"/>
                <w:color w:val="auto"/>
              </w:rPr>
            </w:pP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34,189</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34,189</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Government agencies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653</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6,241</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23,562</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30,456</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U.S. Government treasuries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0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9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9,981</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9,981</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Obligations of states and political</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subdivisions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7,313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43,417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51,924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Collateralized mortgage obligations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0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9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701</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701</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w w:val="99"/>
              </w:rPr>
              <w:t>—</w:t>
            </w:r>
          </w:p>
        </w:tc>
        <w:tc>
          <w:tcPr>
            <w:tcW w:w="3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2"/>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1,847</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2.36%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23,535</w:t>
            </w:r>
          </w:p>
        </w:tc>
        <w:tc>
          <w:tcPr>
            <w:tcW w:w="3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1.31%</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101,869</w:t>
            </w:r>
          </w:p>
        </w:tc>
        <w:tc>
          <w:tcPr>
            <w:tcW w:w="3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127,251</w:t>
            </w:r>
          </w:p>
        </w:tc>
        <w:tc>
          <w:tcPr>
            <w:tcW w:w="104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Held-to-maturity: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Obligations of states and political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160"/>
              <w:spacing w:after="0"/>
              <w:rPr>
                <w:sz w:val="20"/>
                <w:szCs w:val="20"/>
                <w:color w:val="auto"/>
              </w:rPr>
            </w:pPr>
            <w:r>
              <w:rPr>
                <w:rFonts w:ascii="Arial" w:cs="Arial" w:eastAsia="Arial" w:hAnsi="Arial"/>
                <w:sz w:val="14"/>
                <w:szCs w:val="14"/>
                <w:color w:val="auto"/>
              </w:rPr>
              <w:t>subdivisions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ind w:left="30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9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6,486</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6,486</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1.31%</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line="20" w:lineRule="exact"/>
              <w:rPr>
                <w:sz w:val="1"/>
                <w:szCs w:val="1"/>
                <w:color w:val="auto"/>
              </w:rPr>
            </w:pPr>
          </w:p>
        </w:tc>
      </w:tr>
      <w:tr>
        <w:trPr>
          <w:trHeight w:val="183"/>
        </w:trPr>
        <w:tc>
          <w:tcPr>
            <w:tcW w:w="2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w:t>
            </w:r>
          </w:p>
        </w:tc>
        <w:tc>
          <w:tcPr>
            <w:tcW w:w="32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2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23,535</w:t>
            </w: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4"/>
              </w:rPr>
              <w:t>108,355</w:t>
            </w:r>
          </w:p>
        </w:tc>
        <w:tc>
          <w:tcPr>
            <w:tcW w:w="840" w:type="dxa"/>
            <w:vAlign w:val="bottom"/>
            <w:gridSpan w:val="2"/>
            <w:vMerge w:val="continue"/>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133,737</w:t>
            </w:r>
          </w:p>
        </w:tc>
        <w:tc>
          <w:tcPr>
            <w:tcW w:w="10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Weighted average yield for securities available-for-sale is the projected yield to maturity given current cash flow projections for mortgage backed securities and collateralized mortgage obligations and is a yield to worst for callable securities. Weighted average yield for securities held-to-maturity is the stated coupon of the bond.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 summary of the amortized cost and fair value related to securities as of March 31, 2021 and December 31, 2020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274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Pr>
          <w:p>
            <w:pPr>
              <w:spacing w:after="0"/>
              <w:rPr>
                <w:sz w:val="20"/>
                <w:szCs w:val="20"/>
                <w:color w:val="auto"/>
              </w:rPr>
            </w:pPr>
          </w:p>
        </w:tc>
        <w:tc>
          <w:tcPr>
            <w:tcW w:w="24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Gross Unrealized</w:t>
            </w:r>
          </w:p>
        </w:tc>
        <w:tc>
          <w:tcPr>
            <w:tcW w:w="280" w:type="dxa"/>
            <w:vAlign w:val="bottom"/>
          </w:tcPr>
          <w:p>
            <w:pPr>
              <w:spacing w:after="0"/>
              <w:rPr>
                <w:sz w:val="20"/>
                <w:szCs w:val="20"/>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auto"/>
            </w:tcBorders>
            <w:vMerge w:val="continue"/>
          </w:tcPr>
          <w:p>
            <w:pPr>
              <w:spacing w:after="0"/>
              <w:rPr>
                <w:sz w:val="18"/>
                <w:szCs w:val="18"/>
                <w:color w:val="auto"/>
              </w:rPr>
            </w:pPr>
          </w:p>
        </w:tc>
        <w:tc>
          <w:tcPr>
            <w:tcW w:w="2740" w:type="dxa"/>
            <w:vAlign w:val="bottom"/>
            <w:tcBorders>
              <w:bottom w:val="single" w:sz="8" w:color="auto"/>
            </w:tcBorders>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Gains</w:t>
            </w: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3"/>
              </w:rPr>
              <w:t>(Losses)</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Available-for-sale:</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34,423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34,189</w:t>
            </w:r>
          </w:p>
        </w:tc>
        <w:tc>
          <w:tcPr>
            <w:tcW w:w="0" w:type="dxa"/>
            <w:vAlign w:val="bottom"/>
          </w:tcPr>
          <w:p>
            <w:pPr>
              <w:spacing w:after="0"/>
              <w:rPr>
                <w:sz w:val="1"/>
                <w:szCs w:val="1"/>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1440" w:type="dxa"/>
            <w:vAlign w:val="bottom"/>
          </w:tcPr>
          <w:p>
            <w:pPr>
              <w:spacing w:after="0"/>
              <w:rPr>
                <w:sz w:val="18"/>
                <w:szCs w:val="18"/>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30,670</w:t>
            </w:r>
          </w:p>
        </w:tc>
        <w:tc>
          <w:tcPr>
            <w:tcW w:w="1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treasuries</w:t>
            </w: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10,060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9,981</w:t>
            </w:r>
          </w:p>
        </w:tc>
        <w:tc>
          <w:tcPr>
            <w:tcW w:w="0" w:type="dxa"/>
            <w:vAlign w:val="bottom"/>
          </w:tcPr>
          <w:p>
            <w:pPr>
              <w:spacing w:after="0"/>
              <w:rPr>
                <w:sz w:val="1"/>
                <w:szCs w:val="1"/>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1440" w:type="dxa"/>
            <w:vAlign w:val="bottom"/>
          </w:tcPr>
          <w:p>
            <w:pPr>
              <w:spacing w:after="0"/>
              <w:rPr>
                <w:sz w:val="18"/>
                <w:szCs w:val="18"/>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51,819</w:t>
            </w:r>
          </w:p>
        </w:tc>
        <w:tc>
          <w:tcPr>
            <w:tcW w:w="1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51,924</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1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682</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available-for-sale</w:t>
            </w: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127,654</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913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127,251</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Held-to-Maturity:</w:t>
            </w: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6,486</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246</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2020</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4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23,601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338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32,069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16"/>
        </w:trPr>
        <w:tc>
          <w:tcPr>
            <w:tcW w:w="4540" w:type="dxa"/>
            <w:vAlign w:val="bottom"/>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1440" w:type="dxa"/>
            <w:vAlign w:val="bottom"/>
          </w:tcPr>
          <w:p>
            <w:pPr>
              <w:spacing w:after="0"/>
              <w:rPr>
                <w:sz w:val="18"/>
                <w:szCs w:val="18"/>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57,137</w:t>
            </w:r>
          </w:p>
        </w:tc>
        <w:tc>
          <w:tcPr>
            <w:tcW w:w="1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1,291</w:t>
            </w: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1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748</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available-for-sale</w:t>
            </w: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113,555</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1,761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114,949</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Held-to-Maturity:</w:t>
            </w: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7,979</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776</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unrealized losses on securities are attributed to interest rate changes rather than the marketability of the securities or the issuer’s ability to honor redemption of the obligations, as the securities with losses are all obligations of or guaranteed by agencies sponsored by the U.S. government. We have adequate liquidity with the ability and intent to hold these securities to maturity resulting in full recovery of the indicated impairment. Accordingly, none of the unrealized losses on these securities have been determined to be other than temporary.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loan portfolio is our largest class of earning assets and typically provides higher yields than other types of earning assets. Associated with the higher yields is an inherent amount of credit risk which we attempt to mitigate with strong underwriting. As of March 31, 2021 and December 31, 2020, our total loans held for investment amounted to $1,521.2 million, net of allowance for loan losses of $22.3 million, and $1,481.0 million, net of allowance for loan losses of $22.2 million, respectively. The following table presents the balance and associated percentage of each major product type within our portfolio as of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of</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As of March 31, 2021</w:t>
            </w:r>
          </w:p>
        </w:tc>
        <w:tc>
          <w:tcPr>
            <w:tcW w:w="140" w:type="dxa"/>
            <w:vAlign w:val="bottom"/>
          </w:tcPr>
          <w:p>
            <w:pPr>
              <w:spacing w:after="0"/>
              <w:rPr>
                <w:sz w:val="19"/>
                <w:szCs w:val="19"/>
                <w:color w:val="auto"/>
              </w:rPr>
            </w:pPr>
          </w:p>
        </w:tc>
        <w:tc>
          <w:tcPr>
            <w:tcW w:w="2300" w:type="dxa"/>
            <w:vAlign w:val="bottom"/>
            <w:gridSpan w:val="3"/>
          </w:tcPr>
          <w:p>
            <w:pPr>
              <w:ind w:left="140"/>
              <w:spacing w:after="0"/>
              <w:rPr>
                <w:sz w:val="20"/>
                <w:szCs w:val="20"/>
                <w:color w:val="auto"/>
              </w:rPr>
            </w:pPr>
            <w:r>
              <w:rPr>
                <w:rFonts w:ascii="Arial" w:cs="Arial" w:eastAsia="Arial" w:hAnsi="Arial"/>
                <w:sz w:val="18"/>
                <w:szCs w:val="18"/>
                <w:b w:val="1"/>
                <w:bCs w:val="1"/>
                <w:color w:val="auto"/>
              </w:rPr>
              <w:t>As of 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 of</w:t>
            </w:r>
          </w:p>
        </w:tc>
        <w:tc>
          <w:tcPr>
            <w:tcW w:w="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Amount</w:t>
            </w:r>
          </w:p>
        </w:tc>
        <w:tc>
          <w:tcPr>
            <w:tcW w:w="14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Loans</w:t>
            </w:r>
          </w:p>
        </w:tc>
        <w:tc>
          <w:tcPr>
            <w:tcW w:w="14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Amount</w:t>
            </w:r>
          </w:p>
        </w:tc>
        <w:tc>
          <w:tcPr>
            <w:tcW w:w="11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Real Estate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1,053,417</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67.88%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1,002,497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11,070</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0.71%</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10,600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66,979</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7,843</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11,914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26,216</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47,298</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50,164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129,502</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138,676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19,224</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Paycheck Protection Program</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182,876</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147,965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20"/>
              <w:spacing w:after="0"/>
              <w:rPr>
                <w:sz w:val="20"/>
                <w:szCs w:val="20"/>
                <w:color w:val="auto"/>
              </w:rPr>
            </w:pPr>
            <w:r>
              <w:rPr>
                <w:rFonts w:ascii="Arial" w:cs="Arial" w:eastAsia="Arial" w:hAnsi="Arial"/>
                <w:sz w:val="18"/>
                <w:szCs w:val="18"/>
                <w:color w:val="auto"/>
              </w:rPr>
              <w:t>Total loans held for investment</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1,548,875</w:t>
            </w:r>
          </w:p>
        </w:tc>
        <w:tc>
          <w:tcPr>
            <w:tcW w:w="420" w:type="dxa"/>
            <w:vAlign w:val="bottom"/>
            <w:vMerge w:val="continue"/>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99.80%</w:t>
            </w:r>
          </w:p>
        </w:tc>
        <w:tc>
          <w:tcPr>
            <w:tcW w:w="140" w:type="dxa"/>
            <w:vAlign w:val="bottom"/>
          </w:tcPr>
          <w:p>
            <w:pPr>
              <w:spacing w:after="0"/>
              <w:rPr>
                <w:sz w:val="18"/>
                <w:szCs w:val="18"/>
                <w:color w:val="auto"/>
              </w:rPr>
            </w:pPr>
          </w:p>
        </w:tc>
        <w:tc>
          <w:tcPr>
            <w:tcW w:w="860" w:type="dxa"/>
            <w:vAlign w:val="bottom"/>
          </w:tcPr>
          <w:p>
            <w:pPr>
              <w:ind w:left="140"/>
              <w:spacing w:after="0"/>
              <w:rPr>
                <w:sz w:val="20"/>
                <w:szCs w:val="20"/>
                <w:color w:val="auto"/>
              </w:rPr>
            </w:pPr>
            <w:r>
              <w:rPr>
                <w:rFonts w:ascii="Arial" w:cs="Arial" w:eastAsia="Arial" w:hAnsi="Arial"/>
                <w:sz w:val="18"/>
                <w:szCs w:val="18"/>
                <w:color w:val="auto"/>
                <w:w w:val="87"/>
              </w:rPr>
              <w:t>1,506,454</w:t>
            </w:r>
          </w:p>
        </w:tc>
        <w:tc>
          <w:tcPr>
            <w:tcW w:w="44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Loans held for sale: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3,060</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7"/>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loans before deferred fees</w:t>
            </w:r>
          </w:p>
        </w:tc>
        <w:tc>
          <w:tcPr>
            <w:tcW w:w="3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1,551,935</w:t>
            </w:r>
          </w:p>
        </w:tc>
        <w:tc>
          <w:tcPr>
            <w:tcW w:w="4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ind w:left="160"/>
              <w:spacing w:after="0"/>
              <w:rPr>
                <w:sz w:val="20"/>
                <w:szCs w:val="20"/>
                <w:color w:val="auto"/>
              </w:rPr>
            </w:pPr>
            <w:r>
              <w:rPr>
                <w:rFonts w:ascii="Arial" w:cs="Arial" w:eastAsia="Arial" w:hAnsi="Arial"/>
                <w:sz w:val="18"/>
                <w:szCs w:val="18"/>
                <w:color w:val="auto"/>
                <w:w w:val="84"/>
              </w:rPr>
              <w:t>1,511,274</w:t>
            </w:r>
          </w:p>
        </w:tc>
        <w:tc>
          <w:tcPr>
            <w:tcW w:w="4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deferred loan fees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(5,382)</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(3,295)</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1,546,553</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7"/>
              </w:rPr>
              <w:t>1,507,979</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4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Commercial real estate loans consist of term loans secured by a mortgage lien on the real property, such as office and industrial buildings, manufactured home communities, self-storage, hospitality, faith-based properties, retail shopping centers and apartment buildings, as well as commercial real estate construction loans that are offered to builders and developers.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land and construction loans consist of loans made to fund commercial construction and land acquisition and development. The real estate purchased with these loans is generally located in or near our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consist of financing for commercial purposes in various lines of businesses, including manufacturing, service industry and professional service areas. Commercial loans can be secured or unsecured but are generally secured with the assets of the company and/or the personal guarantee of the business owners.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Residential real estate and construction real estate loans consist of loans secured by single-family and multifamily residential properties, which are both owner-occupied and investor-owned.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present the commercial real estate loan balance, associated percentage of commercial real estate concentrations by collateral type, estimated collateral values and related loan to value (“LTV”) ranges as of the dates indicated. Revolving lines of credit with zero balance and 0.0% LTV are excluded from this table. Collateral values are determined at origination using third party real estate appraisals or evaluations. Updated appraisals are obtained for loans that are downgraded to watch or substandard. Loans over $1.0 million are reviewed annually, at which time an internal assessment of collateral values is completed.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1"/>
              </w:rPr>
              <w:t>Commercial</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Collateral</w:t>
            </w:r>
          </w:p>
        </w:tc>
        <w:tc>
          <w:tcPr>
            <w:tcW w:w="1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Minimum</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Maximum</w:t>
            </w:r>
          </w:p>
        </w:tc>
      </w:t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Loan Balance</w:t>
            </w:r>
          </w:p>
        </w:tc>
        <w:tc>
          <w:tcPr>
            <w:tcW w:w="14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0"/>
              </w:rPr>
              <w:t>Real Estate</w:t>
            </w:r>
          </w:p>
        </w:tc>
        <w:tc>
          <w:tcPr>
            <w:tcW w:w="10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4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LTV</w:t>
            </w: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LTV</w:t>
            </w:r>
          </w:p>
        </w:tc>
      </w:tr>
      <w:tr>
        <w:trPr>
          <w:trHeight w:val="190"/>
        </w:trPr>
        <w:tc>
          <w:tcPr>
            <w:tcW w:w="12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2"/>
              </w:rPr>
              <w:t>March 31, 2021</w:t>
            </w:r>
          </w:p>
        </w:tc>
        <w:tc>
          <w:tcPr>
            <w:tcW w:w="26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Manufactured home community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283,470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26.91%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487,978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0.14%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73.84%</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Office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112,018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236,722</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3.46%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101,682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198,561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4.47%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75.83%</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Faith based</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93,268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238,748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3.84%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74.27%</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Mini storage</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70,448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127,380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21.13%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69.30%</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71,655</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175,875</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75.09%</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75,150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195,305</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0.85%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Mixed use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63,947</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121,198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2.64%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74.46%</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All other types*</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181,779</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422,331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4.50%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84.25%</w:t>
            </w:r>
          </w:p>
        </w:tc>
      </w:tr>
      <w:tr>
        <w:trPr>
          <w:trHeight w:val="223"/>
        </w:trPr>
        <w:tc>
          <w:tcPr>
            <w:tcW w:w="42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1,053,417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2,204,098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1"/>
              </w:rPr>
              <w:t>Commercial</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Collateral</w:t>
            </w:r>
          </w:p>
        </w:tc>
        <w:tc>
          <w:tcPr>
            <w:tcW w:w="1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Minimum</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Maximum</w:t>
            </w:r>
          </w:p>
        </w:tc>
      </w:t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Loan Balance</w:t>
            </w:r>
          </w:p>
        </w:tc>
        <w:tc>
          <w:tcPr>
            <w:tcW w:w="14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0"/>
              </w:rPr>
              <w:t>Real Estate</w:t>
            </w:r>
          </w:p>
        </w:tc>
        <w:tc>
          <w:tcPr>
            <w:tcW w:w="10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4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LTV</w:t>
            </w: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LTV</w:t>
            </w:r>
          </w:p>
        </w:tc>
      </w:tr>
      <w:tr>
        <w:trPr>
          <w:trHeight w:val="169"/>
        </w:trPr>
        <w:tc>
          <w:tcPr>
            <w:tcW w:w="38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December 31, 2020</w:t>
            </w: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0"/>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Manufactured home community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244,156</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24.35%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421,048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12.12%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73.64%</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Office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115,913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237,837</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104,878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208,632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4.52%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76.14%</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Faith based</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92,885</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242,148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3.23%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73.18%</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Mini storage</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69,973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120,010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21.19%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69,153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174,140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75.55%</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66,113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171,411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0.33%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Mixed use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62,531</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119,333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All other types*</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176,895</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413,381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84.89%</w:t>
            </w:r>
          </w:p>
        </w:tc>
      </w:tr>
      <w:tr>
        <w:trPr>
          <w:trHeight w:val="223"/>
        </w:trPr>
        <w:tc>
          <w:tcPr>
            <w:tcW w:w="42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1,002,497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2,107,940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36" w:lineRule="auto"/>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Types of collateral in the “all other types” category are those that individually make up less than 5.0% commercial real estate concentration and include hospitality, auto dealerships, car washes, assisted living communities, country clubs, gas stations/convenience stores, medical offices, special purpose property, mortuaries, restaurants and schools.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17"/>
          <w:szCs w:val="17"/>
          <w:color w:val="auto"/>
        </w:rPr>
        <w:t>Over the past few years, we have experienced significant growth in our loan portfolio, although the relative composition of the portfolio has not changed significantly (when PPP loans are excluded). Our primary focus remains commercial real estate lending (including commercial, commercial land and development, and commercial construction), which constitutes 72.91% of our portfolio at March 31, 2021, excluding PPP loans. Commercial secured lending (consisting primarily of SBA 7(a) loans under $350,000) represents 8.34% of our portfolio at March 31, 2021. We sell the guaranteed portion of all SBA 7(a) loans in the secondary market and will continue to do so as long as market conditions continue to be favorable.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that our commercial real estate loan concentration is significant within our balance sheet. Commercial real estate loan balances as a percentage of risk-based capital were 642.07% and 624.70% as of March 31, 2021 and December 31, 2020, respectively. We have established internal concentration limits in the loan portfolio for commercial real estate loans by sector (i.e., manufactured home communities, self-storage, hospitality, etc.). All loan sectors are within our established limits as of March 31, 2021. Additionally, our loans are geographically concentrated with borrowers and collateral properties primarily in California.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 down and bottom up stress testing. We expect to continue growing our loan portfolio. We do not expect our product or geographic concentrations to materially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as of March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color w:val="auto"/>
                <w:w w:val="89"/>
              </w:rPr>
              <w:t>Due after 1</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w w:val="98"/>
              </w:rPr>
              <w:t>Due after 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Due in 1</w:t>
            </w:r>
          </w:p>
        </w:tc>
        <w:tc>
          <w:tcPr>
            <w:tcW w:w="360" w:type="dxa"/>
            <w:vAlign w:val="bottom"/>
          </w:tcPr>
          <w:p>
            <w:pPr>
              <w:spacing w:after="0"/>
              <w:rPr>
                <w:sz w:val="18"/>
                <w:szCs w:val="18"/>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year through</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years through</w:t>
            </w:r>
          </w:p>
        </w:tc>
        <w:tc>
          <w:tcPr>
            <w:tcW w:w="1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Due after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year or less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5 years</w:t>
            </w:r>
          </w:p>
        </w:tc>
        <w:tc>
          <w:tcPr>
            <w:tcW w:w="16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15 years</w:t>
            </w:r>
          </w:p>
        </w:tc>
        <w:tc>
          <w:tcPr>
            <w:tcW w:w="12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15 years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Loans: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Real Estate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93,411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888,241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33,710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1,053,417</w:t>
            </w:r>
          </w:p>
        </w:tc>
        <w:tc>
          <w:tcPr>
            <w:tcW w:w="0" w:type="dxa"/>
            <w:vAlign w:val="bottom"/>
          </w:tcPr>
          <w:p>
            <w:pPr>
              <w:spacing w:after="0"/>
              <w:rPr>
                <w:sz w:val="1"/>
                <w:szCs w:val="1"/>
                <w:color w:val="auto"/>
              </w:rPr>
            </w:pPr>
          </w:p>
        </w:tc>
      </w:tr>
      <w:tr>
        <w:trPr>
          <w:trHeight w:val="216"/>
        </w:trPr>
        <w:tc>
          <w:tcPr>
            <w:tcW w:w="3940" w:type="dxa"/>
            <w:vAlign w:val="bottom"/>
          </w:tcPr>
          <w:p>
            <w:pPr>
              <w:ind w:left="5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6,966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3,672</w:t>
            </w: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19,038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37,419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66,979</w:t>
            </w:r>
          </w:p>
        </w:tc>
        <w:tc>
          <w:tcPr>
            <w:tcW w:w="0" w:type="dxa"/>
            <w:vAlign w:val="bottom"/>
          </w:tcPr>
          <w:p>
            <w:pPr>
              <w:spacing w:after="0"/>
              <w:rPr>
                <w:sz w:val="1"/>
                <w:szCs w:val="1"/>
                <w:color w:val="auto"/>
              </w:rPr>
            </w:pPr>
          </w:p>
        </w:tc>
      </w:tr>
      <w:tr>
        <w:trPr>
          <w:trHeight w:val="216"/>
        </w:trPr>
        <w:tc>
          <w:tcPr>
            <w:tcW w:w="3940" w:type="dxa"/>
            <w:vAlign w:val="bottom"/>
          </w:tcPr>
          <w:p>
            <w:pPr>
              <w:ind w:left="56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6,131</w:t>
            </w: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6,970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16,047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216"/>
        </w:trPr>
        <w:tc>
          <w:tcPr>
            <w:tcW w:w="3940" w:type="dxa"/>
            <w:vAlign w:val="bottom"/>
          </w:tcPr>
          <w:p>
            <w:pPr>
              <w:ind w:left="56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3,306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7,192</w:t>
            </w: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36,800</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47,298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5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38,213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34,536</w:t>
            </w: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59,613</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132,562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17,283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3940" w:type="dxa"/>
            <w:vAlign w:val="bottom"/>
          </w:tcPr>
          <w:p>
            <w:pPr>
              <w:ind w:left="560"/>
              <w:spacing w:after="0"/>
              <w:rPr>
                <w:sz w:val="20"/>
                <w:szCs w:val="20"/>
                <w:color w:val="auto"/>
              </w:rPr>
            </w:pPr>
            <w:r>
              <w:rPr>
                <w:rFonts w:ascii="Arial" w:cs="Arial" w:eastAsia="Arial" w:hAnsi="Arial"/>
                <w:sz w:val="18"/>
                <w:szCs w:val="18"/>
                <w:color w:val="auto"/>
              </w:rPr>
              <w:t>Paycheck Protection Program</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182,848</w:t>
            </w: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182,876</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and other</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3,387</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3"/>
        </w:trPr>
        <w:tc>
          <w:tcPr>
            <w:tcW w:w="3940" w:type="dxa"/>
            <w:vAlign w:val="bottom"/>
          </w:tcPr>
          <w:p>
            <w:pPr>
              <w:ind w:left="56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358,279</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1,056,807</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35,669</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1,551,935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94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vMerge w:val="continue"/>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sets forth the sensitivity to interest rate changes to our loan portfolio as of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Fixed</w:t>
            </w: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Floating or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Adjustable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Rates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Rates</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68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Loans:</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Real Estate -</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151,928</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901,489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1,053,417</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5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10,332</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11,070</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65,786</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66,979</w:t>
            </w:r>
          </w:p>
        </w:tc>
      </w:tr>
      <w:tr>
        <w:trPr>
          <w:trHeight w:val="216"/>
        </w:trPr>
        <w:tc>
          <w:tcPr>
            <w:tcW w:w="6860" w:type="dxa"/>
            <w:vAlign w:val="bottom"/>
          </w:tcPr>
          <w:p>
            <w:pPr>
              <w:ind w:left="56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7,843</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7,843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23,287</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26,216</w:t>
            </w:r>
          </w:p>
        </w:tc>
      </w:tr>
      <w:tr>
        <w:trPr>
          <w:trHeight w:val="216"/>
        </w:trPr>
        <w:tc>
          <w:tcPr>
            <w:tcW w:w="6860" w:type="dxa"/>
            <w:vAlign w:val="bottom"/>
          </w:tcPr>
          <w:p>
            <w:pPr>
              <w:ind w:left="56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4,397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42,901</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47,298</w:t>
            </w: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5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31,360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101,202</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132,562</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19,224</w:t>
            </w:r>
          </w:p>
        </w:tc>
      </w:tr>
      <w:tr>
        <w:trPr>
          <w:trHeight w:val="216"/>
        </w:trPr>
        <w:tc>
          <w:tcPr>
            <w:tcW w:w="6860" w:type="dxa"/>
            <w:vAlign w:val="bottom"/>
          </w:tcPr>
          <w:p>
            <w:pPr>
              <w:ind w:left="560"/>
              <w:spacing w:after="0"/>
              <w:rPr>
                <w:sz w:val="20"/>
                <w:szCs w:val="20"/>
                <w:color w:val="auto"/>
              </w:rPr>
            </w:pPr>
            <w:r>
              <w:rPr>
                <w:rFonts w:ascii="Arial" w:cs="Arial" w:eastAsia="Arial" w:hAnsi="Arial"/>
                <w:sz w:val="18"/>
                <w:szCs w:val="18"/>
                <w:color w:val="auto"/>
              </w:rPr>
              <w:t>Paycheck Protection Program</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182,876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182,876</w:t>
            </w:r>
          </w:p>
        </w:tc>
        <w:tc>
          <w:tcPr>
            <w:tcW w:w="80" w:type="dxa"/>
            <w:vAlign w:val="bottom"/>
          </w:tcPr>
          <w:p>
            <w:pPr>
              <w:spacing w:after="0"/>
              <w:rPr>
                <w:sz w:val="18"/>
                <w:szCs w:val="18"/>
                <w:color w:val="auto"/>
              </w:rPr>
            </w:pPr>
          </w:p>
        </w:tc>
      </w:tr>
      <w:tr>
        <w:trPr>
          <w:trHeight w:val="229"/>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and other</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4,450</w:t>
            </w:r>
          </w:p>
        </w:tc>
        <w:tc>
          <w:tcPr>
            <w:tcW w:w="80" w:type="dxa"/>
            <w:vAlign w:val="bottom"/>
            <w:shd w:val="clear" w:color="auto" w:fill="CCEEFF"/>
          </w:tcPr>
          <w:p>
            <w:pPr>
              <w:spacing w:after="0"/>
              <w:rPr>
                <w:sz w:val="19"/>
                <w:szCs w:val="19"/>
                <w:color w:val="auto"/>
              </w:rPr>
            </w:pPr>
          </w:p>
        </w:tc>
      </w:tr>
      <w:tr>
        <w:trPr>
          <w:trHeight w:val="223"/>
        </w:trPr>
        <w:tc>
          <w:tcPr>
            <w:tcW w:w="6860" w:type="dxa"/>
            <w:vAlign w:val="bottom"/>
          </w:tcPr>
          <w:p>
            <w:pPr>
              <w:ind w:left="56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1,154,242</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1,551,935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manage the quality of our loans based upon trends at the overall loan portfolio level as well as within specific product type. We measure and monitor key factors that include the level and trend of classified, delinquent, nonaccrual, and nonperforming assets, collateral coverage and credit scores and debt service coverage, where applicable. The metrics directly impact our evaluation of the adequacy of our allowance for loan losses. The quality of our investment portfolio is measured by composition of investment type and is almost entirely comprised of guaranteed U.S. government agency securities and obligations of states and political subdivisions.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 assessing the adequacy of our allowance for loan losses. We periodically employ the use of an outside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Nonperforming assets. </w:t>
      </w:r>
      <w:r>
        <w:rPr>
          <w:rFonts w:ascii="Arial" w:cs="Arial" w:eastAsia="Arial" w:hAnsi="Arial"/>
          <w:sz w:val="17"/>
          <w:szCs w:val="17"/>
          <w:color w:val="auto"/>
        </w:rPr>
        <w:t>Our nonperforming assets consist of nonperforming loans and foreclosed real estate, if any. Loans on which the accrual of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8"/>
          <w:szCs w:val="18"/>
          <w:i w:val="1"/>
          <w:iCs w:val="1"/>
          <w:color w:val="auto"/>
        </w:rPr>
        <w:t xml:space="preserve">Troubled debt restructurings. </w:t>
      </w:r>
      <w:r>
        <w:rPr>
          <w:rFonts w:ascii="Arial" w:cs="Arial" w:eastAsia="Arial" w:hAnsi="Arial"/>
          <w:sz w:val="18"/>
          <w:szCs w:val="18"/>
          <w:color w:val="auto"/>
        </w:rPr>
        <w:t>We consider a loan to be in a TDR when we have granted a concession and the borrower is experiencing financial difficulty.</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COVID-19 deferments. </w:t>
      </w:r>
      <w:r>
        <w:rPr>
          <w:rFonts w:ascii="Arial" w:cs="Arial" w:eastAsia="Arial" w:hAnsi="Arial"/>
          <w:sz w:val="16"/>
          <w:szCs w:val="16"/>
          <w:color w:val="auto"/>
        </w:rPr>
        <w:t>The Coronavirus Aid, Relief and Economic Security Act (“CARES Act”), as amended by the Consolidated Appropriations Act,</w:t>
      </w:r>
      <w:r>
        <w:rPr>
          <w:rFonts w:ascii="Arial" w:cs="Arial" w:eastAsia="Arial" w:hAnsi="Arial"/>
          <w:sz w:val="16"/>
          <w:szCs w:val="16"/>
          <w:i w:val="1"/>
          <w:iCs w:val="1"/>
          <w:color w:val="auto"/>
        </w:rPr>
        <w:t xml:space="preserve"> </w:t>
      </w:r>
      <w:r>
        <w:rPr>
          <w:rFonts w:ascii="Arial" w:cs="Arial" w:eastAsia="Arial" w:hAnsi="Arial"/>
          <w:sz w:val="16"/>
          <w:szCs w:val="16"/>
          <w:color w:val="auto"/>
        </w:rPr>
        <w:t>2021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 We elected to apply these temporary accounting provisions to payment relief loans beginning in March 2020. As of March 31, 2021, six loans totaling $17.2 million, or 1.13% of the loan portfolio, were in a COVID-19 deferral period and 29 loans totaling $24.2 million had been in a COVID-19 deferment in the first quarter of 2021 but were not in such deferment as of March 31, 2021. Of the loans that received COVID-19 deferments in the first quarter of 2021, only 25 loans had their principal portion deferred to their respective maturities. Some of the borrowers that received interest-only deferments received a PPP loan that included loan funds to make their interest-only payments. We accrue and recognize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SBA 7(a) payments made under the CARES Act. </w:t>
      </w:r>
      <w:r>
        <w:rPr>
          <w:rFonts w:ascii="Arial" w:cs="Arial" w:eastAsia="Arial" w:hAnsi="Arial"/>
          <w:sz w:val="18"/>
          <w:szCs w:val="18"/>
          <w:color w:val="auto"/>
        </w:rPr>
        <w:t>Section 1112 of the CARES Act required the SBA to make payments on new and existing 7(a) loans for</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The Consolidated Appropriations Act amended this section of the CARES Act to extend the payment on 7(a) loans in existence on March 27, 2020, beginning on February 1, 2021 for an additional three or eight months, depending on the borrower’s industry code, and to require the SBA to make six months of payments on new 7(a) loans approved between February 1, 2021, and September 30, 2021. These payments are not deferments but rather full payments of principal and interest that the borrower will not be responsible for in the future. In the first three months of 2021, the SBA made payments under this program on 956 of our SBA 7(a) loans, totaling $5.3 million in principal and interest. As of March 31, 2021, the principal outstanding on loans that received one or more of these payments under the CARES Act was $45.6 million, representing substantially all of our SBA 7(a) loans as of March 31,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The following table provides details of our nonperforming and restructured assets as of the dates presented and certain other related information:</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(dollars in thousands)</w:t>
            </w:r>
          </w:p>
        </w:tc>
        <w:tc>
          <w:tcPr>
            <w:tcW w:w="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8"/>
                <w:szCs w:val="18"/>
                <w:color w:val="auto"/>
              </w:rPr>
              <w:t>As of</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March 31, 2021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w w:val="96"/>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Real estate -</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 land and development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Farmland</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Secured</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Unsecured</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Paycheck Protection Program</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Real estate -</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land and development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Residential</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Farmland</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 -</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Secured</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Unsecured</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Consumer and other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nonperforming loans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Real estate owned</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color w:val="auto"/>
              </w:rPr>
              <w:t>COVID-19 deferments</w:t>
            </w:r>
          </w:p>
        </w:tc>
        <w:tc>
          <w:tcPr>
            <w:tcW w:w="6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17,202</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41,439</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Troubled debt restructurings (performing – not included above)</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Allowance for loan losses to period end nonperforming loans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4,341.52%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to period end loans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plus performing TDRs to total loans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COVID-19 deferments to period end loans</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ratio of nonperforming loans to period end loans was unchanged at 0.03% as of December 31, 2020 and as of March 31,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the allowance for loan losses to nonperforming loans increased from 4,909.07% as of December 31, 2020 to 4,341.52% as of March 31, 2021. The increase was primarily due to higher reserves related to our commercial real estate portfolio which increased $50.9 million, a 5.0% increase from December 31, 2020 to March 31, 2021 while commercial real estate nonaccrual loans remained relatively flat at $0.1 million as of December 31, 2020 and $0.1 million as of March 31,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8"/>
          <w:szCs w:val="18"/>
          <w:i w:val="1"/>
          <w:iCs w:val="1"/>
          <w:color w:val="auto"/>
        </w:rPr>
        <w:t xml:space="preserve">Potential problem loans. </w:t>
      </w:r>
      <w:r>
        <w:rPr>
          <w:rFonts w:ascii="Arial" w:cs="Arial" w:eastAsia="Arial" w:hAnsi="Arial"/>
          <w:sz w:val="18"/>
          <w:szCs w:val="18"/>
          <w:color w:val="auto"/>
        </w:rPr>
        <w:t>We utilize a risk grading system for our loans to aid us in evaluating the overall credit quality of our real estate loan portfolio and</w:t>
      </w:r>
      <w:r>
        <w:rPr>
          <w:rFonts w:ascii="Arial" w:cs="Arial" w:eastAsia="Arial" w:hAnsi="Arial"/>
          <w:sz w:val="18"/>
          <w:szCs w:val="18"/>
          <w:i w:val="1"/>
          <w:iCs w:val="1"/>
          <w:color w:val="auto"/>
        </w:rPr>
        <w:t xml:space="preserve"> </w:t>
      </w:r>
      <w:r>
        <w:rPr>
          <w:rFonts w:ascii="Arial" w:cs="Arial" w:eastAsia="Arial" w:hAnsi="Arial"/>
          <w:sz w:val="18"/>
          <w:szCs w:val="18"/>
          <w:color w:val="auto"/>
        </w:rPr>
        <w:t>assessing the adequacy of our allowance for loan losses. All loans are categorized into a risk category at the time of origination. Commercial real estate loans over $1.0 million are reevaluated at least annually for proper classification in conjunction with our review of property and borrower financial information, while all loans are reevaluated for proper risk grading as new information such as payment patterns, collateral condition, and other relevant information comes to our attention.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banking industry defines loans graded Substandard or Doubtful as “classified” loans. The following table shows our levels of classified loans as of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w:t>
            </w: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8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Watch</w:t>
            </w:r>
          </w:p>
        </w:tc>
        <w:tc>
          <w:tcPr>
            <w:tcW w:w="24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1,001,067</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16,819</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35,531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1,053,417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60,764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6,215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66,979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26,034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Secured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127,848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129,502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PPP</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182,876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182,876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Consumer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4,379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1,488,403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36,821</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1,548,875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48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vMerge w:val="continue"/>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Pass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240" w:type="dxa"/>
            <w:vAlign w:val="bottom"/>
          </w:tcPr>
          <w:p>
            <w:pPr>
              <w:spacing w:after="0"/>
              <w:rPr>
                <w:sz w:val="21"/>
                <w:szCs w:val="21"/>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w w:val="90"/>
              </w:rPr>
              <w:t>Substandard</w:t>
            </w:r>
          </w:p>
        </w:tc>
        <w:tc>
          <w:tcPr>
            <w:tcW w:w="14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950,118</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16,836</w:t>
            </w:r>
          </w:p>
        </w:tc>
        <w:tc>
          <w:tcPr>
            <w:tcW w:w="5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1,002,497</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85,860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30,248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Secured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136,992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138,676</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PPP</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147,965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147,965</w:t>
            </w:r>
          </w:p>
        </w:tc>
      </w:tr>
      <w:tr>
        <w:trPr>
          <w:trHeight w:val="216"/>
        </w:trPr>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Consumer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r>
      <w:tr>
        <w:trPr>
          <w:trHeight w:val="223"/>
        </w:trPr>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1,506,454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designated as watch and substandard, which are not considered adversely classified, increased slightly to $60.5 million at March 31, 2021 from $60.1 million at December 31, 2020, which did not have an impact to the reserve overall. There were no loans with doubtful risk grades at March 31, 2021 or December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The allowance for loan losses is established through an allowance for loan losses charged to operations. Loans are charged</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allowance for loan losses when management believes that the collectability of the principal is unlikely. Subsequent recoveries of previously charged off amounts, if any, are credited to the allowance for loan losses.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2021, our methodology for evaluating allowance for loan losses was affected by the COVID-19 pandemic resulting in continued higher reserve levels primarily related to our commercial secured portfolio. Reserves on the commercial secured portfolio were increased due to higher uncertainty related to the COVID-19 pandemic and related economic effects.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the entire allowance for loan losses is available to absorb losses from any and all loans, the following table represents management’s allocation of our allowance for loan losses by loan category, and the percentage of allowance for loan losses in each category, for periods indicated.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of</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40" w:type="dxa"/>
            <w:vAlign w:val="bottom"/>
          </w:tcPr>
          <w:p>
            <w:pPr>
              <w:spacing w:after="0"/>
              <w:rPr>
                <w:sz w:val="19"/>
                <w:szCs w:val="19"/>
                <w:color w:val="auto"/>
              </w:rPr>
            </w:pPr>
          </w:p>
        </w:tc>
        <w:tc>
          <w:tcPr>
            <w:tcW w:w="276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19"/>
                <w:szCs w:val="19"/>
                <w:color w:val="auto"/>
              </w:rPr>
            </w:pPr>
          </w:p>
        </w:tc>
        <w:tc>
          <w:tcPr>
            <w:tcW w:w="22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Dollars</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b w:val="1"/>
                <w:bCs w:val="1"/>
                <w:color w:val="auto"/>
                <w:w w:val="98"/>
              </w:rPr>
              <w:t>Dollars</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Collectively allocated for impairment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10,219</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45.88%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Commercial land and development</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80</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Farmland</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578</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8,918</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40.04%</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9,476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195</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Paycheck Protection Program</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528</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5740" w:type="dxa"/>
            <w:vAlign w:val="bottom"/>
          </w:tcPr>
          <w:p>
            <w:pPr>
              <w:ind w:left="160"/>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w:t>
            </w:r>
          </w:p>
        </w:tc>
        <w:tc>
          <w:tcPr>
            <w:tcW w:w="4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99.68%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4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Individually allocated for impairment: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60"/>
              <w:spacing w:after="0"/>
              <w:rPr>
                <w:sz w:val="20"/>
                <w:szCs w:val="20"/>
                <w:color w:val="auto"/>
              </w:rPr>
            </w:pPr>
            <w:r>
              <w:rPr>
                <w:rFonts w:ascii="Arial" w:cs="Arial" w:eastAsia="Arial" w:hAnsi="Arial"/>
                <w:sz w:val="18"/>
                <w:szCs w:val="18"/>
                <w:color w:val="auto"/>
              </w:rPr>
              <w:t>Consumer and other</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22,271</w:t>
            </w: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ratio of allowance for loan losses to total loans was 1.44% at March 31, 2021, compared to 1.47% at December 31, 2020. Excluding SBA-guaranteed</w:t>
      </w:r>
    </w:p>
    <w:p>
      <w:pPr>
        <w:spacing w:after="0" w:line="46" w:lineRule="exact"/>
        <w:rPr>
          <w:sz w:val="20"/>
          <w:szCs w:val="20"/>
          <w:color w:val="auto"/>
        </w:rPr>
      </w:pPr>
    </w:p>
    <w:p>
      <w:pPr>
        <w:jc w:val="both"/>
        <w:ind w:firstLine="8"/>
        <w:spacing w:after="0" w:line="277" w:lineRule="auto"/>
        <w:tabs>
          <w:tab w:leader="none" w:pos="361"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loans, the ratio of the allowance for loan losses to total loans was 1.63% at March 31, 2021 and December 31, 2020. A reconciliation of this non-GAAP measure is set forth in the section entitled “Non-GAAP Financial Measures.” Non-accrual loans totaled $0.5 million, or 0.03% of total loans, at March 31, 2021, and remained largely unchanged from $0.5 million, or 0.03% of total loans, at December 31, 2020.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following table provides information on the activity within the allowance for loan losses as of and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b w:val="1"/>
                <w:bCs w:val="1"/>
                <w:color w:val="auto"/>
                <w:w w:val="93"/>
              </w:rPr>
              <w:t>For the three months ended</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Pr>
          <w:p>
            <w:pPr>
              <w:spacing w:after="0"/>
              <w:rPr>
                <w:sz w:val="19"/>
                <w:szCs w:val="19"/>
                <w:color w:val="auto"/>
              </w:rPr>
            </w:pPr>
          </w:p>
        </w:tc>
        <w:tc>
          <w:tcPr>
            <w:tcW w:w="2340" w:type="dxa"/>
            <w:vAlign w:val="bottom"/>
            <w:gridSpan w:val="5"/>
          </w:tcPr>
          <w:p>
            <w:pPr>
              <w:ind w:left="50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 of</w:t>
            </w: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Activity</w:t>
            </w:r>
          </w:p>
        </w:tc>
        <w:tc>
          <w:tcPr>
            <w:tcW w:w="4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End Loans</w:t>
            </w:r>
          </w:p>
        </w:tc>
        <w:tc>
          <w:tcPr>
            <w:tcW w:w="5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Activity</w:t>
            </w:r>
          </w:p>
        </w:tc>
        <w:tc>
          <w:tcPr>
            <w:tcW w:w="480" w:type="dxa"/>
            <w:vAlign w:val="bottom"/>
            <w:tcBorders>
              <w:bottom w:val="single" w:sz="8" w:color="CCEEFF"/>
            </w:tcBorders>
            <w:gridSpan w:val="2"/>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End Loans</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1,548,875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1,257,676</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22,189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Arial" w:cs="Arial" w:eastAsia="Arial" w:hAnsi="Arial"/>
                <w:sz w:val="18"/>
                <w:szCs w:val="18"/>
                <w:color w:val="auto"/>
              </w:rPr>
              <w:t>Real estate loans -</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tcPr>
          <w:p>
            <w:pPr>
              <w:ind w:left="320"/>
              <w:spacing w:after="0"/>
              <w:rPr>
                <w:sz w:val="20"/>
                <w:szCs w:val="20"/>
                <w:color w:val="auto"/>
              </w:rPr>
            </w:pPr>
            <w:r>
              <w:rPr>
                <w:rFonts w:ascii="Arial" w:cs="Arial" w:eastAsia="Arial" w:hAnsi="Arial"/>
                <w:sz w:val="18"/>
                <w:szCs w:val="18"/>
                <w:color w:val="auto"/>
              </w:rPr>
              <w:t>Commercial land and development</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tcPr>
          <w:p>
            <w:pPr>
              <w:ind w:left="320"/>
              <w:spacing w:after="0"/>
              <w:rPr>
                <w:sz w:val="20"/>
                <w:szCs w:val="20"/>
                <w:color w:val="auto"/>
              </w:rPr>
            </w:pPr>
            <w:r>
              <w:rPr>
                <w:rFonts w:ascii="Arial" w:cs="Arial" w:eastAsia="Arial" w:hAnsi="Arial"/>
                <w:sz w:val="18"/>
                <w:szCs w:val="18"/>
                <w:color w:val="auto"/>
              </w:rPr>
              <w:t>Farmland</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2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(168)</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(0.88%)</w:t>
            </w:r>
          </w:p>
        </w:tc>
        <w:tc>
          <w:tcPr>
            <w:tcW w:w="14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(826)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tcPr>
          <w:p>
            <w:pPr>
              <w:ind w:left="320"/>
              <w:spacing w:after="0"/>
              <w:rPr>
                <w:sz w:val="20"/>
                <w:szCs w:val="20"/>
                <w:color w:val="auto"/>
              </w:rPr>
            </w:pPr>
            <w:r>
              <w:rPr>
                <w:rFonts w:ascii="Arial" w:cs="Arial" w:eastAsia="Arial" w:hAnsi="Arial"/>
                <w:sz w:val="18"/>
                <w:szCs w:val="18"/>
                <w:color w:val="auto"/>
              </w:rPr>
              <w:t>PPP</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80"/>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4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c>
          <w:tcPr>
            <w:tcW w:w="4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2,600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520" w:type="dxa"/>
            <w:vAlign w:val="bottom"/>
          </w:tcPr>
          <w:p>
            <w:pPr>
              <w:ind w:left="160"/>
              <w:spacing w:after="0"/>
              <w:rPr>
                <w:sz w:val="20"/>
                <w:szCs w:val="20"/>
                <w:color w:val="auto"/>
              </w:rPr>
            </w:pPr>
            <w:r>
              <w:rPr>
                <w:rFonts w:ascii="Arial" w:cs="Arial" w:eastAsia="Arial" w:hAnsi="Arial"/>
                <w:sz w:val="18"/>
                <w:szCs w:val="18"/>
                <w:color w:val="auto"/>
              </w:rPr>
              <w:t>Allowance for loan losses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22,271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16,490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Allowance for loan losses to period end loans held for investment</w:t>
            </w: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to period end loans held for investment increased from 1.31% as of March 31, 2020 to 1.44% as of March 31, 2021. The increase was primarily due to higher reserves related to our commercial real estate and commercial secured portfolios which increased $4.2 million, an 88.91% increase, from March 31, 2020 to March 31, 2021. Reserves on these portfolios were increased due to higher uncertainty related to the COVID-19 pandemic and related economic effects.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charge-offs declined as a percent of period end loans from 0.08% for the three months ended March 31, 2020 to 0.01% for the three months ended March 31, 2021. The primary driver of the decline was the net charge-off rate related to the commercial secured portfolio which declined from 7.85% in 2020 to 0.88% in 2021. The charge-off rate for the commercial secured loan portfolio declined due to improvements in our SBA 7(a) underwriting criteria and processes combined with CARES Act assistance provided to SBA 7(a) and other borrowers.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three months of 2021, total liabilities increased by $199.4 million from $1,820.0 million as of December 31, 2020 to $2,019.4 million as of March 31, 2021. This increase was primarily due to an increase in total deposits of $199.1 million, comprised of increases in $103.1 million in non-interest-bearing deposits and $96.0 million in interest-bearing deposits.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Representing 98.2% of our total liabilities as of March 31, 2021, deposits are our primary source of funding for our business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deposits increased by $199.1 million, or 11.16%, to $1,983.1 million at March 31, 2021 from $1,784.0 million as of December 31, 2020. Deposit increases were attributed to increases in PPP borrower-related balances and normal fluctuations in some of our large accounts. Non-interest-bearing deposits increased by $103.1 million in the first three months of 2021 to $798.8 million, and represented 40.28% of total deposits at March 31, 2021, compared to 39.00% at December 31, 2020. Our loan to deposit ratio was 77.99% at March 31, 2021 compared to 84.50% at December 31, 2020. We intend to continue to operate our business with a loan to deposit ratio similar to these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deposit composition by average deposits and average rates paid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9"/>
              </w:rPr>
              <w:t>For the three months ended</w:t>
            </w: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March 31, 2021</w:t>
            </w:r>
          </w:p>
        </w:tc>
        <w:tc>
          <w:tcPr>
            <w:tcW w:w="12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5"/>
              </w:rPr>
              <w:t>March 31, 2020</w:t>
            </w: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1"/>
        </w:trPr>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70"/>
              <w:spacing w:after="0" w:line="191" w:lineRule="exact"/>
              <w:rPr>
                <w:sz w:val="20"/>
                <w:szCs w:val="20"/>
                <w:color w:val="auto"/>
              </w:rPr>
            </w:pPr>
            <w:r>
              <w:rPr>
                <w:rFonts w:ascii="Arial" w:cs="Arial" w:eastAsia="Arial" w:hAnsi="Arial"/>
                <w:sz w:val="18"/>
                <w:szCs w:val="18"/>
                <w:b w:val="1"/>
                <w:bCs w:val="1"/>
                <w:color w:val="auto"/>
                <w:w w:val="91"/>
              </w:rPr>
              <w:t>Weighted</w:t>
            </w: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Weighted</w:t>
            </w: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7"/>
              </w:rPr>
              <w:t>Average</w:t>
            </w:r>
          </w:p>
        </w:tc>
        <w:tc>
          <w:tcPr>
            <w:tcW w:w="17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7"/>
              </w:rPr>
              <w:t>Average Amount</w:t>
            </w:r>
          </w:p>
        </w:tc>
        <w:tc>
          <w:tcPr>
            <w:tcW w:w="220" w:type="dxa"/>
            <w:vAlign w:val="bottom"/>
          </w:tcPr>
          <w:p>
            <w:pPr>
              <w:spacing w:after="0"/>
              <w:rPr>
                <w:sz w:val="20"/>
                <w:szCs w:val="20"/>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Rate Paid</w:t>
            </w:r>
          </w:p>
        </w:tc>
        <w:tc>
          <w:tcPr>
            <w:tcW w:w="17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86"/>
              </w:rPr>
              <w:t>of Total Deposits</w:t>
            </w:r>
          </w:p>
        </w:tc>
        <w:tc>
          <w:tcPr>
            <w:tcW w:w="10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Rate Paid</w:t>
            </w:r>
          </w:p>
        </w:tc>
        <w:tc>
          <w:tcPr>
            <w:tcW w:w="14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8"/>
              </w:rPr>
              <w:t>of Total Deposits</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Transaction accounts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154,678</w:t>
            </w:r>
          </w:p>
        </w:tc>
        <w:tc>
          <w:tcPr>
            <w:tcW w:w="1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0.10%</w:t>
            </w:r>
          </w:p>
        </w:tc>
        <w:tc>
          <w:tcPr>
            <w:tcW w:w="1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129,037</w:t>
            </w: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0.36%</w:t>
            </w: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13.47%</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Money market and savings</w:t>
            </w:r>
          </w:p>
        </w:tc>
        <w:tc>
          <w:tcPr>
            <w:tcW w:w="3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928,259</w:t>
            </w: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0.26%</w:t>
            </w:r>
          </w:p>
        </w:tc>
        <w:tc>
          <w:tcPr>
            <w:tcW w:w="1700" w:type="dxa"/>
            <w:vAlign w:val="bottom"/>
            <w:gridSpan w:val="2"/>
          </w:tcPr>
          <w:p>
            <w:pPr>
              <w:jc w:val="right"/>
              <w:ind w:right="170"/>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719,048</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0.99%</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75.05%</w:t>
            </w: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Time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46,171</w:t>
            </w:r>
          </w:p>
        </w:tc>
        <w:tc>
          <w:tcPr>
            <w:tcW w:w="1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0.56%</w:t>
            </w:r>
          </w:p>
        </w:tc>
        <w:tc>
          <w:tcPr>
            <w:tcW w:w="1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110,037</w:t>
            </w: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1.73%</w:t>
            </w: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11.48%</w:t>
            </w: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Total deposits</w:t>
            </w: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1,129,108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958,122</w:t>
            </w:r>
          </w:p>
        </w:tc>
        <w:tc>
          <w:tcPr>
            <w:tcW w:w="3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Uninsured non-time deposits were $1,186.1 million and $1,107.4 million as of March 31, 2021 and December 31, 2020,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spacing w:after="0" w:line="279" w:lineRule="auto"/>
        <w:rPr>
          <w:sz w:val="20"/>
          <w:szCs w:val="20"/>
          <w:color w:val="auto"/>
        </w:rPr>
      </w:pPr>
      <w:r>
        <w:rPr>
          <w:rFonts w:ascii="Arial" w:cs="Arial" w:eastAsia="Arial" w:hAnsi="Arial"/>
          <w:sz w:val="17"/>
          <w:szCs w:val="17"/>
          <w:color w:val="auto"/>
        </w:rPr>
        <w:t>As of March 31, 2021, our 21 largest deposit relationships, each accounting for more than $10 million, accounted for $730.6 million, or 36.78% of our total deposits. As of December 31, 2020, our 18 largest deposit relationships, each accounting for more than $10 million, accounted for $641.2 million, or 35.90%,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w w:val="97"/>
              </w:rPr>
              <w:t>As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44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March 31, 2021</w:t>
            </w:r>
          </w:p>
        </w:tc>
        <w:tc>
          <w:tcPr>
            <w:tcW w:w="340" w:type="dxa"/>
            <w:vAlign w:val="bottom"/>
          </w:tcPr>
          <w:p>
            <w:pPr>
              <w:spacing w:after="0"/>
              <w:rPr>
                <w:sz w:val="21"/>
                <w:szCs w:val="21"/>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Municipalities</w:t>
            </w:r>
          </w:p>
        </w:tc>
        <w:tc>
          <w:tcPr>
            <w:tcW w:w="3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290,011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Non-Profit</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201,185</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165,046</w:t>
            </w: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3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239,418</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157,757</w:t>
            </w:r>
          </w:p>
        </w:tc>
      </w:tr>
      <w:tr>
        <w:trPr>
          <w:trHeight w:val="209"/>
        </w:trPr>
        <w:tc>
          <w:tcPr>
            <w:tcW w:w="4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730,614</w:t>
            </w:r>
          </w:p>
        </w:tc>
        <w:tc>
          <w:tcPr>
            <w:tcW w:w="8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641,160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largest single deposit relationship relates to a non-profit association that supports hospitals and health systems. The balances for this customer were $160.4 million, or 8.07%, of total deposits at March 31, 2021 and $133.3 million, or 7.50%, of total deposits at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maturity of time deposits as of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$250,000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Less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Uninsured</w:t>
            </w:r>
          </w:p>
        </w:tc>
        <w:tc>
          <w:tcPr>
            <w:tcW w:w="0" w:type="dxa"/>
            <w:vAlign w:val="bottom"/>
          </w:tcPr>
          <w:p>
            <w:pPr>
              <w:spacing w:after="0"/>
              <w:rPr>
                <w:sz w:val="1"/>
                <w:szCs w:val="1"/>
                <w:color w:val="auto"/>
              </w:rPr>
            </w:pPr>
          </w:p>
        </w:tc>
      </w:tr>
      <w:tr>
        <w:trPr>
          <w:trHeight w:val="234"/>
        </w:trPr>
        <w:tc>
          <w:tcPr>
            <w:tcW w:w="412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or Greater</w:t>
            </w:r>
          </w:p>
        </w:tc>
        <w:tc>
          <w:tcPr>
            <w:tcW w:w="1720" w:type="dxa"/>
            <w:vAlign w:val="bottom"/>
            <w:gridSpan w:val="4"/>
          </w:tcPr>
          <w:p>
            <w:pPr>
              <w:ind w:left="220"/>
              <w:spacing w:after="0"/>
              <w:rPr>
                <w:sz w:val="20"/>
                <w:szCs w:val="20"/>
                <w:color w:val="auto"/>
              </w:rPr>
            </w:pPr>
            <w:r>
              <w:rPr>
                <w:rFonts w:ascii="Arial" w:cs="Arial" w:eastAsia="Arial" w:hAnsi="Arial"/>
                <w:sz w:val="18"/>
                <w:szCs w:val="18"/>
                <w:b w:val="1"/>
                <w:bCs w:val="1"/>
                <w:color w:val="auto"/>
              </w:rPr>
              <w:t xml:space="preserve">than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250,000</w:t>
            </w:r>
          </w:p>
        </w:tc>
        <w:tc>
          <w:tcPr>
            <w:tcW w:w="20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Portion</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maturity:</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Three months or less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6,195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23,753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29,948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 three through six months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2,102</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Over six through twelve months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1,581</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2,745</w:t>
            </w: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 twelve months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32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28,675</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36,338</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FHLB Advances and Other Borrowings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utilize short-term collateralized FHLB borrowings to maintain adequate liquidity. There were no borrowings outstanding for both periods as of March 31, 2021 and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spacing w:after="0" w:line="296" w:lineRule="auto"/>
        <w:rPr>
          <w:sz w:val="20"/>
          <w:szCs w:val="20"/>
          <w:color w:val="auto"/>
        </w:rPr>
      </w:pPr>
      <w:r>
        <w:rPr>
          <w:rFonts w:ascii="Arial" w:cs="Arial" w:eastAsia="Arial" w:hAnsi="Arial"/>
          <w:sz w:val="16"/>
          <w:szCs w:val="16"/>
          <w:color w:val="auto"/>
        </w:rPr>
        <w:t>In 2017, we issued subordinated notes of $25.0 million and in 2019 we issued another $3.75 million. This debt was issued to investors in private placement transactions. See Note 7, Long Term Debt and Other Borrowings, in the notes to our unaudited consolidated financial statements included in this Quarterly Report on Form 10-Q for additional information regarding the subordinated notes. The proceeds of the notes qualify as Tier 1 capital under the final regulations promulgated under the Dodd-Frank Wall Street Reform and Consumer Protection Act (the “Dodd-Frank Act”) for community banks with total assets less than $15 billion. The following table is a summary of our outstanding subordinated notes as of March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380" w:type="dxa"/>
            <w:vAlign w:val="bottom"/>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2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Issuance Date</w:t>
            </w:r>
          </w:p>
        </w:tc>
        <w:tc>
          <w:tcPr>
            <w:tcW w:w="200" w:type="dxa"/>
            <w:vAlign w:val="bottom"/>
          </w:tcPr>
          <w:p>
            <w:pPr>
              <w:spacing w:after="0"/>
              <w:rPr>
                <w:sz w:val="21"/>
                <w:szCs w:val="21"/>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 of Notes</w:t>
            </w:r>
          </w:p>
        </w:tc>
        <w:tc>
          <w:tcPr>
            <w:tcW w:w="1920" w:type="dxa"/>
            <w:vAlign w:val="bottom"/>
          </w:tcPr>
          <w:p>
            <w:pPr>
              <w:ind w:left="260"/>
              <w:spacing w:after="0"/>
              <w:rPr>
                <w:sz w:val="20"/>
                <w:szCs w:val="20"/>
                <w:color w:val="auto"/>
              </w:rPr>
            </w:pPr>
            <w:r>
              <w:rPr>
                <w:rFonts w:ascii="Arial" w:cs="Arial" w:eastAsia="Arial" w:hAnsi="Arial"/>
                <w:sz w:val="18"/>
                <w:szCs w:val="18"/>
                <w:b w:val="1"/>
                <w:bCs w:val="1"/>
                <w:color w:val="auto"/>
              </w:rPr>
              <w:t>Prepayment Right</w:t>
            </w:r>
          </w:p>
        </w:tc>
        <w:tc>
          <w:tcPr>
            <w:tcW w:w="320" w:type="dxa"/>
            <w:vAlign w:val="bottom"/>
          </w:tcPr>
          <w:p>
            <w:pPr>
              <w:spacing w:after="0"/>
              <w:rPr>
                <w:sz w:val="21"/>
                <w:szCs w:val="21"/>
                <w:color w:val="auto"/>
              </w:rPr>
            </w:pPr>
          </w:p>
        </w:tc>
        <w:tc>
          <w:tcPr>
            <w:tcW w:w="1900" w:type="dxa"/>
            <w:vAlign w:val="bottom"/>
          </w:tcPr>
          <w:p>
            <w:pPr>
              <w:ind w:left="400"/>
              <w:spacing w:after="0"/>
              <w:rPr>
                <w:sz w:val="20"/>
                <w:szCs w:val="20"/>
                <w:color w:val="auto"/>
              </w:rPr>
            </w:pPr>
            <w:r>
              <w:rPr>
                <w:rFonts w:ascii="Arial" w:cs="Arial" w:eastAsia="Arial" w:hAnsi="Arial"/>
                <w:sz w:val="18"/>
                <w:szCs w:val="18"/>
                <w:b w:val="1"/>
                <w:bCs w:val="1"/>
                <w:color w:val="auto"/>
              </w:rPr>
              <w:t>Maturity Date</w:t>
            </w:r>
          </w:p>
        </w:tc>
      </w:tr>
      <w:tr>
        <w:trPr>
          <w:trHeight w:val="209"/>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2017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15, 2022</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15, 2027</w:t>
            </w:r>
          </w:p>
        </w:tc>
      </w:tr>
    </w:tbl>
    <w:p>
      <w:pPr>
        <w:spacing w:after="0" w:line="202" w:lineRule="exact"/>
        <w:rPr>
          <w:sz w:val="20"/>
          <w:szCs w:val="20"/>
          <w:color w:val="auto"/>
        </w:rPr>
      </w:pPr>
    </w:p>
    <w:p>
      <w:pPr>
        <w:ind w:left="320" w:right="140"/>
        <w:spacing w:after="0" w:line="277" w:lineRule="auto"/>
        <w:rPr>
          <w:sz w:val="20"/>
          <w:szCs w:val="20"/>
          <w:color w:val="auto"/>
        </w:rPr>
      </w:pPr>
      <w:r>
        <w:rPr>
          <w:rFonts w:ascii="Arial" w:cs="Arial" w:eastAsia="Arial" w:hAnsi="Arial"/>
          <w:sz w:val="18"/>
          <w:szCs w:val="18"/>
          <w:color w:val="auto"/>
        </w:rPr>
        <w:t>Fixed at 6.0% through September 15, 2022 then three-month London Inter-bank Offered Rate (“LIBOR”) plus 404.4 basis points (4.23% as of March 31, 2021)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tabs>
          <w:tab w:leader="none" w:pos="2780" w:val="left"/>
          <w:tab w:leader="none" w:pos="4720" w:val="left"/>
          <w:tab w:leader="none" w:pos="6240" w:val="left"/>
          <w:tab w:leader="none" w:pos="7080" w:val="left"/>
          <w:tab w:leader="none" w:pos="9320" w:val="left"/>
        </w:tabs>
        <w:rPr>
          <w:sz w:val="20"/>
          <w:szCs w:val="20"/>
          <w:color w:val="auto"/>
        </w:rPr>
      </w:pPr>
      <w:r>
        <w:rPr>
          <w:rFonts w:ascii="Arial" w:cs="Arial" w:eastAsia="Arial" w:hAnsi="Arial"/>
          <w:sz w:val="18"/>
          <w:szCs w:val="18"/>
          <w:color w:val="auto"/>
        </w:rPr>
        <w:t>Subordinated notes</w:t>
      </w:r>
      <w:r>
        <w:rPr>
          <w:sz w:val="20"/>
          <w:szCs w:val="20"/>
          <w:color w:val="auto"/>
        </w:rPr>
        <w:tab/>
      </w:r>
      <w:r>
        <w:rPr>
          <w:rFonts w:ascii="Arial" w:cs="Arial" w:eastAsia="Arial" w:hAnsi="Arial"/>
          <w:sz w:val="18"/>
          <w:szCs w:val="18"/>
          <w:color w:val="auto"/>
        </w:rPr>
        <w:t>November 2019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3,750</w:t>
      </w:r>
      <w:r>
        <w:rPr>
          <w:sz w:val="20"/>
          <w:szCs w:val="20"/>
          <w:color w:val="auto"/>
        </w:rPr>
        <w:tab/>
      </w:r>
      <w:r>
        <w:rPr>
          <w:rFonts w:ascii="Arial" w:cs="Arial" w:eastAsia="Arial" w:hAnsi="Arial"/>
          <w:sz w:val="18"/>
          <w:szCs w:val="18"/>
          <w:color w:val="auto"/>
        </w:rPr>
        <w:t>September 15, 2022</w:t>
      </w:r>
      <w:r>
        <w:rPr>
          <w:sz w:val="20"/>
          <w:szCs w:val="20"/>
          <w:color w:val="auto"/>
        </w:rPr>
        <w:tab/>
      </w:r>
      <w:r>
        <w:rPr>
          <w:rFonts w:ascii="Arial" w:cs="Arial" w:eastAsia="Arial" w:hAnsi="Arial"/>
          <w:sz w:val="15"/>
          <w:szCs w:val="15"/>
          <w:color w:val="auto"/>
        </w:rPr>
        <w:t>September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Fixed at 5.5% through September 15, 2022 then three-month LIBOR plus 354.4 basis points (3.73% as of March 31, 2021)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equity totaled $131.4 million at March 31, 2021 and $133.8 million at December 31, 2020. The slight decline in shareholders’ equity was attributable to dividends declared and changes in accumulated other comprehensive income, offset by 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enter into various transactions that are not included in our consolidated balance sheets in accordance with GAAP. These transactions include commitments to extend credit in the ordinary course of business including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The following is a summary of our off-balance commitments outstanding as of the dates presented.</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As of</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March 31, 2021</w:t>
            </w:r>
          </w:p>
        </w:tc>
        <w:tc>
          <w:tcPr>
            <w:tcW w:w="32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to fund loans held for investment</w:t>
            </w:r>
          </w:p>
        </w:tc>
        <w:tc>
          <w:tcPr>
            <w:tcW w:w="1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216,627</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the items detailed above, we have no other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as of March 31, 2021, our significant contractual obligations to third parties on debt and lease agreements and service obligations. For more information about our contractual obligations, see Note 7, Long Term Debt and Other Borrowings, and Note 9, Commitments and Contingencies, in the notes to our unaudited consolidated financial statements included in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1"/>
                <w:szCs w:val="21"/>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Less than 1 year</w:t>
            </w: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1 to 2 years</w:t>
            </w:r>
          </w:p>
        </w:tc>
        <w:tc>
          <w:tcPr>
            <w:tcW w:w="200" w:type="dxa"/>
            <w:vAlign w:val="bottom"/>
          </w:tcPr>
          <w:p>
            <w:pPr>
              <w:spacing w:after="0"/>
              <w:rPr>
                <w:sz w:val="21"/>
                <w:szCs w:val="21"/>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2 to 5 years</w:t>
            </w:r>
          </w:p>
        </w:tc>
        <w:tc>
          <w:tcPr>
            <w:tcW w:w="1700" w:type="dxa"/>
            <w:vAlign w:val="bottom"/>
            <w:gridSpan w:val="4"/>
          </w:tcPr>
          <w:p>
            <w:pPr>
              <w:ind w:left="200"/>
              <w:spacing w:after="0"/>
              <w:rPr>
                <w:sz w:val="20"/>
                <w:szCs w:val="20"/>
                <w:color w:val="auto"/>
              </w:rPr>
            </w:pPr>
            <w:r>
              <w:rPr>
                <w:rFonts w:ascii="Arial" w:cs="Arial" w:eastAsia="Arial" w:hAnsi="Arial"/>
                <w:sz w:val="18"/>
                <w:szCs w:val="18"/>
                <w:b w:val="1"/>
                <w:bCs w:val="1"/>
                <w:color w:val="auto"/>
                <w:w w:val="96"/>
              </w:rPr>
              <w:t>More than 5 years</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Time deposits</w:t>
            </w:r>
            <w:r>
              <w:rPr>
                <w:rFonts w:ascii="Arial" w:cs="Arial" w:eastAsia="Arial" w:hAnsi="Arial"/>
                <w:sz w:val="29"/>
                <w:szCs w:val="29"/>
                <w:color w:val="auto"/>
                <w:vertAlign w:val="superscript"/>
              </w:rPr>
              <w:t>(1)</w:t>
            </w:r>
          </w:p>
        </w:tc>
        <w:tc>
          <w:tcPr>
            <w:tcW w:w="1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00" w:type="dxa"/>
            <w:vAlign w:val="bottom"/>
            <w:vMerge w:val="continue"/>
            <w:shd w:val="clear" w:color="auto" w:fill="CCEEFF"/>
          </w:tcPr>
          <w:p>
            <w:pPr>
              <w:spacing w:after="0"/>
              <w:rPr>
                <w:sz w:val="20"/>
                <w:szCs w:val="20"/>
                <w:color w:val="auto"/>
              </w:rPr>
            </w:pPr>
          </w:p>
        </w:tc>
        <w:tc>
          <w:tcPr>
            <w:tcW w:w="1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36,338</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34,794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w:t>
            </w:r>
          </w:p>
        </w:tc>
        <w:tc>
          <w:tcPr>
            <w:tcW w:w="5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800" w:type="dxa"/>
            <w:vAlign w:val="bottom"/>
          </w:tcPr>
          <w:p>
            <w:pPr>
              <w:spacing w:after="0" w:line="256" w:lineRule="exact"/>
              <w:rPr>
                <w:sz w:val="20"/>
                <w:szCs w:val="20"/>
                <w:color w:val="auto"/>
              </w:rPr>
            </w:pPr>
            <w:r>
              <w:rPr>
                <w:rFonts w:ascii="Arial" w:cs="Arial" w:eastAsia="Arial" w:hAnsi="Arial"/>
                <w:sz w:val="18"/>
                <w:szCs w:val="18"/>
                <w:color w:val="auto"/>
              </w:rPr>
              <w:t>Subordinated notes</w:t>
            </w:r>
            <w:r>
              <w:rPr>
                <w:rFonts w:ascii="Arial" w:cs="Arial" w:eastAsia="Arial" w:hAnsi="Arial"/>
                <w:sz w:val="29"/>
                <w:szCs w:val="29"/>
                <w:color w:val="auto"/>
                <w:vertAlign w:val="superscript"/>
              </w:rPr>
              <w:t>(1)</w:t>
            </w: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28,336</w:t>
            </w:r>
          </w:p>
        </w:tc>
        <w:tc>
          <w:tcPr>
            <w:tcW w:w="42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28,336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5,193</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tcPr>
          <w:p>
            <w:pPr>
              <w:spacing w:after="0" w:line="270" w:lineRule="exact"/>
              <w:rPr>
                <w:sz w:val="20"/>
                <w:szCs w:val="20"/>
                <w:color w:val="auto"/>
              </w:rPr>
            </w:pPr>
            <w:r>
              <w:rPr>
                <w:rFonts w:ascii="Arial" w:cs="Arial" w:eastAsia="Arial" w:hAnsi="Arial"/>
                <w:sz w:val="18"/>
                <w:szCs w:val="18"/>
                <w:color w:val="auto"/>
              </w:rPr>
              <w:t>Significant contracts</w:t>
            </w:r>
            <w:r>
              <w:rPr>
                <w:rFonts w:ascii="Arial" w:cs="Arial" w:eastAsia="Arial" w:hAnsi="Arial"/>
                <w:sz w:val="29"/>
                <w:szCs w:val="29"/>
                <w:color w:val="auto"/>
                <w:vertAlign w:val="superscript"/>
              </w:rPr>
              <w:t>(2)</w:t>
            </w: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1,913</w:t>
            </w:r>
          </w:p>
        </w:tc>
        <w:tc>
          <w:tcPr>
            <w:tcW w:w="420" w:type="dxa"/>
            <w:vAlign w:val="bottom"/>
          </w:tcPr>
          <w:p>
            <w:pPr>
              <w:spacing w:after="0"/>
              <w:rPr>
                <w:sz w:val="23"/>
                <w:szCs w:val="2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883</w:t>
            </w:r>
          </w:p>
        </w:tc>
        <w:tc>
          <w:tcPr>
            <w:tcW w:w="3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71,780</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Amounts exclude interest.</w:t>
      </w:r>
    </w:p>
    <w:p>
      <w:pPr>
        <w:spacing w:after="0" w:line="149" w:lineRule="exact"/>
        <w:rPr>
          <w:rFonts w:ascii="Arial" w:cs="Arial" w:eastAsia="Arial" w:hAnsi="Arial"/>
          <w:sz w:val="12"/>
          <w:szCs w:val="12"/>
          <w:color w:val="auto"/>
        </w:rPr>
      </w:pPr>
    </w:p>
    <w:p>
      <w:pPr>
        <w:ind w:left="380" w:hanging="372"/>
        <w:spacing w:after="0" w:line="253"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We have one significant, long-term contract for core processing services. Actual obligation is unknown and dependent on certain factors including volume and activities. For purposes of this disclosure, future obligations are estimated using 2020 average monthly expense extrapolated over the remaining life of the contract.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will we be able to meet our contractual obligations as they come due. Adequate cash levels are expected through profitability, repayments from loans and securities, deposit gathering activity, access to borrowing sources, and periodic loan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manage our capital by tracking our level and quality of capital with consideration given to our overall financial condition, our asset quality, our level of allowance for loan losses, our geographic and industry concentrations, and other risk factors in our balance sheet, including interest rate sensitivity.</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 We operate under the Small Bank Holding Company Policy Statement, and accordingly are exempt from the Board of Governors of the Federal Reserve System’s (“Federal Reserve”) generally applicable risk-based-capital ratio and leverage ratio requirements. The Bank is subject to minimum risk-based and leverage capital requirements under federal regulations implementing the Basel III framework, and to regulatory thresholds that must be met for an insured depository institution to be classified as “well-capitalized” under the prompt corrective action framework. Bank holding companies and banks are subject to various regulatory capital requirements administered by the federal bank and state regulatory agencies.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the Bank’s prompt corrective action classification are also subject to qualitative judgments by the regulators about components of capital, risk weightings and other factors. As of March 31, 2021, Bancorp and the Bank were in compliance with all applicable regulatory capital requirements, and the Bank qualified as “well-capitalized” under the prompt corrective action framework.</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line="308" w:lineRule="auto"/>
        <w:rPr>
          <w:sz w:val="20"/>
          <w:szCs w:val="20"/>
          <w:color w:val="auto"/>
        </w:rPr>
      </w:pPr>
      <w:r>
        <w:rPr>
          <w:rFonts w:ascii="Arial" w:cs="Arial" w:eastAsia="Arial" w:hAnsi="Arial"/>
          <w:sz w:val="17"/>
          <w:szCs w:val="17"/>
          <w:color w:val="auto"/>
        </w:rPr>
        <w:t>Bancorp’s and the Bank’s capital adequacy ratios as of March 31, 2021 and December 31, 2020 are presented in the following tables. As of March 31, 2021 and December 31, 2020, Bancorp’s Tier 1 capital included a subordinated debenture, which was not included at the Bank level.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Ratio to be Well-</w:t>
            </w:r>
          </w:p>
        </w:tc>
      </w:tr>
      <w:tr>
        <w:trPr>
          <w:trHeight w:val="216"/>
        </w:trPr>
        <w:tc>
          <w:tcPr>
            <w:tcW w:w="3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1"/>
              </w:rPr>
              <w:t>Capitalized under Prompt</w:t>
            </w: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Capital Ratios for Bancorp</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b w:val="1"/>
                <w:bCs w:val="1"/>
                <w:color w:val="auto"/>
              </w:rPr>
              <w:t>Required for Capital</w:t>
            </w:r>
          </w:p>
        </w:tc>
        <w:tc>
          <w:tcPr>
            <w:tcW w:w="23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Corrective Action</w:t>
            </w: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5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Actual Ratio</w:t>
            </w: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Adequacy Purposes*</w:t>
            </w:r>
          </w:p>
        </w:tc>
        <w:tc>
          <w:tcPr>
            <w:tcW w:w="230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b w:val="1"/>
                <w:bCs w:val="1"/>
                <w:color w:val="auto"/>
                <w:w w:val="86"/>
              </w:rPr>
              <w:t>Provisions</w:t>
            </w:r>
          </w:p>
        </w:tc>
      </w:tr>
      <w:tr>
        <w:trPr>
          <w:trHeight w:val="21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March 31, 2021</w:t>
            </w:r>
          </w:p>
        </w:tc>
        <w:tc>
          <w:tcPr>
            <w:tcW w:w="14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Ratio</w:t>
            </w:r>
          </w:p>
        </w:tc>
        <w:tc>
          <w:tcPr>
            <w:tcW w:w="12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Ratio</w:t>
            </w: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Ratio</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5"/>
              </w:rPr>
              <w:t>176,221</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116,613</w:t>
            </w:r>
          </w:p>
        </w:tc>
        <w:tc>
          <w:tcPr>
            <w:tcW w:w="1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8.00%</w:t>
            </w:r>
          </w:p>
        </w:tc>
        <w:tc>
          <w:tcPr>
            <w:tcW w:w="1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w w:val="95"/>
              </w:rPr>
              <w:t>129,636</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87,459</w:t>
            </w:r>
          </w:p>
        </w:tc>
        <w:tc>
          <w:tcPr>
            <w:tcW w:w="1180" w:type="dxa"/>
            <w:vAlign w:val="bottom"/>
          </w:tcPr>
          <w:p>
            <w:pPr>
              <w:ind w:left="300"/>
              <w:spacing w:after="0"/>
              <w:rPr>
                <w:sz w:val="20"/>
                <w:szCs w:val="20"/>
                <w:color w:val="auto"/>
              </w:rPr>
            </w:pPr>
            <w:r>
              <w:rPr>
                <w:rFonts w:ascii="Arial" w:cs="Arial" w:eastAsia="Arial" w:hAnsi="Arial"/>
                <w:sz w:val="18"/>
                <w:szCs w:val="18"/>
                <w:color w:val="auto"/>
              </w:rPr>
              <w:t>≥ 6.00%</w:t>
            </w:r>
          </w:p>
        </w:tc>
        <w:tc>
          <w:tcPr>
            <w:tcW w:w="1260" w:type="dxa"/>
            <w:vAlign w:val="bottom"/>
          </w:tcPr>
          <w:p>
            <w:pPr>
              <w:ind w:left="640"/>
              <w:spacing w:after="0"/>
              <w:rPr>
                <w:sz w:val="20"/>
                <w:szCs w:val="20"/>
                <w:color w:val="auto"/>
              </w:rPr>
            </w:pPr>
            <w:r>
              <w:rPr>
                <w:rFonts w:ascii="Arial" w:cs="Arial" w:eastAsia="Arial" w:hAnsi="Arial"/>
                <w:sz w:val="18"/>
                <w:szCs w:val="18"/>
                <w:color w:val="auto"/>
              </w:rPr>
              <w:t>N/A</w:t>
            </w:r>
          </w:p>
        </w:tc>
        <w:tc>
          <w:tcPr>
            <w:tcW w:w="1040" w:type="dxa"/>
            <w:vAlign w:val="bottom"/>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(to risk-weighted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5"/>
              </w:rPr>
              <w:t>129,636</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65,595</w:t>
            </w:r>
          </w:p>
        </w:tc>
        <w:tc>
          <w:tcPr>
            <w:tcW w:w="1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4.50%</w:t>
            </w:r>
          </w:p>
        </w:tc>
        <w:tc>
          <w:tcPr>
            <w:tcW w:w="1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Tier 1 Capital (to average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129,636</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81,367</w:t>
            </w: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 4.00%</w:t>
            </w:r>
          </w:p>
        </w:tc>
        <w:tc>
          <w:tcPr>
            <w:tcW w:w="12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N/A</w:t>
            </w:r>
          </w:p>
        </w:tc>
      </w:tr>
      <w:tr>
        <w:trPr>
          <w:trHeight w:val="209"/>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w w:val="95"/>
              </w:rPr>
              <w:t>176,861</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12.18%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95"/>
              </w:rPr>
              <w:t>116,138</w:t>
            </w:r>
          </w:p>
        </w:tc>
        <w:tc>
          <w:tcPr>
            <w:tcW w:w="1180" w:type="dxa"/>
            <w:vAlign w:val="bottom"/>
          </w:tcPr>
          <w:p>
            <w:pPr>
              <w:ind w:left="300"/>
              <w:spacing w:after="0"/>
              <w:rPr>
                <w:sz w:val="20"/>
                <w:szCs w:val="20"/>
                <w:color w:val="auto"/>
              </w:rPr>
            </w:pPr>
            <w:r>
              <w:rPr>
                <w:rFonts w:ascii="Arial" w:cs="Arial" w:eastAsia="Arial" w:hAnsi="Arial"/>
                <w:sz w:val="18"/>
                <w:szCs w:val="18"/>
                <w:color w:val="auto"/>
              </w:rPr>
              <w:t>≥ 8.00%</w:t>
            </w:r>
          </w:p>
        </w:tc>
        <w:tc>
          <w:tcPr>
            <w:tcW w:w="1260" w:type="dxa"/>
            <w:vAlign w:val="bottom"/>
          </w:tcPr>
          <w:p>
            <w:pPr>
              <w:ind w:left="640"/>
              <w:spacing w:after="0"/>
              <w:rPr>
                <w:sz w:val="20"/>
                <w:szCs w:val="20"/>
                <w:color w:val="auto"/>
              </w:rPr>
            </w:pPr>
            <w:r>
              <w:rPr>
                <w:rFonts w:ascii="Arial" w:cs="Arial" w:eastAsia="Arial" w:hAnsi="Arial"/>
                <w:sz w:val="18"/>
                <w:szCs w:val="18"/>
                <w:color w:val="auto"/>
              </w:rPr>
              <w:t>N/A</w:t>
            </w:r>
          </w:p>
        </w:tc>
        <w:tc>
          <w:tcPr>
            <w:tcW w:w="1040" w:type="dxa"/>
            <w:vAlign w:val="bottom"/>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5"/>
              </w:rPr>
              <w:t>130,347</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87,103</w:t>
            </w:r>
          </w:p>
        </w:tc>
        <w:tc>
          <w:tcPr>
            <w:tcW w:w="1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6.00%</w:t>
            </w:r>
          </w:p>
        </w:tc>
        <w:tc>
          <w:tcPr>
            <w:tcW w:w="1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Equity Tier 1 (to risk-weighted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w w:val="95"/>
              </w:rPr>
              <w:t>130,347</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8.98%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65,327</w:t>
            </w:r>
          </w:p>
        </w:tc>
        <w:tc>
          <w:tcPr>
            <w:tcW w:w="1180" w:type="dxa"/>
            <w:vAlign w:val="bottom"/>
          </w:tcPr>
          <w:p>
            <w:pPr>
              <w:ind w:left="300"/>
              <w:spacing w:after="0"/>
              <w:rPr>
                <w:sz w:val="20"/>
                <w:szCs w:val="20"/>
                <w:color w:val="auto"/>
              </w:rPr>
            </w:pPr>
            <w:r>
              <w:rPr>
                <w:rFonts w:ascii="Arial" w:cs="Arial" w:eastAsia="Arial" w:hAnsi="Arial"/>
                <w:sz w:val="18"/>
                <w:szCs w:val="18"/>
                <w:color w:val="auto"/>
              </w:rPr>
              <w:t>≥ 4.50%</w:t>
            </w:r>
          </w:p>
        </w:tc>
        <w:tc>
          <w:tcPr>
            <w:tcW w:w="1260" w:type="dxa"/>
            <w:vAlign w:val="bottom"/>
          </w:tcPr>
          <w:p>
            <w:pPr>
              <w:ind w:left="640"/>
              <w:spacing w:after="0"/>
              <w:rPr>
                <w:sz w:val="20"/>
                <w:szCs w:val="20"/>
                <w:color w:val="auto"/>
              </w:rPr>
            </w:pPr>
            <w:r>
              <w:rPr>
                <w:rFonts w:ascii="Arial" w:cs="Arial" w:eastAsia="Arial" w:hAnsi="Arial"/>
                <w:sz w:val="18"/>
                <w:szCs w:val="18"/>
                <w:color w:val="auto"/>
              </w:rPr>
              <w:t>N/A</w:t>
            </w:r>
          </w:p>
        </w:tc>
        <w:tc>
          <w:tcPr>
            <w:tcW w:w="1040" w:type="dxa"/>
            <w:vAlign w:val="bottom"/>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5"/>
              </w:rPr>
              <w:t>130,347</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79,204</w:t>
            </w:r>
          </w:p>
        </w:tc>
        <w:tc>
          <w:tcPr>
            <w:tcW w:w="11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 4.00%</w:t>
            </w:r>
          </w:p>
        </w:tc>
        <w:tc>
          <w:tcPr>
            <w:tcW w:w="12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N/A</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Ratio to be Well-</w:t>
            </w:r>
          </w:p>
        </w:tc>
      </w:tr>
      <w:tr>
        <w:trPr>
          <w:trHeight w:val="216"/>
        </w:trPr>
        <w:tc>
          <w:tcPr>
            <w:tcW w:w="3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b w:val="1"/>
                <w:bCs w:val="1"/>
                <w:color w:val="auto"/>
                <w:w w:val="97"/>
              </w:rPr>
              <w:t>Capitalized under Prompt</w:t>
            </w: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Capital Ratios for the Bank</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rPr>
              <w:t>Required for Capital</w:t>
            </w:r>
          </w:p>
        </w:tc>
        <w:tc>
          <w:tcPr>
            <w:tcW w:w="380" w:type="dxa"/>
            <w:vAlign w:val="bottom"/>
          </w:tcPr>
          <w:p>
            <w:pPr>
              <w:spacing w:after="0"/>
              <w:rPr>
                <w:sz w:val="18"/>
                <w:szCs w:val="18"/>
                <w:color w:val="auto"/>
              </w:rPr>
            </w:pPr>
          </w:p>
        </w:tc>
        <w:tc>
          <w:tcPr>
            <w:tcW w:w="20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Corrective Action</w:t>
            </w: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Actual Ratio</w:t>
            </w:r>
          </w:p>
        </w:tc>
        <w:tc>
          <w:tcPr>
            <w:tcW w:w="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Adequacy Purposes*</w:t>
            </w: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8"/>
                <w:szCs w:val="18"/>
                <w:b w:val="1"/>
                <w:bCs w:val="1"/>
                <w:color w:val="auto"/>
                <w:w w:val="86"/>
              </w:rPr>
              <w:t>Provisions</w:t>
            </w:r>
          </w:p>
        </w:tc>
      </w:tr>
      <w:tr>
        <w:trPr>
          <w:trHeight w:val="21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March 31, 2021</w:t>
            </w:r>
          </w:p>
        </w:tc>
        <w:tc>
          <w:tcPr>
            <w:tcW w:w="14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Ratio</w:t>
            </w:r>
          </w:p>
        </w:tc>
        <w:tc>
          <w:tcPr>
            <w:tcW w:w="12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Ratio</w:t>
            </w:r>
          </w:p>
        </w:tc>
        <w:tc>
          <w:tcPr>
            <w:tcW w:w="13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Amount</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Ratio</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5"/>
              </w:rPr>
              <w:t>173,957</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116,500</w:t>
            </w:r>
          </w:p>
        </w:tc>
        <w:tc>
          <w:tcPr>
            <w:tcW w:w="1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8.00%</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5"/>
              </w:rPr>
              <w:t>145,625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10.00%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w w:val="95"/>
              </w:rPr>
              <w:t>155,702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87,375</w:t>
            </w:r>
          </w:p>
        </w:tc>
        <w:tc>
          <w:tcPr>
            <w:tcW w:w="1120" w:type="dxa"/>
            <w:vAlign w:val="bottom"/>
          </w:tcPr>
          <w:p>
            <w:pPr>
              <w:ind w:left="300"/>
              <w:spacing w:after="0"/>
              <w:rPr>
                <w:sz w:val="20"/>
                <w:szCs w:val="20"/>
                <w:color w:val="auto"/>
              </w:rPr>
            </w:pPr>
            <w:r>
              <w:rPr>
                <w:rFonts w:ascii="Arial" w:cs="Arial" w:eastAsia="Arial" w:hAnsi="Arial"/>
                <w:sz w:val="18"/>
                <w:szCs w:val="18"/>
                <w:color w:val="auto"/>
              </w:rPr>
              <w:t>≥ 6.00%</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w w:val="95"/>
              </w:rPr>
              <w:t>116,500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 8.00%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(to risk-weighted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5"/>
              </w:rPr>
              <w:t>155,702</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65,531</w:t>
            </w:r>
          </w:p>
        </w:tc>
        <w:tc>
          <w:tcPr>
            <w:tcW w:w="1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4.50%</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94,656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6.50%</w:t>
            </w:r>
          </w:p>
        </w:tc>
      </w:tr>
      <w:tr>
        <w:trPr>
          <w:trHeight w:val="216"/>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Tier 1 Capital (to average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155,702</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81,332</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 4.00%</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101,665</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5.00%</w:t>
            </w:r>
          </w:p>
        </w:tc>
      </w:tr>
      <w:tr>
        <w:trPr>
          <w:trHeight w:val="210"/>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w w:val="95"/>
              </w:rPr>
              <w:t>174,002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95"/>
              </w:rPr>
              <w:t>116,114</w:t>
            </w:r>
          </w:p>
        </w:tc>
        <w:tc>
          <w:tcPr>
            <w:tcW w:w="1120" w:type="dxa"/>
            <w:vAlign w:val="bottom"/>
          </w:tcPr>
          <w:p>
            <w:pPr>
              <w:ind w:left="300"/>
              <w:spacing w:after="0"/>
              <w:rPr>
                <w:sz w:val="20"/>
                <w:szCs w:val="20"/>
                <w:color w:val="auto"/>
              </w:rPr>
            </w:pPr>
            <w:r>
              <w:rPr>
                <w:rFonts w:ascii="Arial" w:cs="Arial" w:eastAsia="Arial" w:hAnsi="Arial"/>
                <w:sz w:val="18"/>
                <w:szCs w:val="18"/>
                <w:color w:val="auto"/>
              </w:rPr>
              <w:t>≥ 8.00%</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w w:val="95"/>
              </w:rPr>
              <w:t>145,143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 10.00%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5"/>
              </w:rPr>
              <w:t>155,808</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87,086</w:t>
            </w:r>
          </w:p>
        </w:tc>
        <w:tc>
          <w:tcPr>
            <w:tcW w:w="1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6.00%</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5"/>
              </w:rPr>
              <w:t>116,114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8.00%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Equity Tier 1 (to risk-weighted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w w:val="95"/>
              </w:rPr>
              <w:t>155,808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65,314</w:t>
            </w:r>
          </w:p>
        </w:tc>
        <w:tc>
          <w:tcPr>
            <w:tcW w:w="1120" w:type="dxa"/>
            <w:vAlign w:val="bottom"/>
          </w:tcPr>
          <w:p>
            <w:pPr>
              <w:ind w:left="300"/>
              <w:spacing w:after="0"/>
              <w:rPr>
                <w:sz w:val="20"/>
                <w:szCs w:val="20"/>
                <w:color w:val="auto"/>
              </w:rPr>
            </w:pPr>
            <w:r>
              <w:rPr>
                <w:rFonts w:ascii="Arial" w:cs="Arial" w:eastAsia="Arial" w:hAnsi="Arial"/>
                <w:sz w:val="18"/>
                <w:szCs w:val="18"/>
                <w:color w:val="auto"/>
              </w:rPr>
              <w:t>≥ 4.50%</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94,343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 6.50%</w:t>
            </w: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5"/>
              </w:rPr>
              <w:t>155,808</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79,199</w:t>
            </w:r>
          </w:p>
        </w:tc>
        <w:tc>
          <w:tcPr>
            <w:tcW w:w="11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 4.00%</w:t>
            </w:r>
          </w:p>
        </w:tc>
        <w:tc>
          <w:tcPr>
            <w:tcW w:w="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98,998</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5.00%</w:t>
            </w:r>
          </w:p>
        </w:tc>
      </w:tr>
    </w:tbl>
    <w:p>
      <w:pPr>
        <w:spacing w:after="0" w:line="206" w:lineRule="exact"/>
        <w:rPr>
          <w:sz w:val="20"/>
          <w:szCs w:val="20"/>
          <w:color w:val="auto"/>
        </w:rPr>
      </w:pPr>
    </w:p>
    <w:p>
      <w:pPr>
        <w:ind w:left="380" w:hanging="372"/>
        <w:spacing w:after="0" w:line="293"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Bancorp and the Bank were subject to Basel III capital requirements. The Company operates under the Small Bank Business Holding Company Policy Statement and therefore is not currently subject to generally applicable capital adequacy requirements.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liquidity based upon factors that include the level of diversification of our funding sources, the composition of our deposit types, the availability of unused funding sources, off-balance sheet obligations, the amount of cash and liquid securities we hold and the availability of assets to be readily converted into cash without undue loss. The FDIC evaluates the liquidity of the Bank on a stand-alone basis pursuant to applicable guidance and policies.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credit, market, operational, legal, and reputational risks also could affect the bank’s liquidity risk profile and are considered in the assessment of liquidity management.</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a corporation separate and apart from the Bank and, therefore, must provide for its own liquidity, including liquidity required to meet its debt service requirements on its senior notes and junior subordinated debentures.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Bancorp without advance regulatory approval is restricted to the lesser of the Bank’s retained earnings or the amount of the Bank’s net profits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of subordinated note debt service. We continually monitor our liquidity position to ensure that our assets and liabilities are managed in a manner to meet all reasonably foreseeable short-term, long-term and strategic liquidity demands. Management has established a comprehensive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spacing w:after="0" w:line="272" w:lineRule="auto"/>
        <w:rPr>
          <w:sz w:val="20"/>
          <w:szCs w:val="20"/>
          <w:color w:val="auto"/>
        </w:rPr>
      </w:pPr>
      <w:r>
        <w:rPr>
          <w:rFonts w:ascii="Arial" w:cs="Arial" w:eastAsia="Arial" w:hAnsi="Arial"/>
          <w:sz w:val="17"/>
          <w:szCs w:val="17"/>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 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Bank of San Francisco (“FRB”) discount window, draws on established federal funds lines from unaffiliated commercial banks, and the issuance of debt or equity securities. We believe we have ample liquidity resources to fund future growth and meet other cash needs as necessary.</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most significant source of liquidity during the first quarter of 2021 was an increase in deposits of $199.1 million. The increase was primarily due to increases in PPP borrower-related balances and normal fluctuations in some of our large accounts. Other sources of liquidity during the first quarter of 2021 included proceeds from sales and maturities or/and prepayments of securities of $11.5 million, and $8.6 million in net cash provided by operating activities.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uses of liquidity during the first quarter of 2021 were $28.8 million in investment securities purchased, $37.7 million in loan originations and advances, net of principal collected, $13.0 million in loans originated for sale, and $11.0 million in cash dividends paid on common stock to our shareholders. Refer to the Consolidated Statement of Cash Flows included in our unaudited consolidated financial statements in this Quarterly Report on Form 10-Q for additional information on our sources and uses of liquidity. Management anticipates that our current strong liquidity position and core deposit base are adequate to fund our operations.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commitments and standby letters of credit, as discussed in Note 9, Commitments and Contingencies, in the notes to our unaudited consolidated financial statements included in this Quarterly Report on Form 10-Q, totaled $213.9 million at March 31, 2021. We expect to fund these commitments to the extent utilized primarily through the repayment of existing loans, deposit growth and liquid assets. Over the next twelve months, $34.7 million of time deposits are expected to mature. As these time deposits mature, some these deposits may not renew due to the competition in the Bank’s marketplace. However, based on our historical runoff experience, we expect the outflow will not be significant and can be replenished through our organic growth in deposits. We believe our emphasis on local deposits, combined with our liquid investment portfolio, provides a stable funding base.</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 additional source of our liquidity is the sale of liquid assets, which consists of loans held for sale and securities available-for-sale. At March 31, 2021, securities available-for-sale totaled $127.3 million, with $51.4 million pledged as collateral for borrowings and other commitments.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Bank is a shareholder of the FHLB, which enables the Bank to have access to lower-cost FHLB financing when necessary. At March 31, 2021, the Bank had a total financing availability of $178.3 million, net of letters of credit issued of $298.5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management believes the above-mentioned sources will provide adequate liquidity during the next twelve months for the Bank to meet its operating needs.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significant uses of liquidity for Bancorp are shareholder dividends and ordinary operating expenses. The Bank paid dividends to Bancorp totaling $11.0 million during the first quarter of 2021. Bancorp held $3.3 million of cash and cash equivalents as of March 31, 2021. Management anticipates that there will be sufficient earnings at the Bank to provide dividends to Bancorp to meet its funding requirements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or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7"/>
          <w:szCs w:val="17"/>
          <w:color w:val="auto"/>
        </w:rPr>
        <w:t>Allowance for loan losses to total loans, excluding SBA-guaranteed PPP loans, and tangible common equity to tangible assets are non-GAAP financial measures. Allowance for loan losses to total loans, excluding SBA-guaranteed PPP loans, is defined as allowance for loan losses, divided by total loans less SBA-guaranteed PPP loans. The most directly comparable GAAP financial measure is allowance for loan losses to total loans.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their non-GAAP financial measures when making comparisons.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reconciliation table provides a more detailed analysis of these non-GAAP financial measures along with their most directly comparable financial measures calculated in accordance with GAAP.</w:t>
      </w:r>
    </w:p>
    <w:p>
      <w:pPr>
        <w:sectPr>
          <w:pgSz w:w="11900" w:h="16838" w:orient="portrait"/>
          <w:cols w:equalWidth="0" w:num="1">
            <w:col w:w="11240"/>
          </w:cols>
          <w:pgMar w:left="320" w:top="692" w:right="3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Allowance for loan losses to total loans, excluding SBA PPP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SBA-guaranteed PPP loans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Allowance for loan losses to total loans, excluding SBA PPP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March 31, 2021</w:t>
            </w:r>
          </w:p>
        </w:tc>
        <w:tc>
          <w:tcPr>
            <w:tcW w:w="16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88"/>
              </w:rPr>
              <w:t>December 31, 2020</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22,271</w:t>
            </w:r>
          </w:p>
        </w:tc>
        <w:tc>
          <w:tcPr>
            <w:tcW w:w="58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22,189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1,546,553</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1,507,979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182,876</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147,965</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4" w:lineRule="exact"/>
        <w:rPr>
          <w:sz w:val="20"/>
          <w:szCs w:val="20"/>
          <w:color w:val="auto"/>
        </w:rPr>
      </w:pPr>
    </w:p>
    <w:p>
      <w:pPr>
        <w:sectPr>
          <w:pgSz w:w="11900" w:h="16838" w:orient="portrait"/>
          <w:cols w:equalWidth="0" w:num="2">
            <w:col w:w="7240" w:space="720"/>
            <w:col w:w="3280"/>
          </w:cols>
          <w:pgMar w:left="320" w:top="692" w:right="339" w:bottom="1440" w:gutter="0" w:footer="0" w:header="0"/>
          <w:type w:val="continuous"/>
        </w:sectPr>
      </w:pPr>
    </w:p>
    <w:p>
      <w:pPr>
        <w:spacing w:after="0" w:line="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as of March 31, 2021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was no change in our internal control over financial reporting (as such term is defined in Rule 13a-15(f) under the Exchange Act) that occurred during the three months ended March 31, 2021 that has materially affected, or is reasonably likely to materially affect, such controls.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Certain factors may have an adverse effect on our business, financial condition, and results of operations. You should carefully consider the following risks, together with all of the other information contained in this Quarterly Report on Form 10-Q, including the sections entitled “Cautionary Note Regarding Forward-Looking Statements” and “Management’s Discussion and Analysis of Financial Condition and Results of Operations” and our financial statements and the related notes included in this Quarterly Report on Form 10-Q. Any of the following risks could have an adverse effect on our business, financial condition and results of operations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risks that may have an adverse effect on our business, financial condition, and results of operations are summarized below.</w:t>
      </w:r>
    </w:p>
    <w:p>
      <w:pPr>
        <w:spacing w:after="0" w:line="237"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business and operations are concentrated in Northern California and we are sensitive to adverse changes in the local economy.</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operate in a highly competitive market and face increasing competition from traditional and new financial services providers.</w:t>
      </w:r>
    </w:p>
    <w:p>
      <w:pPr>
        <w:spacing w:after="0" w:line="225" w:lineRule="exact"/>
        <w:rPr>
          <w:rFonts w:ascii="Arial" w:cs="Arial" w:eastAsia="Arial" w:hAnsi="Arial"/>
          <w:sz w:val="18"/>
          <w:szCs w:val="18"/>
          <w:color w:val="auto"/>
        </w:rPr>
      </w:pPr>
    </w:p>
    <w:p>
      <w:pPr>
        <w:jc w:val="both"/>
        <w:ind w:left="760" w:hanging="374"/>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spacing w:after="0" w:line="18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effectively manage our growth, which could have an adverse effect on our business, financial condition, and results of operations.</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operate in a highly regulated industry, and the current regulatory framework and any future legislative and regulatory changes, may have an adverse effect on our business, financial condition, and results of operations.</w:t>
      </w:r>
    </w:p>
    <w:p>
      <w:pPr>
        <w:spacing w:after="0" w:line="170" w:lineRule="exact"/>
        <w:rPr>
          <w:rFonts w:ascii="Arial" w:cs="Arial" w:eastAsia="Arial" w:hAnsi="Arial"/>
          <w:sz w:val="18"/>
          <w:szCs w:val="18"/>
          <w:color w:val="auto"/>
        </w:rPr>
      </w:pPr>
    </w:p>
    <w:p>
      <w:pPr>
        <w:ind w:left="760" w:hanging="374"/>
        <w:spacing w:after="0" w:line="342"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subject to regulatory requirements, including stringent capital requirements, consumer protection laws, and anti-money laundering laws, and failure to comply with these requirements could have an adverse effect on our business, financial condition, and results of operations.</w:t>
      </w:r>
    </w:p>
    <w:p>
      <w:pPr>
        <w:spacing w:after="0" w:line="123" w:lineRule="exact"/>
        <w:rPr>
          <w:rFonts w:ascii="Arial" w:cs="Arial" w:eastAsia="Arial" w:hAnsi="Arial"/>
          <w:sz w:val="16"/>
          <w:szCs w:val="16"/>
          <w:color w:val="auto"/>
        </w:rPr>
      </w:pPr>
    </w:p>
    <w:p>
      <w:pPr>
        <w:jc w:val="both"/>
        <w:ind w:left="760" w:hanging="374"/>
        <w:spacing w:after="0" w:line="259"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w:t>
      </w:r>
    </w:p>
    <w:p>
      <w:pPr>
        <w:spacing w:after="0" w:line="186"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recently terminated our status as an S Corporation for federal income tax purposes in connection with our IPO and may be subject to claims from taxing authorities related to our prior S Corporation status.</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risks associated with the COVID-19 pandemic, which could have an adverse effect on our business,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and operations are concentrated in California, specifically Northern California, and we are more sensitive than our more geographically diversified competitors to adverse changes in the local economy.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Unlike many of our larger competitors that maintain significant operations located outside our market, substantially all of our customers are individuals and businesses located and doing business in the state of California. As of March 31, 2021, approximately 81.50% of our real estate loans measured by dollar amount were secured by collateral located in California, substantially all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 more geographically diverse competitors. A downturn in the local economy could make it more difficult for our borrowers to repay their loans, may lead to loan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small to medium-sized businesses to which we lend may have fewer resources to weather adverse business developments, which may impair a borrower’s ability to repay a loan.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These factors may be especially true given the effects of the COVID-19 pandemic.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otherwise are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significantly dependent on the real estate markets in which we operate, as a significant percentage of our loan portfolio is secured by real estate.</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March 31, 2021, approximately 78.15% of our loan portfolio was comprised of loans with real estate as a primary or secondary component of collateral, with substantially all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 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We are subject to interest rate risk, which could adversely affect our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rates are highly sensitive to many factors that are beyond our control, including general economic conditions and policies of various governmental and regulatory agencies and, in particular, the Federal Reserve. Changes in monetary policy, including changes in interest rates, could influence not only the interest we receive on loans and securities and the interest we pay on deposits and borrowings, but such changes could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March 31, 2021, 74.81% of our earning assets and 97.03% of our interest-bearing liabilities were variable rate, where our variable rate liabilities reprice at a slower rate than our variable rate assets. Our interest sensitivity profile was asset sensitive as of March 31, 2021.</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an increase in interest rates could also have a negative impact on our results of operations by reducing the demand for loans, decreasing the ability of borrowers to repay their current loan obligations, and increase early withdrawals on term deposits. These circumstances could not only result in increased loan defaults, foreclosures and charge-offs, but also reduce collateral values and necessitate further increases to the allowance for loan losses, which could have an adverse effect on our business, financial condition, and results of operations. The Federal Reserve has indicated that it will maintain the target range for the federal funds rate at low levels for some time to come, but changes to the target range are unpredictable. A decrease in the general level of interest rates, including the Federal Reserve’s sharp reduction in interest rates in response to the economic and financial effects of the COVID-19 pandemic, may affect us through, among other things, increased prepayments on our loan portfolio, and our cost of funds may not fall as quickly as yields on earning assets. Our asset-liability management strategy may not be effective in mitigating exposure to the risks related to changes in market interest rates.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operate in a highly competitive market and face increasing competition from a variety of traditional and new financial services providers.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many competitors. Our principal competitors are commercial and community banks, credit unions, savings and loan associations, mortgage banking firms and online mortgage lenders, and consumer finance companies, including large national financial institutions that operate in our market. Many of these competitors are larger than us,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87" w:lineRule="auto"/>
        <w:rPr>
          <w:sz w:val="20"/>
          <w:szCs w:val="20"/>
          <w:color w:val="auto"/>
        </w:rPr>
      </w:pPr>
      <w:r>
        <w:rPr>
          <w:rFonts w:ascii="Arial" w:cs="Arial" w:eastAsia="Arial" w:hAnsi="Arial"/>
          <w:sz w:val="16"/>
          <w:szCs w:val="16"/>
          <w:color w:val="auto"/>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As of March 31, 2021, we had $1,983.1 million in deposits and a loan to deposit ratio of 77.99%. As of the same date, using deposit account related information such as tax identification numbers, account vesting and account size, we estimated that $1,186.1 million of our deposits exceeded the insurance limits established by the FDIC. Additionally, we have $284.8 million of governmental deposits secured by collateral.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or a loss of confidence by customers in us or the banking sector generally, which could result in significant outflows of deposits within short periods of time or significant changes in pricing necessary to maintain current customer deposits or attract additional deposits. 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keep up with the rapid technological changes in the financial services industry could have an adverse effect on our competitive position and profitability.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have.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the use of data and modeling in both our management’s decision-making generally and in meeting regulatory expectations in particular.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statistical and quantitative models and other quantitatively-based analyses is endemic to bank decision making and regulatory compliance processes, and the employment of such analyses is becoming increasingly widespread in our operations. Liquidity stress testing, interest rate sensitivity analysis, allowance for loan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their outputs could similarly result in suboptimal decision making, which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We may not be able to measure and limit our credit risk adequately, which could adversely affect our profitability.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particularly due to the continuing effects of the COVID-19 pandemic, our borrowers may experience difficulties in repaying their loans, the collateral we hold may decrease in value or become illiquid, and the level of nonperforming loans, charge-offs, and delinquencies could rise and require significant additional provisions for loan losses. Additional factors related to the credit quality of multifamily residential, real estate construction, and other commercial real estate loans include the quality of management of the business and tenant vacancy rates.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loan losses, each of which could adversely affect our net income. As a result, our inability to successfully manage credit risk could have an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higher credit risk by our commercial real estate and commercial land development loans.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Commercial real estate, commercial land and construction, commercial construction, and farmland based lending usually involve higher credit risks than other types of mortgage loans. As of March 31, 2021, the following loan types accounted for the stated percentages of our loan portfolio: commercial real estate (both owner-occupied and non-owner-occupied)—67.88%; and commercial land and construction—5.03%. These types of loans also involve larger loan balances to a single borrower or groups of related borrowers. These higher credit risks are further heightened when the loans are concentrated in a small number of larger borrowers leading to relationship exposure.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Banking regulators closely supervise banks’ commercial real estate lending activities, and may require banks with higher levels of commercial real estate loans to implement improved underwriting, internal controls, risk management policies, and portfolio stress testing, as well as possibly higher levels of allowances for losses and capital levels as a result of commercial real estate lending growth and exposures.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Commercial real estate loans, commercial and industrial loans, and construction loans are more susceptible to a risk of loss during a downturn in the business cycle. In particular, the COVID-19 pandemic could have adverse effects on our loans for office and hospitality space, which are dependent for repayment on the successful operation and management of the associated commercial real estate. Our underwriting, review and monitoring cannot eliminate all of the risks related to these loans.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Real estate construction loans are based upon estimates of costs and values associated with the complete project. These estimates may be inaccurate, and we may be exposed to significant losses on loans for these projects.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2021, real estate construction loans comprised 4.82% of our total loan portfolio and such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of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non-guaranteed portion of SBA loans that we retain on our balance sheet as well as the guaranteed portion of SBA loans that we sell could expose us to various credit and default risks.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our total commercial SBA loan portfolio held for investment, excluding PPP loans, was $51.3 million, representing 3.31% of total loans held for investment. As of March 31, 2021, we sold 49 SBA loans with government guaranteed portions totaling $10.0 million. The non-guaranteed portion of SBA loans have a higher degree of risk of loss as compared to the guaranteed portion of such loans, and these non-guaranteed loans make up a substantial majority of our remaining SBA loans.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When we sell the guaranteed portion of SBA loans in the ordinary course of business, we are required to make certain representations and warranties to the purchaser about the SBA loan and the manner in which it was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 Further, we generally retain the non-guaranteed portions of the SBA loans that we originate and sell, and to the extent the borrowers of such loans experience financial difficulties, our financial condition, and results of operations could be adversely impacted.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Curtailment of government-guaranteed loan programs could affect a segment of our business.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significant segment of our business consists of originating and periodically selling U.S. government guaranteed loans, in particular those guaranteed by the SBA. Presently, pursuant to the Consolidated Appropriations Act, the SBA guarantees 90% of the principal amount of each qualifying SBA loan originated under the SBA’s 7(a) loan program (excluding PPP loans) through October 1, 2021. After this date, the SBA will guarantee 75% to 85% of the principal amount of qualifying loans originated under the 7(a) loan program (excluding PPP loans). The U.S. government may not maintain the SBA 7(a) loan program, and even if it does, such guaranteed portion may not remain at its current or anticipated level. In addition, from time to time, the government agencies that guarantee these loans reach their internal limits and cease to guarantee future loans. In 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and industrial borrowers of the types that now qualify for government 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As the funding and sale of the guaranteed portion of SBA 7(a) loans is a major portion of our business and a significant portion of our non-interest income, any significant changes to the SBA 7(a) loan program, such as its funding or eligibility requirements, may have an unfavorable impact on our prospects, future performance, and results of operations. The aggregate principal balance of SBA 7(a) guaranteed portions sold during the quarter ended March 31, 2021 was $10.0 million compared to $11.5 million for the same quarter in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participating lender in the SBA’s PPP, we are subject to added risks, including credit, fraud, and litigation risks.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2020, we began processing loan applications under the PPP as an eligible lender with the benefit of a government guarantee of loans to small business clients, many of whom may face difficulties even after being granted such a loan. PPP loans have contributed to our loan growth since March 31, 2020. However, PPP loan growth depends on governmental action to renew and fund the program. On March 30, 2021, the PPP Extension Act of 2021 (“PPP Extension Act”), which extended the deadline to apply for a PPP loan through May 31, 2021, was signed into law.</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participant in the PPP, we face increased risks, particularly in terms of credit, fraud, and litigation risks. The PPP opened to borrower applications shortly after the enactment of its authorizing legislation, and, as a result, there is some ambiguity in the laws, rules and guidance regarding the program’s operation. Subsequent rounds of legislation and associated agency guidance have not provided needed clarity in all instances and in certain other instances have potentially created additional inconsistencies and ambiguities. Accordingly, we are exposed to risks relating to compliance with PPP requirements, including the risk of becoming the subject of governmental investigations, enforcement actions, private litigation, and negative publicity.</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additional credit risk with respect to PPP loans if a determination is made by the SBA that there is a deficiency in the manner in which the loan was originated, funded or serviced,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guarantee, reduce the amount of the guarantee or, if it has already paid under the guarantee, seek recovery of any loss related to the deficiency from the Bank.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PPP loans are fixed, low interest rate loans that are guaranteed by the SBA and subject to numerous other regulatory requirements, and a borrower may apply to have all or a portion of the loan forgiven. If PPP borrowers fail to qualify for loan forgiveness, we face a heightened risk of holding these loans at unfavorable interest rates for an extended period of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line="291" w:lineRule="auto"/>
        <w:rPr>
          <w:sz w:val="20"/>
          <w:szCs w:val="20"/>
          <w:color w:val="auto"/>
        </w:rPr>
      </w:pPr>
      <w:r>
        <w:rPr>
          <w:rFonts w:ascii="Arial" w:cs="Arial" w:eastAsia="Arial" w:hAnsi="Arial"/>
          <w:sz w:val="16"/>
          <w:szCs w:val="16"/>
          <w:color w:val="auto"/>
        </w:rPr>
        <w:t>Furthermore, since the launch of the PPP, several larger banks have been subject to litigation regarding the process and procedures that such banks used in processing applications for the PPP, and we may be exposed to the risk of litigation, from both customers and non-customers that approached us regarding</w:t>
      </w:r>
    </w:p>
    <w:p>
      <w:pPr>
        <w:jc w:val="both"/>
        <w:ind w:firstLine="8"/>
        <w:spacing w:after="0" w:line="273" w:lineRule="auto"/>
        <w:tabs>
          <w:tab w:leader="none" w:pos="3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loans, relating to these or other matters. Also, many financial institutions throughout the country have been named in putative class actions regarding the alleged nonpayment of fees that may be due to certain agents who facilitated PPP loan applications. Although many of these actions have been resolved in favor of banks participating in the PPP, the costs and effects of litigation related to PPP participation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Farmland real estate loans and volatility in commodity prices may adversely affect our financial condition and results of operations.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March 31, 2021, farmland loans were $47.3 million, or 3.05% of our total loan portfolio. Farmland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an adverse effect on our business,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farmland real estate loans may involve a greater degree of risk than other types of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could impair our ability to fund operations and meet our obligations as they become due.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is essential to our business and we monitor our liquidity and manage our liquidity risk at the holding company and bank level. We require sufficient liquidity to fund asset growth, meet customer loan requests, customer deposit maturities and withdrawals, payments on our debt obligations as they come due, and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primary sources of funds consist of cash flows from operations, maturities and sales of investment securities, and proceeds from issuance and sale of our equity and debt securities. Additional liquidity is provided by the ability to borrow from the FHLB and the FRB to fund our operations. We may also borrow funds from third-party lenders, such as other financial institutions, and have access to other funding avenues, including the PPP Liquidity Facility through which the Federal Reserve extends credit to eligible financial institutions that originate PPP loans by taking PPP loans as collateral. We have not used the PPP Liquidity Facility to date.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8"/>
          <w:szCs w:val="18"/>
          <w:color w:val="auto"/>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 desired, we may not be able to replace such funds in the future if our financial condition, the financial condition of the FHLB, or market conditions change. FHLB borrowings and other current sources of liquidity may not be available or, if available, sufficient to provide adequate funding for operations and to support our continued growth. The unavailability of a sufficient funding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affected by the soundness of other financial institutions.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framework may not be effective in mitigating risks and/or losses to 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 and results of operations could be adversely affected. We may also be subject to potentially adverse regulatory consequences.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engage in lending secured by real estate and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and state regulators and state attorneys general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jc w:val="both"/>
        <w:spacing w:after="0" w:line="282" w:lineRule="auto"/>
        <w:rPr>
          <w:sz w:val="20"/>
          <w:szCs w:val="20"/>
          <w:color w:val="auto"/>
        </w:rPr>
      </w:pPr>
      <w:r>
        <w:rPr>
          <w:rFonts w:ascii="Arial" w:cs="Arial" w:eastAsia="Arial" w:hAnsi="Arial"/>
          <w:sz w:val="18"/>
          <w:szCs w:val="18"/>
          <w:b w:val="1"/>
          <w:bCs w:val="1"/>
          <w:color w:val="auto"/>
        </w:rPr>
        <w:t>Regulatory requirements affecting our loans secured by commercial real estate could limit our ability to leverage our capital and adversely affect our growth and profitability.</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From March 31, 2020 through March 31, 2021, our commercial real estate loan balances have increased by $136.6 million. As of March 31, 2021, commercial real estate loans represent 642.07% of our total risk-based capital.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environmental risks and associated costs on our foreclosed real estate assets.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loan portfolio is secured by real property. During the ordinary course of business, we may foreclose on and take title to properties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recovery on commercial real estate loans could be further reduced by a lack of a liquid secondary market for such mortgage loans and mortgage-backed securities.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current business strategy includes an emphasis on commercial real estate lending. Although we sold $10.0 million of loans in the first quarter of 2021, none of which were commercial real estate loans,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appraisals and other valuation techniques we use in evaluating and monitoring loans secured by real property and OREO may not accurately reflect the net value of the asset.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 consolidated financial statements may not reflect the correct value of our OREO, if any, and our allowance for loan losses may not reflect accurate loan impairments. Inaccurate valuation of OREO or inaccurate provisioning for loan losses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82" w:lineRule="auto"/>
        <w:rPr>
          <w:sz w:val="20"/>
          <w:szCs w:val="20"/>
          <w:color w:val="auto"/>
        </w:rPr>
      </w:pPr>
      <w:r>
        <w:rPr>
          <w:rFonts w:ascii="Arial" w:cs="Arial" w:eastAsia="Arial" w:hAnsi="Arial"/>
          <w:sz w:val="18"/>
          <w:szCs w:val="18"/>
          <w:b w:val="1"/>
          <w:bCs w:val="1"/>
          <w:color w:val="auto"/>
        </w:rPr>
        <w:t>Federal, state and local consumer lending laws may restrict our or our partners’ ability to originate certain loans or increase our risk of liability with respect to such loans.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not to make predatory loans and to determine borrowers’ ability to repay. Nonetheless, the law and related rules create the potential for increased liability with respect to our lending and loan investment activities. Compliance with these laws increases our cost of doing business.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consumer protection initiatives or changes in state or federal law, including the CARES Act and its automatic loan forbearance provisions,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largest loan relationships make up a material percentage of our total loan portfolio and credit risks relating to these would have a disproportionate impact.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2021, our 30 largest borrowing relationships ranged from approximately $10.2 million to $42.8 million (including unfunded commitments) and totaled approximately $537.0 million in total commitments (representing, in the aggregate, 34.67% of our total loans held for investment as of March 31, 2021).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March 31, 2021, our 21 largest deposit relationships, each accounting for more than $10.0 million, accounted for $730.6 million, or 36.78% of our total deposits. This includes $290.0 million of our total deposits held by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were withdrawn within a short period of time, it could have a negative impact on our short term liquidity and have an adverse impact on our earnings.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 and/or to raise funding through brokered deposits. Under applicable regulations, if the Bank were no longer “well-capitalized,” the Bank would not be able to accept brokered deposits without the approval of the FDIC.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Our allowance for loan losses may be inadequate to absorb losses inherent in the loan portfolio.</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loan losses that represents management’s judgment of probable losses and risks inherent in our loan portfolio. In determining the size of our allowance for loan losses, we rely on an analysis of our loan portfolio considering historical loss experience, volume and types of loans, trends in classification, volume and trends in delinquencies and nonaccruals, economic conditions, and other pertinent information. The determination of the appropriate level of the allowance for loan losses is inherently highly subjective and requires us to make significant estimates of and assumptions regarding current credit risk and future trends, all of which may change materially. Although we endeavor to maintain our allowance for loan losses at a level adequate to absorb any inherent losses in the loan portfolio, these estimates of loan losses are necessarily subjective and their accuracy depends on the outcome of future events. As of March 31, 2021, the allowance for loan losses was $22.3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loan losses in excess of our current allowance for loan losses, requiring us to make material additions to our allowance for loan losses, which could have an adverse effect on our business, financial condition, and results of operations.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federal and state banking regulators, as an integral part of their supervisory function, periodically review the allowance for loan losses. These regulatory agencies may require us to increase our provision for loan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Finally, the FASB has issued a new accounting standard that will replace the current approach under GAAP, for establishing allowances for loan and lease losses,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will be effective for us on January 1, 2023. The CECL standard will require us to record, at the time of origination, credit losses expected throughout the life of the asset portfolio on loans and held-to-maturity securities, as opposed to the current practice of recording losses when it is probable that a loss event has occurred. We are currently evaluating the impact the CECL standard will have on our accounting and regulatory capital position. The adoption of the CECL standard will materially affect how we determine allowance for loan losses and could require us to significantly increase the allowance. Moreover, the CECL standard may create more volatility in the level of allowance for loan losses. If we are required to materially increase the level of our allowance for loan losses for any reason, such increase could have an adverse effect on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recognize losses on investment securities held in our securities portfolio, particularly if interest rates increase or economic and market conditions deteriorate.</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March 31, 2021, the book value of our investment securities portfolio was approximately $133.7 million. As of the same date, 30.24% of our investments were U.S. government or U.S. government agency securities.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instability in the capital markets. Any of these factors, among others, could cause OTTIs and realized and/or unrealized losses in future periods and declines in other comprehensive income, which could have an adverse effect on our business, financial condition, and results of operations. The process for determining whether impairment of a security is OTTI usually requires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We depend on the accuracy and completeness of information provided by customers and counterparties.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Regulation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industry is highly regulated, and the regulatory framework, together with any future legislative or regulatory changes, may have a materially adverse effect on our operations.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banking industry is highly regulated and supervised under both federal and state laws and regulations that are intended primarily for the protection of depositors, customers, the public, the banking system as a whole or the FDIC Deposit Insurance Fund (“DIF”), not for the protection of our shareholders and creditors. We are subject to regulation and supervision by the Federal Reserve, and our Bank is subject to regulation and supervision by the FDIC and the DFPI. Compliance with these laws and regulations can be difficult and costly, and changes to laws and regulations can impose additional compliance costs. The Dodd-Frank Act, which imposed significant regulatory and compliance changes on financial institutions, is an example of this type of federal law.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or regulatory policies and interpretations of such laws and regulations, could result in sanctions by regulatory agencies, civil money penalties, or damage to our reputation, all of which could have an adverse effect on our business,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spacing w:after="0" w:line="279" w:lineRule="auto"/>
        <w:rPr>
          <w:sz w:val="20"/>
          <w:szCs w:val="20"/>
          <w:color w:val="auto"/>
        </w:rPr>
      </w:pPr>
      <w:r>
        <w:rPr>
          <w:rFonts w:ascii="Arial" w:cs="Arial" w:eastAsia="Arial" w:hAnsi="Arial"/>
          <w:sz w:val="17"/>
          <w:szCs w:val="17"/>
          <w:color w:val="auto"/>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in a manner that impacts our ability to implement our strategy and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 structure, or other aspects of our business, we may be required to take additional charges or undertake, or refrain from taking, actions that could have an adverse effect on our business, financial condition, and results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Monetary policies and regulations of the Federal Reserve could have an adverse effect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Federal and state regulators periodically examine our business and may require us to remediate adverse examination findings or may take enforcement action against us.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Reserve, the FDIC, and the DFPI periodically examine our business, including our compliance with laws and regulations. If, as a result of an examination, the Federal Reserve, the FDIC or the DFPI were to determine that our financial condition, capital resources, asset quality, earnings prospects, management, liquidity, or other aspects of any of our operations had become unsatisfactory, or that we were in violation of any law or regulation, they may take a number of different remedial actions as they deem appropriate. These actions may include requiring us to remediate any such adverse examination findings.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these agencies have the power to take enforcement action against us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our deposit insurance and place our Bank into receivership or conservatorship. Any regulatory enforcement action against us could have an adverse effect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We are subject to stringent capital requirements, which could have an adverse effect on our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Federal regulations establish minimum capital requirements for insured depository institutions, including minimum risk-based capital and leverage ratios, and defines “capital” for calculating these ratios. The capital rules require bank holding companies and banks to maintain a common equity Tier 1 capital to risk-weighted assets ratio of at least 7.0% (a minimum of 4.5% plus a capital conservation buffer of 2.5%), a Tier 1 capital to risk-weighted assets ratio of at least 8.5% (a minimum of 6.0% plus a capital conservation buffer of 2.5%), a total capital to risk-weighted assets ratio of at least 10.5% (a minimum of 8% plus a capital conservation buffer of 2.5%), and a leverage ratio of Tier 1 capital to total consolidated assets of at least 4.0%.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 Tier 1 capital ratio of at least 8.0%, a total capital ratio of at least 10.0%, and a leverage ratio of at least 5.0%,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under the Federal Reserve’s Small Bank Holding Company Policy Statement, which exempts from the Federal Reserve’s risk-based-capital and leverage rules bank holding companies with assets of less than $3.0 billion that are not engaged in significant nonbanking activities, do not conduct significant off-balance sheet activities, and do not have a material amount of debt or equity securities registered with the SEC. Historically, the Federal Reserve has not usually deemed a bank holding company ineligible for application of this policy statement solely because its common stock is registered under the Exchange Act. However, there can be no assurance that the Federal Reserve will continue this practice, and changes to this practice may result in the loss of our status as a small bank holding company for these purposes.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numerous “fair and responsible banking” laws and other laws and regulations designed to protect consumers, and failure to comply with these laws could lead to a wide variety of sanctions.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U.S. Department of Justice, federal and state banking agencies, and other federal and state agencies, including the Consumer Financial Protection Bureau (“CFPB”), are responsible for enforcing these fair and responsible banking laws and regulations. Smaller banks, including the Bank, are subject to rules promulgated by the CFPB but continue to be examined and supervised by federal banking agencies for compliance with federal consumer protection laws and regulations. Accordingly, CFPB rulemaking has the potential to have a significant impact on the operations of the Bank.</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an adverse effect on our business, financial condition, and results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spacing w:after="0" w:line="266" w:lineRule="auto"/>
        <w:rPr>
          <w:sz w:val="20"/>
          <w:szCs w:val="20"/>
          <w:color w:val="auto"/>
        </w:rPr>
      </w:pPr>
      <w:r>
        <w:rPr>
          <w:rFonts w:ascii="Arial" w:cs="Arial" w:eastAsia="Arial" w:hAnsi="Arial"/>
          <w:sz w:val="18"/>
          <w:szCs w:val="18"/>
          <w:b w:val="1"/>
          <w:bCs w:val="1"/>
          <w:color w:val="auto"/>
        </w:rPr>
        <w:t>We are subject to laws regarding the privacy, information security and protection of personal information and any violation of these laws or another incident involving personal, confidential, or proprietary information of individuals could damage our reputation and otherwise adversely affect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requires the collection and retention of large volumes of customer data, including personally identifiable information (“PII”), in various information systems that we maintain and in those maintained by third 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Gramm-Leach-Bliley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 information collected about them, to delete certain of this personal information, to opt-out of the sale of personal information, and to non-discrimination for exercising these rights.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bank holding company and are dependent upon the Bank for cash flow, and the Bank’s ability to make cash distributions is restricted.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The Federal Reserve may require us to commit capital resources to support the Bank.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 purpose of making a capital injection to a subsidiary bank may become more difficult and expensive relative to other corporate borrowings.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a risk of noncompliance and enforcement action with the Bank Secrecy Act and other anti-money laundering statutes and regulations.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Secrecy Act of 1970, the Uniting and Strengthening America by Providing Appropriate Tools Required to Intercept and Obstruct Terrorism Act of 2001,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the U.S. Department of the Treasury’s Office of Foreign Assets Control,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Bank’s FDIC deposit insurance premiums and assessments may increase.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Bank’s deposits are insured by the FDIC up to legal limits and, accordingly, our Bank is subject to insurance assessments based on our Bank’s average consolidated total assets less its average tangible equity. Our Bank’s regular assessments are determined by its CAMELS composite rating (a supervisory rating system developed to classify a bank’s overall condition by taking into account capital adequacy, assets, management capability, earnings, liquidity, and sensitivity to market and interest rate risk), taking into account other factors and adjustments. In order to maintain a strong funding position and the reserve ratios of the DIF required by statute and FDIC estimates of projected requirements, the FDIC has the power to increase deposit insurance assessment rates and impose special assessments on all FDIC-insured financial institutions. Any future increases or special assessments could reduce our profitability and could have an adverse effect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spacing w:after="0" w:line="282" w:lineRule="auto"/>
        <w:rPr>
          <w:sz w:val="20"/>
          <w:szCs w:val="20"/>
          <w:color w:val="auto"/>
        </w:rPr>
      </w:pPr>
      <w:r>
        <w:rPr>
          <w:rFonts w:ascii="Arial" w:cs="Arial" w:eastAsia="Arial" w:hAnsi="Arial"/>
          <w:sz w:val="18"/>
          <w:szCs w:val="18"/>
          <w:b w:val="1"/>
          <w:bCs w:val="1"/>
          <w:color w:val="auto"/>
        </w:rPr>
        <w:t>The planned discontinuation of LIBOR as a benchmark interest and a transition to an alternative reference interest rate could present operational problems and result in market disruption.</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administrator of the LIBOR will publish most tenors of LIBOR for U.S. dollars (“USD”) through June 30, 2023 and permanently cease publication of the 1-week and 2-month USD LIBOR settings following December 31, 2021. The Federal Reserve and other federal banking agencies have encouraged banks to transition away from LIBOR as soon as practicable. Although we expect that the capital and debt markets will cease to use LIBOR as a benchmark in the near future, we cannot predict what impact such a transition may have on our business, financial condition, and results of operations.</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Federal Reserve, based on the recommendations of the New York Federal Reserve’s Alternative Reference Rate Committee, has begun publishing the Secured Overnight Funding Rate (“SOFR”) which is intended to replace LIBOR. Additionally, on April 6, 2021, New York Governor Cuomo signed into law legislation that provides for the substitution of SOFR in any LIBOR-based contract governed by New York state law that does not include clear fallback language, once LIBOR is discontinued. Although SOFR appears to be the preferred replacement rate for LIBOR, it is unclear if other benchmarks may emerge or if other rates will be adopted outside of the United States. The replacement of LIBOR also may result in economic mismatches between different categories of instruments that now consistently rely on the LIBOR benchmark. Markets are slowly developing in response to these new rates, and questions around liquidity in these rates and how to appropriately adjust these rates to eliminate any economic value transfer at the time of transition remain a significant concern. We cannot predict whether the SOFR or another alternative rate will become the market benchmark in place of LIBOR.</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financial products are tied to LIBOR. Inconsistent approaches to a transition from LIBOR to an alternative rate among different market participants and for different financial products may cause market disruption and operational problems, which could adversely affect us, including by exposing us to increased basis risk and resulting costs in connection, and by creating the possibility of disagreements with counterparties.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stock price may be volatile and we may not be able to meet investor or analyst expectations. You may not be able to resell your shares at or above the price you paid and may lose part or all of your investment as a result.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price volatility may negatively impact the price at which our common stock may be sold, and may also negatively impact the timing of any sale. We cannot assure you that the market price of our shares on the Nasdaq Stock Market LLC (“Nasdaq”) will equal or exceed prices in privately negotiated transactions of our shares that have occurred from time to time before our IPO. Our stock price may fluctuate widely in response to a variety of factors including the risk factors described herein and, among other things:</w:t>
      </w:r>
    </w:p>
    <w:p>
      <w:pPr>
        <w:spacing w:after="0" w:line="187"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 financial conditions, or credit quality;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business or economic conditions;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recommendations or research reports about us or the financial services industry in general published by securities analysts;</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securities analysts to cover, or to continue to cover, us;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or publication of research reports and recommendations by financial analysts or actions taken by rating agencies with respect to us or other financial institutions;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related to the impact of natural or manmade disasters in our market;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in the marketplace regarding us and or our competitors;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sudden increases in the demand for our common stock, including as a result of any “short squeezes;”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ind w:left="76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investments from third parties;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or issuance of additional shares of common stock;</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22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thereof affecting our business, or enforcement of these laws or regulations;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investments from third parties; or</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pandemics, or military conflicts.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trading price of our common stock over the short, medium or long term, regardless of our actual performance.</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are an “emerging growth company,” as defined in the JOBS Act, and a “smaller reporting company,” as defined in Rule 12b-2 in the Exchange Act, and are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present only two years of audited financial statements and discuss our results of operations for only two years in related Management’s Discussions and Analyses; not to provide an auditor attestation of our internal control over financial reporting; to take advantage of an extended transition period to comply with the new or revised accounting standards applicable to public companies; to provide reduced disclosure regarding our executive compensation arrangements pursuant to the rules applicable to smaller reporting companies, which means we do not have to include a compensation discussion and analysis and certain other disclosure regarding our executive compensation; and not to seek a non-binding advisory vote on executive compensation or golden parachute arrangements.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jc w:val="both"/>
        <w:ind w:right="20"/>
        <w:spacing w:after="0" w:line="263" w:lineRule="auto"/>
        <w:rPr>
          <w:sz w:val="20"/>
          <w:szCs w:val="20"/>
          <w:color w:val="auto"/>
        </w:rPr>
      </w:pPr>
      <w:r>
        <w:rPr>
          <w:rFonts w:ascii="Arial" w:cs="Arial" w:eastAsia="Arial" w:hAnsi="Arial"/>
          <w:sz w:val="18"/>
          <w:szCs w:val="18"/>
          <w:color w:val="auto"/>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significant shareholders have the ability to control significant corporate activities and our significant shareholders’ interests may not coincide with yours.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our IPO, our directors, executive officers, and principal shareholders beneficially owned an aggregate of 5,881,682 shares, or approximately 34.47%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management has broad discretion in allocating the net proceeds of our IPO. Our failure to effectively utilize such net proceeds may have an adverse effect on our financial performance and the value of our common stock.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distributions to certain of our shareholders in May 2021, we may use the net proceeds of our IPO to increase the capital of the Bank in order to support our organic growth strategies, including expanding our overall market share, to strengthen our regulatory capital and for working capital and other general corporate purposes. However, we are not required to apply any portion of the net proceeds of our IPO for any particular purpose and our management could use them for purposes other than those contemplated at the time of the IPO. Accordingly, our management will have broad discretion in the application of the net proceeds from the IPO, and you will be relying on the judgment of our management regarding the application of these proceeds. You will not have the opportunity to assess whether we are using the proceeds appropriately. Our management might not apply our net proceeds in ways that ultimately increase the value of your investment. If we do not invest or apply the net proceeds from our IPO in ways that enhance shareholder value, we may fail to achieve expected financial results, which could cause our stock price to decline.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our stock price and trading volume could decline.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may be unable to attract or sustain research coverage by securities and industry analysts. If no securities or industry analysts cover our company, the trading price for our stock would likely be negatively impacted. If we obtain securities or industry analyst coverage and if one or more of the analysts who covers us downgrades our stock or publishes inaccurate or unfavorable research about our business, our stock price would likely decline. If we fail to meet the expectations of analysts for our operating results, our stock price would likely decline. If one or more of these analysts ceases coverage of us or fails to publish reports on us regularly, demand for our stock could decrease, which could cause our stock price and trading volume to decline.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pay dividends on our common stock in the future, and our ability to pay dividends is subject to certain restrictions.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jc w:val="both"/>
        <w:spacing w:after="0" w:line="282" w:lineRule="auto"/>
        <w:rPr>
          <w:sz w:val="20"/>
          <w:szCs w:val="20"/>
          <w:color w:val="auto"/>
        </w:rPr>
      </w:pPr>
      <w:r>
        <w:rPr>
          <w:rFonts w:ascii="Arial" w:cs="Arial" w:eastAsia="Arial" w:hAnsi="Arial"/>
          <w:sz w:val="18"/>
          <w:szCs w:val="18"/>
          <w:b w:val="1"/>
          <w:bCs w:val="1"/>
          <w:color w:val="auto"/>
        </w:rPr>
        <w:t>The holders of our debt obligations and preferred stock, if any, have priority over our common stock with respect to payment in the event of liquidation, dissolution or winding up and with respect to the payment of interest and dividends.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any liquidation, dissolution or winding up of the Company, our common stock would rank below all claims of debt holders against us as well as any preferred stock that has been issued. As of March 31, 2021, we had outstanding an aggregate of $28.3 million of subordinated notes, net of debt issuance costs, and we did not have any outstanding preferred stock. We could incur such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obligations to the debt holders are satisfied and holders of subordinated debt and senior equity securities, including preferred shares, if any, have received any payment or distribution due to them. In addition, we will be required to pay interest on the subordinated notes and dividends on the trust preferred securities and preferred stock before we will be able to pay any dividends on our common stock.</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California law and the provisions of our amended and restated articles of incorporation and amended and restated bylaws may have an anti-takeover effect, and there are substantial regulatory limitations on changes of control of bank holding companies.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California corporate law and provisions of our amended and restated articles of incorporation (“amended articles of incorporation”) and our amended and restated bylaws (“amended bylaws”) could make it more difficult for a third party to acquire us, even if doing so would be perceived to be beneficial by our shareholders. Furthermore, with certain limited exceptions, federal regulations prohibit a person or company or a group of persons deemed to be “acting in concert” from, directly or indirectly, acquiring 10% or more (5% or more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must comply with these requirements, if applicable, in connection with any purchase of shares of our common stock. Collectively, provisions of our amended articles of incorporation and amended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amended bylaws have an exclusive forum provision, which could limit a shareholder’s ability to obtain a favorable judicial forum for disputes with us or our directors, officers, or other employees.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or officer or other employee to us or to our shareholders, (iii) any action asserting a claim against us or any of our directors or officers or other employees arising pursuant to any provision of the General Corporation Law of California or the amended articles of incorporation or the amended bylaws or (iv) any action asserting a claim against us or any of our directors or officers or other employees that is governed by the internal affairs doctrine. Our amended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amended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spacing w:after="0" w:line="282" w:lineRule="auto"/>
        <w:rPr>
          <w:sz w:val="20"/>
          <w:szCs w:val="20"/>
          <w:color w:val="auto"/>
        </w:rPr>
      </w:pPr>
      <w:r>
        <w:rPr>
          <w:rFonts w:ascii="Arial" w:cs="Arial" w:eastAsia="Arial" w:hAnsi="Arial"/>
          <w:sz w:val="18"/>
          <w:szCs w:val="18"/>
          <w:b w:val="1"/>
          <w:bCs w:val="1"/>
          <w:color w:val="auto"/>
        </w:rPr>
        <w:t>Prior to our IPO, we were treated as an S Corporation, and claims of taxing authorities related to our prior status as an S Corporation could adversely affect us.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Immediately prior to the consummation of our IPO, our status as an S Corporation terminated and we commenced treatment as a C Corporation under the provisions of Sections 301 through 385 of the Code, which treat the corporation as an entity that is subject to U.S. federal income tax. If the unaudited, open tax years in which we were an S Corporation are audited by the IRS, and we are determined not to have qualified for, or to have violated any requirement for maintaining, our S Corporation status, we will be obligated to pay back taxes, interest and penalties. The amounts that we would be obligated to pay could include taxes on all our taxable income while we were an S Corporation. Any such claims could result in additional costs to us and could have an adverse effect on our business, financial condition and results of operations.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entered into a Tax Sharing Agreement with most of our shareholders who owned our common stock prior to our IPO and could become obligated to make payments to such shareholders for any additional federal, state or local income taxes assessed against them for tax periods prior to the completion of our IPO.</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historically were treated as an S Corporation for U.S. federal income tax purposes, and our shareholders prior to our IPO were taxed on our net income. Therefore, such shareholders received distributions, referred to as tax distributions, from us that were generally intended to equal the amount of tax the existing shareholders were required to pay with respect to our income. In connection with our IPO, our S Corporation status terminated and we are now subject to federal and increased California income taxes. In the event of an adjustment to our reported taxable income for periods prior to termination of our S Corporation status, it is possible that our shareholders who owned our common stock prior to our IPO would be liable for additional income taxes for those prior periods. Pursuant to the Tax Sharing Agreement,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our shareholders who owned our common stock prior to our IPO, who accepted distribution of the estimated balance of our federal accumulated adjustments account under the Tax Sharing Agreement, in an amount equal to such shareholders’ incremental tax liability (including interest and penalties), which amount may be material.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In both cases the amount of the payment will be based on the assumption that our shareholders are taxed at the highest federal and state income tax rates applicable to married individuals filing jointly and residing in California for the relevant periods. Our shareholders who owned our common stock prior to our IPO and accepted distribution of the estimated balance of our federal accumulated adjustments account under the Tax Sharing Agreement will, severally and not jointly, indemnify us with respect to our unpaid income tax liabilities (including interest and penalties) to the extent that such unpaid income tax liabilities are attributable to a decrease in any such shareholder’s taxable income for any tax period and a corresponding increase in our taxable income for any period (but only to the extent of the amount by which the shareholder’s tax liability is reduced).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investment in our common stock is not an insured deposit.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investment in our common stock is not a bank deposit and, therefore, is not insured against loss by the FDIC, any other deposit insurance fund or by any other public or private entity. Investment in our common stock is inherently risky for the reasons described herein, and is subject to the same market forces that affect the price of common stock in any company. As a result, if you acquire our common stock, you could lose some or all of your investment.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We are subject to the reporting requirements of the Exchange Act, the Sarbanes-Oxley Act, and applicable securities rules and regulations. These laws and regulations increase the scope, complexity, and cost of corporate governance, reporting, and disclosure practices over those of non-public or non-reporting companies. Despite our conducting business in a highly regulated environment, these laws and regulations have different requirements for compliance than we experienced prior to becoming a public company. Among other things, the Exchange Act requires that we file annual, quarterly, and current reports with respect to our business and operating results and maintain effective disclosure controls and procedures and internal control over financial reporting. As a Nasdaq-listed company, we are required to prepare and file proxy materials which meet the requirements of the Exchange Act and the SEC’s proxy rules. Compliance with these rules and regulations has, and will continue to, increase our legal and financial compliance costs, make some activities more difficult, time-consuming, or costly, and increase demand on our systems and resources, particularly after we are no longer an “emerging growth company” as defined in the JOBS Act. In order to maintain, appropriately document and, if required, improve our disclosure controls and procedures and internal control over financial reporting to meet the standards required by the Sarbanes-Oxley Act, significant resources and management oversight may be required. As a result, management’s attention may be diverted from other business concerns, which could harm our business and operating results. Additionally, any failure by us to file our periodic reports with the SEC in a timely manner could harm our reputation and cause our investors and potential investors to lose confidence in us, and restrict trading in, and reduce the market price of, our common stock, and potentially our ability to access the capital markets.</w:t>
      </w:r>
    </w:p>
    <w:p>
      <w:pPr>
        <w:spacing w:after="0" w:line="167"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in accordance with Section 404 of the Sarbanes-Oxley Act could have an adverse effect on our business, financial condition,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Public Company Accounting Oversight Board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and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and the impact of actions to mitigate the spread of the virus could adversely affect our business, financial condition and results of operation.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Federal, state and local governments have enacted various restrictions in an attempt to limit the spread of COVID-19. Such measures have disrupted economic activity and contributed to job losses and reductions in consumer and business spending. In response to the economic and financial effects of COVID-19, the Federal Reserve has sharply reduced interest rates (which we expect will likely remain low for a considerable period) and instituted quantitative easing measures as well as domestic and global capital market support programs. In addition, the current and prior presidential administrations, Congress, various federal agencies and state governments have taken measures to address the economic and social consequences of the pandemic, including the passage of the CARES Act, which was enacted on March 27, 2020, the Consolidated Appropriations Act, which was enacted on December 27, 2020, and the American Rescue Plan Act of 2021 (“American Rescue Plan Act”), which was enacted on March 11, 2021. The CARES Act provided wide-ranging economic relief for individuals and businesses impacted by COVID-19, and the Consolidated Appropriations Act and American Rescue Plan Act extended some of these relief provisions in certain respects as well as provided other forms of relief.</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CARES Act established and provided $349 billion in funding for the PPP, a loan program administered by the SBA. Under the PPP, small businesses, sole proprietorships, independent contractors and self-employed individuals may apply for forgivable loans from existing SBA lenders and other approved regulated lenders that enroll in the program, subject to numerous limitations and eligibility criteria. Congress appropriated an additional $310,000 million to the PPP on April 24, 2020, and amended the PPP on June 5, 2020 to make the terms of the PPP loans and loan forgiveness more flexible. The Consolidated Appropriations Act provided additional funding for the PPP of approximately $284,000 million and allowed eligible borrowers, including certain borrowers who already received a PPP loan, to apply for PPP loans through March 31, 2021. The American Rescue Plan Act expanded the eligibility criteria for both first and second draw PPP loans and revised the exclusions from payroll costs for purposes of loan forgiveness. On March 30, 2021, the PPP Extension Act, which extended the deadline to apply for a PPP loan through May 31, 2021, was signed into law. In April 2020, we began processing loan applications under the PPP.</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CARES Act and related guidance from the federal banking agencies provide financial institutions the option to temporarily suspend requirements under GAAP related to classification of certain loan modifications as TDRs to account for the current and anticipated effects of COVID-19. The CARES Act, as amended by the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 We are making a high level of loan modifications under our deferred payment program. Further, our loan portfolio includes loans that are in forbearance but which are not classified as TDRs because they were current at the time forbearance began. When the forbearance periods end, we may be required to classify a substantial portion of these COVID-19 deferments as TDRs.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CARES Act and the Consolidated Appropriations Act also include a range of other provisions designed to support the U.S. economy and mitigate the impact of COVID-19 on financial institutions and their customers, including through the authorization of various programs and measures that the U.S. Department of the Treasury, the Federal Reserve, and other federal agencies may or are required to implement. Among other provisions, sections 4022 and 4023 of the CARES Act provide mortgage loan forbearance relief to certain borrowers experiencing financial hardship during the COVID-19 emergency. Further, in response to the COVID-19 outbreak, the Federal Reserve implemented a number of facilities to provide emergency liquidity to various segments of the U.S. economy and financial markets. Many of these facilities expired on December 31, 2020, or were extended for brief periods into 2021. The expiration of these facilities could have adverse effect on U.S. economy and ultimately on our business. Moreover, if federal stimulus measures and emergency lending programs and liquidity facilities are not effective in mitigating the effect of the COVID-19 pandemic, credit issues for our loan customers may be severe and adversely affect our business, results of operations, and financial condition more substantially over a longer period of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18"/>
          <w:szCs w:val="18"/>
          <w:color w:val="auto"/>
        </w:rPr>
        <w:t>In response to the COVID-19 pandemic, all of the federal banking regulatory agencies have encouraged lenders to extend additional loans, and the federal government is considering additional stimulus and support legislation focused on providing aid to various sectors, including small businesses. The full impact on our lending and other business activities as a result of new government and regulatory policies, programs and guidelines, as well as regulators’ reaction to such activities, remains uncertain.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continuation of the economic effects of the COVID-19 pandemic has had a destabilizing effect on financial markets, key market indices and overall economic activity. The uncertainty regarding the duration of the pandemic and the resulting economic disruption has caused increased market volatility and has led to an economic recession and a significant decrease in consumer confidence and business generally. The continuation of these conditions (including whether due to a resurgence or additional waves of COVID-19 infections, particularly as the geographic areas in which we operate determine whether and when to re-open, and how quickly and to what extent normal economic and operating conditions can resume, especially as a vaccine becomes widely available), as well as the impacts of the CARES Act and other federal and state measures, specifically with respect to loan forbearances, has adversely affected our business, financial condition, and results of operations, and has and can be expected to further adversely impact our business, financial condition, and results of operations and the operations of our borrowers, customers and business partners. In particular, these events have had, and/or can be expected to continue to have, the following effects, among other things:</w:t>
      </w:r>
    </w:p>
    <w:p>
      <w:pPr>
        <w:spacing w:after="0" w:line="181" w:lineRule="exact"/>
        <w:rPr>
          <w:sz w:val="20"/>
          <w:szCs w:val="20"/>
          <w:color w:val="auto"/>
        </w:rPr>
      </w:pPr>
    </w:p>
    <w:p>
      <w:pPr>
        <w:ind w:left="760" w:hanging="374"/>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impair the ability of borrowers to repay outstanding loans or other obligations, resulting in increases in delinquencies and modifications to loans;</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value of collateral securing loans (particularly with respect to real estate);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value of our assets, including our securities portfolio, goodwill, and intangible assets;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an increase in our allowance for credit losses;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 the stability of our deposit base or otherwise impair our liquidity;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our revenues from fee-based services;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negatively impact our self-insurance healthcare costs;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increased compliance risk as we become subject to new regulatory and other requirements, including new and changing guidance, associated with the PPP and other new programs in which we participate;</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ability of loan guarantors to honor commitments;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negatively impact our regulatory capital ratios;</w:t>
      </w:r>
    </w:p>
    <w:p>
      <w:pPr>
        <w:spacing w:after="0" w:line="225" w:lineRule="exact"/>
        <w:rPr>
          <w:rFonts w:ascii="Arial" w:cs="Arial" w:eastAsia="Arial" w:hAnsi="Arial"/>
          <w:sz w:val="18"/>
          <w:szCs w:val="18"/>
          <w:color w:val="auto"/>
        </w:rPr>
      </w:pPr>
    </w:p>
    <w:p>
      <w:pPr>
        <w:jc w:val="both"/>
        <w:ind w:left="760" w:hanging="374"/>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negatively impact the productivity and availability of key personnel necessary to conduct our business, and of third-party service providers who perform critical services for us, or otherwise cause operational failures due to changes in our normal business practices necessitated by the pandemic and related governmental actions; and</w:t>
      </w:r>
    </w:p>
    <w:p>
      <w:pPr>
        <w:spacing w:after="0" w:line="183"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cyber and payment fraud risk and other operational risks, given increased online and remote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18"/>
          <w:szCs w:val="18"/>
          <w:color w:val="auto"/>
        </w:rPr>
        <w:t>Prolonged measures by health or other governmental authorities encouraging or requiring significant restrictions on travel, assembly, or other core business practices could further harm our business and those of our customers, in particular our small to medium-sized business customers. Although we have business continuity plans and other safeguards in place, there is no assurance that they will be effective.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ultimate impact of these factors over the longer term is uncertain and we do not yet know the full extent of the impacts on our business, our operations or the global economy as a whole, nor the pace of economic recovery when the COVID-19 pandemic subsides, the decline in economic conditions generally and a prolonged negative impact on small to medium-sized businesses, in particular, due to COVID-19 is likely to result in an adverse effect on our business, financial condition and results of operations in future periods, and may heighten many of our known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our management team and key employees.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is largely dependent upon our ability to successfully execute our business strategy.</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 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 contributed to our growth, or successfully enter new markets could have an adverse effect on our earnings and profitability and, therefore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We may pursue strategic acquisitions in the future, and we may not be able to overcome risks associated with such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we plan to continue to grow our business organically, we may explore opportunities to invest in, or to acquire, other financial institutions and businesses that we believe would complement our existing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or acquisition activities could be material to our business and involve a number of risks including the following:</w:t>
      </w:r>
    </w:p>
    <w:p>
      <w:pPr>
        <w:spacing w:after="0" w:line="225" w:lineRule="exact"/>
        <w:rPr>
          <w:sz w:val="20"/>
          <w:szCs w:val="20"/>
          <w:color w:val="auto"/>
        </w:rPr>
      </w:pPr>
    </w:p>
    <w:p>
      <w:pPr>
        <w:ind w:left="76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history among our management team in working together on acquisitions and related integration activities;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 expense and difficulty of integrating the operations and personnel of the combined businesses;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asset quality problems with acquired companies;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inaccurate estimates and judgments used to evaluate credit, operations, management, and market risks with respect to the target institution or assets;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of impairment to goodwill or OTTI of investment securities;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exposure to unknown or contingent liabilities of banks and businesses we acquire;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realize expected synergies or returns on investment;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disruption of our ongoing banking business;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key employees or key customers following our investment or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lines of business, products, product enhancements or services may subject us to additional risk.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 or offerings of new products, product enhancements, or services could have an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Our reputation is critical to our business, and damage to it could have an adverse effect on 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 party vendors or other counterparties, litigation or regulatory actions, our failure to meet our high customer service, and quality standards and compliance failures.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 publicity about us, whether or not accurate, may also damage our reputation, which could have an adverse effect on our business, financial condition, and results of operations.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operations could be interrupted if our third-party service providers experience difficulty, terminate their services or fail to comply with banking regulations.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 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third-party service providers, and banking organizations’ relationships with those providers, are subject to demanding regulatory requirements and attention by bank regulators.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both"/>
        <w:spacing w:after="0" w:line="282" w:lineRule="auto"/>
        <w:rPr>
          <w:sz w:val="20"/>
          <w:szCs w:val="20"/>
          <w:color w:val="auto"/>
        </w:rPr>
      </w:pPr>
      <w:r>
        <w:rPr>
          <w:rFonts w:ascii="Arial" w:cs="Arial" w:eastAsia="Arial" w:hAnsi="Arial"/>
          <w:sz w:val="18"/>
          <w:szCs w:val="18"/>
          <w:b w:val="1"/>
          <w:bCs w:val="1"/>
          <w:color w:val="auto"/>
        </w:rPr>
        <w:t>System failure or cybersecurity breaches of our network security could subject us to increased operating costs as well as litigation, damage to our reputation, and other potential losses.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Failures in, or breaches of, our computer systems and network infrastructure, or those of our third-party vendors or other service providers, including as a result of cyber-attacks, could disrupt our business, result in the disclosure or misuse of confidential or proprietary information, damage our reputation,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transmitted through our computer systems and network infrastructure, which may result in significant liability to us and damage to our reputation, and may discourage current and potential customers from using our internet banking services. Our security measures, including firewalls and penetration testing, may not prevent or detect future potential losses from system failures or cybersecurity breaches.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normal course of business, we collect, process, and retain sensitive and confidential information regarding our customers. Although we devote significant resources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misplaced or lost data, programming or human errors, or other similar events. We and our third-party service providers have experienced these types of events in the past and expect to continue to experience them in the future. These events could interrupt our business or operations, result in significant legal and financial exposure, supervisory liability,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Information security risks for financial institutions like us have increased recently in part because of new technologies, the use of the internet and telecommunications technologies (including mobile devices) to conduct financial and other business transactions and the increased sophistication and activities of organized crime, perpetrators of fraud, hackers, terrorists and others. 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our business could be disrupted by natural or man-made disasters.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of our offices, and a significant portion of the real estate securing loans we make, and our borrowers’ business operations in general, are located in California. California has had and will continue to have major earthquakes in areas where a significant portion of the collateral and assets of our borrowers are concentrated. California is also prone to fires, mudslides, floods, and other natural disasters, such as the recent fires that impacted several counties in California, including Orange and Napa. Additionally, acts of terrorism, war, civil unrest, violence, or other man-made disasters could also cause disruptions to our business or to the economy as a whole. The occurrence of natural or man-made disasters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could have an adverse effect on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spacing w:after="0" w:line="282" w:lineRule="auto"/>
        <w:rPr>
          <w:sz w:val="20"/>
          <w:szCs w:val="20"/>
          <w:color w:val="auto"/>
        </w:rPr>
      </w:pPr>
      <w:r>
        <w:rPr>
          <w:rFonts w:ascii="Arial" w:cs="Arial" w:eastAsia="Arial" w:hAnsi="Arial"/>
          <w:sz w:val="18"/>
          <w:szCs w:val="18"/>
          <w:b w:val="1"/>
          <w:b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normal course of business, from time to time, we have in the past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results of operations, and results of operations.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an extensive body of accounting rules and best practices. Periodic changes to such rules may change the treatment and recognition of critical financial line items.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loan losses on the basis of the current expected loan losses over the lifetime of our loans, which is expected to be applicable to us beginning in 2023, and may result in increases in our allowance for loan losses and future provisions for loan losses; and (ii) record the value of and liabilities relating to operating leases on our balance sheet, which is expected to be applicable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accuracy of our consolidated financial statements and related disclosures could be affected if the judgments, assumptions or estimates used in our critical accounting policies are inaccurate.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Quarterly Report on Form 10-Q,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Unregistered Sales of Equity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21, 2021, we granted an aggregate of 9,454 restricted shares of common stock to various executive officers. The shares were offered and sold under the exemptions provided by Section 4(a)(2) of the Securities Act of 1933, as amended (the “Securities Act”), and Regulation D promulgated thereunder, in that the transactions were by an issuer not involving any public offering. These transactions did not involve any underwriters, underwriting discounts, or commissions, appropriate legends were placed upon the share certificates issued in these transactions and were made without any general solicitation or advertising.</w:t>
      </w:r>
    </w:p>
    <w:p>
      <w:pPr>
        <w:spacing w:after="0" w:line="188"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Use of Proceeds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7, 2021 we completed our IPO of 6,054,750 shares of our common stock at an IPO price of $20.00 per share, including 789,750 shares pursuant to the exercise of the underwriters’ option to purchase additional shares of our common stock, and discounts and commissions of approximately $8.5 million and the estimated offering expenses payable by us of approximately of $3.4 million. Keefe, Bruyette &amp; Woods, Inc. acted as bookrunner for the IPO, and Stephens Inc. and D.A. Davidson acted as co-managers. None of the expenses associated with the IPO were paid to directors, officers, affiliates, persons owning 10% or more of any class of equity securities, or their associates.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the shares issued and sold in our IPO were registered under the Securities Act pursuant to a registration statement on Form S-1 (File No. 333-255143), which was declared effective by the SEC on May 4, 2021. There has been no material change in the planned use of proceeds from our IPO from those disclosed in our final prospectus dated as of May 4, 2021 and filed with the SEC pursuant to Rule 424(b)(4) on May 6, 2021, including a cash distribution in the amount of $27.0 million to our shareholders of record as of May 3, 2021, paid on May 21, 2021.</w:t>
      </w:r>
    </w:p>
    <w:p>
      <w:pPr>
        <w:spacing w:after="0" w:line="171" w:lineRule="exact"/>
        <w:rPr>
          <w:sz w:val="20"/>
          <w:szCs w:val="20"/>
          <w:color w:val="auto"/>
        </w:rPr>
      </w:pPr>
    </w:p>
    <w:p>
      <w:pPr>
        <w:ind w:right="8320" w:firstLine="8"/>
        <w:spacing w:after="0" w:line="498" w:lineRule="auto"/>
        <w:tabs>
          <w:tab w:leader="none" w:pos="24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 xml:space="preserve">Issuer Purchases of Equity Securities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 or hereby incorporated by references to filings previously made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w w:val="93"/>
              </w:rPr>
              <w:t>Exhibit Number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16"/>
            <w:vMerge w:val="restart"/>
          </w:tcPr>
          <w:p>
            <w:pPr>
              <w:ind w:left="460"/>
              <w:spacing w:after="0"/>
              <w:rPr>
                <w:sz w:val="20"/>
                <w:szCs w:val="20"/>
                <w:color w:val="auto"/>
              </w:rPr>
            </w:pPr>
            <w:r>
              <w:rPr>
                <w:rFonts w:ascii="Arial" w:cs="Arial" w:eastAsia="Arial" w:hAnsi="Arial"/>
                <w:sz w:val="18"/>
                <w:szCs w:val="18"/>
                <w:b w:val="1"/>
                <w:bCs w:val="1"/>
                <w:color w:val="auto"/>
              </w:rPr>
              <w:t>Exhibit Description</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Incorporated by Reference</w:t>
            </w: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16"/>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Form</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w:t>
            </w: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Filing Date</w:t>
            </w: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4080" w:type="dxa"/>
            <w:vAlign w:val="bottom"/>
            <w:tcBorders>
              <w:bottom w:val="single" w:sz="8" w:color="0000EE"/>
            </w:tcBorders>
            <w:gridSpan w:val="14"/>
          </w:tcPr>
          <w:p>
            <w:pPr>
              <w:spacing w:after="0" w:line="169"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Amended and Restated Articles of Incorporation of Five</w:t>
              </w:r>
            </w:hyperlink>
          </w:p>
        </w:tc>
        <w:tc>
          <w:tcPr>
            <w:tcW w:w="400" w:type="dxa"/>
            <w:vAlign w:val="bottom"/>
            <w:gridSpan w:val="5"/>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Star Bancorp</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38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Amended and Restated Bylaws of Five Star Bancorp</w:t>
              </w:r>
            </w:hyperlink>
          </w:p>
        </w:tc>
        <w:tc>
          <w:tcPr>
            <w:tcW w:w="66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41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Form of Common Stock Certificate of Five Star Bancorp</w:t>
              </w:r>
            </w:hyperlink>
          </w:p>
        </w:tc>
        <w:tc>
          <w:tcPr>
            <w:tcW w:w="360" w:type="dxa"/>
            <w:vAlign w:val="bottom"/>
            <w:gridSpan w:val="4"/>
          </w:tcPr>
          <w:p>
            <w:pPr>
              <w:spacing w:after="0"/>
              <w:rPr>
                <w:sz w:val="17"/>
                <w:szCs w:val="17"/>
                <w:color w:val="auto"/>
              </w:rPr>
            </w:pPr>
          </w:p>
        </w:tc>
        <w:tc>
          <w:tcPr>
            <w:tcW w:w="62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5"/>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5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April 26,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38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Form of S Corporation Termination and Tax Sharing</w:t>
              </w:r>
            </w:hyperlink>
          </w:p>
        </w:tc>
        <w:tc>
          <w:tcPr>
            <w:tcW w:w="680" w:type="dxa"/>
            <w:vAlign w:val="bottom"/>
            <w:gridSpan w:val="11"/>
          </w:tcPr>
          <w:p>
            <w:pPr>
              <w:spacing w:after="0"/>
              <w:rPr>
                <w:sz w:val="17"/>
                <w:szCs w:val="17"/>
                <w:color w:val="auto"/>
              </w:rPr>
            </w:pPr>
          </w:p>
        </w:tc>
        <w:tc>
          <w:tcPr>
            <w:tcW w:w="62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5"/>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5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Agreement</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4480" w:type="dxa"/>
            <w:vAlign w:val="bottom"/>
            <w:gridSpan w:val="19"/>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Five Star Bancorp 2021 Equity Incentive Plan</w:t>
              </w:r>
            </w:hyperlink>
          </w:p>
        </w:tc>
        <w:tc>
          <w:tcPr>
            <w:tcW w:w="62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5"/>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5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April 26,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332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Form of Restricted Stock Vesting Agreement</w:t>
              </w:r>
            </w:hyperlink>
          </w:p>
        </w:tc>
        <w:tc>
          <w:tcPr>
            <w:tcW w:w="1160" w:type="dxa"/>
            <w:vAlign w:val="bottom"/>
            <w:gridSpan w:val="12"/>
          </w:tcPr>
          <w:p>
            <w:pPr>
              <w:spacing w:after="0"/>
              <w:rPr>
                <w:sz w:val="17"/>
                <w:szCs w:val="17"/>
                <w:color w:val="auto"/>
              </w:rPr>
            </w:pPr>
          </w:p>
        </w:tc>
        <w:tc>
          <w:tcPr>
            <w:tcW w:w="62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5"/>
              </w:rPr>
              <w:t>S-1</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5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41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Certification of Chief Executive Officer pursuant to Rule</w:t>
              </w:r>
            </w:hyperlink>
          </w:p>
        </w:tc>
        <w:tc>
          <w:tcPr>
            <w:tcW w:w="3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13a-14(a)/15d-14(a), as adopted pursuant to Section 302 of</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the Sarbanes-Oxley Act of 2002</w:t>
              </w:r>
            </w:hyperlink>
          </w:p>
        </w:tc>
        <w:tc>
          <w:tcPr>
            <w:tcW w:w="1920" w:type="dxa"/>
            <w:vAlign w:val="bottom"/>
            <w:tcBorders>
              <w:top w:val="single" w:sz="8" w:color="0000EE"/>
            </w:tcBorders>
            <w:gridSpan w:val="11"/>
          </w:tcPr>
          <w:p>
            <w:pPr>
              <w:spacing w:after="0"/>
              <w:rPr>
                <w:sz w:val="17"/>
                <w:szCs w:val="17"/>
                <w:color w:val="auto"/>
              </w:rPr>
            </w:pPr>
          </w:p>
        </w:tc>
        <w:tc>
          <w:tcPr>
            <w:tcW w:w="2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4480" w:type="dxa"/>
            <w:vAlign w:val="bottom"/>
            <w:gridSpan w:val="19"/>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Certification of Chief Financial Officer pursuant to Rule</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w w:val="93"/>
              </w:rPr>
            </w:pPr>
            <w:hyperlink w:anchor="page125">
              <w:r>
                <w:rPr>
                  <w:rFonts w:ascii="Arial" w:cs="Arial" w:eastAsia="Arial" w:hAnsi="Arial"/>
                  <w:sz w:val="18"/>
                  <w:szCs w:val="18"/>
                  <w:color w:val="0000EE"/>
                  <w:w w:val="93"/>
                </w:rPr>
                <w:t>13a-14(a)/15d-14(a), as adopted pursuant to Section 302 of</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the Sarbanes-Oxley Act of 2002</w:t>
              </w:r>
            </w:hyperlink>
          </w:p>
        </w:tc>
        <w:tc>
          <w:tcPr>
            <w:tcW w:w="2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39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Certification of Chief Executive Officer pursuant to 18</w:t>
              </w:r>
            </w:hyperlink>
          </w:p>
        </w:tc>
        <w:tc>
          <w:tcPr>
            <w:tcW w:w="52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U.S.C. Section 1350, as adopted pursuant to Section 906 of</w:t>
              </w:r>
            </w:hyperlink>
          </w:p>
        </w:tc>
        <w:tc>
          <w:tcPr>
            <w:tcW w:w="2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3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the Sarbanes-Oxley Act of 2002</w:t>
              </w:r>
            </w:hyperlink>
          </w:p>
        </w:tc>
        <w:tc>
          <w:tcPr>
            <w:tcW w:w="214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1"/>
              </w:rPr>
              <w:t>32.2</w:t>
            </w:r>
          </w:p>
        </w:tc>
        <w:tc>
          <w:tcPr>
            <w:tcW w:w="4480" w:type="dxa"/>
            <w:vAlign w:val="bottom"/>
            <w:gridSpan w:val="19"/>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Certification of Chief Financial Officer pursuant to 18</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U.S.C. Section 1350, as adopted by Section 906 of the</w:t>
              </w:r>
            </w:hyperlink>
          </w:p>
        </w:tc>
        <w:tc>
          <w:tcPr>
            <w:tcW w:w="56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Sarbanes-Oxley Act of 2002</w:t>
              </w:r>
            </w:hyperlink>
          </w:p>
        </w:tc>
        <w:tc>
          <w:tcPr>
            <w:tcW w:w="2420" w:type="dxa"/>
            <w:vAlign w:val="bottom"/>
            <w:gridSpan w:val="16"/>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4480" w:type="dxa"/>
            <w:vAlign w:val="bottom"/>
            <w:gridSpan w:val="19"/>
          </w:tcPr>
          <w:p>
            <w:pPr>
              <w:spacing w:after="0"/>
              <w:rPr>
                <w:sz w:val="20"/>
                <w:szCs w:val="20"/>
                <w:color w:val="auto"/>
              </w:rPr>
            </w:pPr>
            <w:r>
              <w:rPr>
                <w:rFonts w:ascii="Arial" w:cs="Arial" w:eastAsia="Arial" w:hAnsi="Arial"/>
                <w:sz w:val="18"/>
                <w:szCs w:val="18"/>
                <w:color w:val="auto"/>
              </w:rPr>
              <w:t>Inline XBRL Interactive Data</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4480" w:type="dxa"/>
            <w:vAlign w:val="bottom"/>
            <w:gridSpan w:val="19"/>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480" w:type="dxa"/>
            <w:vAlign w:val="bottom"/>
            <w:gridSpan w:val="19"/>
            <w:vMerge w:val="restart"/>
          </w:tcPr>
          <w:p>
            <w:pPr>
              <w:spacing w:after="0"/>
              <w:rPr>
                <w:sz w:val="20"/>
                <w:szCs w:val="20"/>
                <w:color w:val="auto"/>
              </w:rPr>
            </w:pPr>
            <w:r>
              <w:rPr>
                <w:rFonts w:ascii="Arial" w:cs="Arial" w:eastAsia="Arial" w:hAnsi="Arial"/>
                <w:sz w:val="18"/>
                <w:szCs w:val="18"/>
                <w:color w:val="auto"/>
              </w:rPr>
              <w:t>Inline XBRL document in Exhibit 101)</w:t>
            </w:r>
          </w:p>
        </w:tc>
        <w:tc>
          <w:tcPr>
            <w:tcW w:w="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4480" w:type="dxa"/>
            <w:vAlign w:val="bottom"/>
            <w:gridSpan w:val="19"/>
            <w:vMerge w:val="continue"/>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1260" w:type="dxa"/>
            <w:vAlign w:val="bottom"/>
            <w:tcBorders>
              <w:bottom w:val="single" w:sz="8" w:color="DCDCDC"/>
            </w:tcBorders>
          </w:tcPr>
          <w:p>
            <w:pPr>
              <w:spacing w:after="0"/>
              <w:rPr>
                <w:sz w:val="24"/>
                <w:szCs w:val="24"/>
                <w:color w:val="auto"/>
              </w:rPr>
            </w:pPr>
          </w:p>
        </w:tc>
        <w:tc>
          <w:tcPr>
            <w:tcW w:w="4480" w:type="dxa"/>
            <w:vAlign w:val="bottom"/>
            <w:tcBorders>
              <w:bottom w:val="single" w:sz="8" w:color="DCDCDC"/>
            </w:tcBorders>
            <w:gridSpan w:val="19"/>
          </w:tcPr>
          <w:p>
            <w:pPr>
              <w:ind w:left="4280"/>
              <w:spacing w:after="0"/>
              <w:rPr>
                <w:sz w:val="20"/>
                <w:szCs w:val="20"/>
                <w:color w:val="auto"/>
              </w:rPr>
            </w:pPr>
            <w:r>
              <w:rPr>
                <w:rFonts w:ascii="Arial" w:cs="Arial" w:eastAsia="Arial" w:hAnsi="Arial"/>
                <w:sz w:val="18"/>
                <w:szCs w:val="18"/>
                <w:color w:val="auto"/>
                <w:w w:val="89"/>
              </w:rPr>
              <w:t>97</w:t>
            </w:r>
          </w:p>
        </w:tc>
        <w:tc>
          <w:tcPr>
            <w:tcW w:w="62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56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Five Star Bancorp</w:t>
            </w:r>
          </w:p>
        </w:tc>
      </w:tr>
      <w:tr>
        <w:trPr>
          <w:trHeight w:val="230"/>
        </w:trPr>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1720" w:type="dxa"/>
            <w:vAlign w:val="bottom"/>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17, 2021</w:t>
            </w:r>
          </w:p>
        </w:tc>
        <w:tc>
          <w:tcPr>
            <w:tcW w:w="280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Beckwith</w:t>
            </w:r>
          </w:p>
        </w:tc>
      </w:tr>
      <w:tr>
        <w:trPr>
          <w:trHeight w:val="195"/>
        </w:trPr>
        <w:tc>
          <w:tcPr>
            <w:tcW w:w="1720" w:type="dxa"/>
            <w:vAlign w:val="bottom"/>
          </w:tcPr>
          <w:p>
            <w:pPr>
              <w:spacing w:after="0"/>
              <w:rPr>
                <w:sz w:val="16"/>
                <w:szCs w:val="16"/>
                <w:color w:val="auto"/>
              </w:rPr>
            </w:pPr>
          </w:p>
        </w:tc>
        <w:tc>
          <w:tcPr>
            <w:tcW w:w="2360" w:type="dxa"/>
            <w:vAlign w:val="bottom"/>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2800" w:type="dxa"/>
            <w:vAlign w:val="bottom"/>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James Beckwith</w:t>
            </w: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President &amp;</w:t>
            </w: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1720" w:type="dxa"/>
            <w:vAlign w:val="bottom"/>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17, 2021</w:t>
            </w:r>
          </w:p>
        </w:tc>
        <w:tc>
          <w:tcPr>
            <w:tcW w:w="280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Heather Luck</w:t>
            </w:r>
          </w:p>
        </w:tc>
      </w:tr>
      <w:tr>
        <w:trPr>
          <w:trHeight w:val="195"/>
        </w:trPr>
        <w:tc>
          <w:tcPr>
            <w:tcW w:w="1720" w:type="dxa"/>
            <w:vAlign w:val="bottom"/>
          </w:tcPr>
          <w:p>
            <w:pPr>
              <w:spacing w:after="0"/>
              <w:rPr>
                <w:sz w:val="16"/>
                <w:szCs w:val="16"/>
                <w:color w:val="auto"/>
              </w:rPr>
            </w:pPr>
          </w:p>
        </w:tc>
        <w:tc>
          <w:tcPr>
            <w:tcW w:w="2360" w:type="dxa"/>
            <w:vAlign w:val="bottom"/>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2800" w:type="dxa"/>
            <w:vAlign w:val="bottom"/>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Heather Luck</w:t>
            </w: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Senior Vice President &amp;</w:t>
            </w: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52"/>
        </w:trPr>
        <w:tc>
          <w:tcPr>
            <w:tcW w:w="1720" w:type="dxa"/>
            <w:vAlign w:val="bottom"/>
            <w:tcBorders>
              <w:bottom w:val="single" w:sz="8" w:color="DCDCDC"/>
            </w:tcBorders>
          </w:tcPr>
          <w:p>
            <w:pPr>
              <w:spacing w:after="0"/>
              <w:rPr>
                <w:sz w:val="24"/>
                <w:szCs w:val="24"/>
                <w:color w:val="auto"/>
              </w:rPr>
            </w:pPr>
          </w:p>
        </w:tc>
        <w:tc>
          <w:tcPr>
            <w:tcW w:w="2360" w:type="dxa"/>
            <w:vAlign w:val="bottom"/>
            <w:tcBorders>
              <w:bottom w:val="single" w:sz="8" w:color="DCDCDC"/>
            </w:tcBorders>
          </w:tcPr>
          <w:p>
            <w:pPr>
              <w:spacing w:after="0"/>
              <w:rPr>
                <w:sz w:val="24"/>
                <w:szCs w:val="24"/>
                <w:color w:val="auto"/>
              </w:rPr>
            </w:pPr>
          </w:p>
        </w:tc>
        <w:tc>
          <w:tcPr>
            <w:tcW w:w="2800" w:type="dxa"/>
            <w:vAlign w:val="bottom"/>
            <w:tcBorders>
              <w:bottom w:val="single" w:sz="8" w:color="DCDCDC"/>
            </w:tcBorders>
          </w:tcPr>
          <w:p>
            <w:pPr>
              <w:jc w:val="right"/>
              <w:ind w:right="1070"/>
              <w:spacing w:after="0"/>
              <w:rPr>
                <w:sz w:val="20"/>
                <w:szCs w:val="20"/>
                <w:color w:val="auto"/>
              </w:rPr>
            </w:pPr>
            <w:r>
              <w:rPr>
                <w:rFonts w:ascii="Arial" w:cs="Arial" w:eastAsia="Arial" w:hAnsi="Arial"/>
                <w:sz w:val="18"/>
                <w:szCs w:val="18"/>
                <w:color w:val="auto"/>
              </w:rPr>
              <w:t>98</w:t>
            </w:r>
          </w:p>
        </w:tc>
        <w:tc>
          <w:tcPr>
            <w:tcW w:w="4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8" w:name="page99"/>
    <w:bookmarkEnd w:id="98"/>
    <w:p>
      <w:pPr>
        <w:ind w:left="10360"/>
        <w:spacing w:after="0"/>
        <w:rPr>
          <w:sz w:val="20"/>
          <w:szCs w:val="20"/>
          <w:color w:val="auto"/>
        </w:rPr>
      </w:pPr>
      <w:r>
        <w:rPr>
          <w:rFonts w:ascii="Arial" w:cs="Arial" w:eastAsia="Arial" w:hAnsi="Arial"/>
          <w:sz w:val="17"/>
          <w:szCs w:val="17"/>
          <w:b w:val="1"/>
          <w:bCs w:val="1"/>
          <w:color w:val="auto"/>
        </w:rPr>
        <w:t>Exhibit 3.1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Beckwith and Michael Campbell certify that:</w:t>
      </w:r>
    </w:p>
    <w:p>
      <w:pPr>
        <w:spacing w:after="0" w:line="225" w:lineRule="exact"/>
        <w:rPr>
          <w:sz w:val="20"/>
          <w:szCs w:val="20"/>
          <w:color w:val="auto"/>
        </w:rPr>
      </w:pPr>
    </w:p>
    <w:p>
      <w:pPr>
        <w:ind w:firstLine="656"/>
        <w:spacing w:after="0" w:line="277"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They are the President and Secretary, respectively, of Five Star Bancorp, a California Corporation (the “corporation”), with California Entity Number C2467216.</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Articles of Incorporation of the corporation are amended and restated to read in full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ONE: 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Five Star Bancorp</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TWO: PURPOSE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General Corporation Law of California other than the banking business, the trust company business or the practice of a profession permitted to be incorporated by the California Corporations Code.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AUTHORIZED CAPITAL STOCK; VOTING</w:t>
      </w:r>
    </w:p>
    <w:p>
      <w:pPr>
        <w:spacing w:after="0" w:line="229" w:lineRule="exact"/>
        <w:rPr>
          <w:sz w:val="20"/>
          <w:szCs w:val="20"/>
          <w:color w:val="auto"/>
        </w:rPr>
      </w:pPr>
    </w:p>
    <w:p>
      <w:pPr>
        <w:ind w:firstLine="656"/>
        <w:spacing w:after="0" w:line="277" w:lineRule="auto"/>
        <w:tabs>
          <w:tab w:leader="none" w:pos="9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corporation is authorized to issue 110,000,000 shares, which shall be divided into two classes as follows: (a) 100,000,000 shares of Common Stock, and (b) 10,000,000 shares of Preferred Stock (hereinafter “Preferred Stock”).</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outstanding share of Common Stock shall entitle the holder thereof to one vote on each matter properly submitted to the shareholders of the corporation for their vote.</w:t>
      </w:r>
    </w:p>
    <w:p>
      <w:pPr>
        <w:spacing w:after="0" w:line="170" w:lineRule="exact"/>
        <w:rPr>
          <w:rFonts w:ascii="Arial" w:cs="Arial" w:eastAsia="Arial" w:hAnsi="Arial"/>
          <w:sz w:val="18"/>
          <w:szCs w:val="18"/>
          <w:color w:val="auto"/>
        </w:rPr>
      </w:pPr>
    </w:p>
    <w:p>
      <w:pPr>
        <w:jc w:val="both"/>
        <w:ind w:firstLine="656"/>
        <w:spacing w:after="0" w:line="296" w:lineRule="auto"/>
        <w:tabs>
          <w:tab w:leader="none" w:pos="8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Preferred Stock may be issued from time to time in one or more series. The Board of Directors is authorized to fix the number of shares of any series of Preferred Stock and to determine the designation of any such series. The Board of Directors is also authorized to determine or alter the rights, preferences, privileges, and restrictions granted to or imposed upon any wholly unissued series of Preferred Stock and, within the limits and restrictions stated in any resolution or resolutions of the Board of Directors originally fixing the number of shares constituting any series, to increase or decrease (but not below the number of shares of such series then outstanding) the number of shares of any such series subsequent to the issue of shares of that series.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FOUR: DIRECTORS</w:t>
      </w:r>
    </w:p>
    <w:p>
      <w:pPr>
        <w:spacing w:after="0" w:line="229"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management of the business and the conduct of the affairs of the corporation shall be vested in its Board of Directors.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each annual meeting of shareholders (an “Annual Meeting”), the directors of the corporation shall be elected annually by shareholders and shall hold office until the next Annual Meeting and until his or her successor shall have been duly elected and qualified, or until such director’s prior death, resignation, retirement, disqualification or other removal. No decrease in the number of directors constituting the Board of Directors shall shorten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b w:val="1"/>
          <w:bCs w:val="1"/>
          <w:color w:val="auto"/>
        </w:rPr>
        <w:t>FIVE: INDEMNIFICATION</w:t>
      </w:r>
    </w:p>
    <w:p>
      <w:pPr>
        <w:spacing w:after="0" w:line="229" w:lineRule="exact"/>
        <w:rPr>
          <w:sz w:val="20"/>
          <w:szCs w:val="20"/>
          <w:color w:val="auto"/>
        </w:rPr>
      </w:pPr>
    </w:p>
    <w:p>
      <w:pPr>
        <w:ind w:left="900" w:hanging="244"/>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liability of the directors of the corporation for monetary damages shall be eliminated to the fullest extent permissible under California law.</w:t>
      </w:r>
    </w:p>
    <w:p>
      <w:pPr>
        <w:spacing w:after="0" w:line="248" w:lineRule="exact"/>
        <w:rPr>
          <w:rFonts w:ascii="Arial" w:cs="Arial" w:eastAsia="Arial" w:hAnsi="Arial"/>
          <w:sz w:val="16"/>
          <w:szCs w:val="16"/>
          <w:color w:val="auto"/>
        </w:rPr>
      </w:pPr>
    </w:p>
    <w:p>
      <w:pPr>
        <w:jc w:val="both"/>
        <w:ind w:firstLine="656"/>
        <w:spacing w:after="0" w:line="296" w:lineRule="auto"/>
        <w:tabs>
          <w:tab w:leader="none" w:pos="9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corporation is authorized to indemnify its agents (as defined from time to time in Section 317 of the California Corporations Code) through bylaw provision, agreements with agents, vote of shareholders or disinterested directors or otherwise, in excess of the indemnification otherwise permitted by Section 317 of the California Corporations Code, subject only to the applicable limits set forth in Section 204 of the California Corporations Code with respect to actions for breach of duty to the corporation and its shareholders. Any amendment, repeal or modification of the provisions of this Article shall not adversely affect any right or protection of an agent of the corporation existing at the time of such amendment, repeal or modification.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SIX: AMENDMENTS, ALTERATIONS, CHANGES, OR REPEALS</w:t>
      </w:r>
    </w:p>
    <w:p>
      <w:pPr>
        <w:spacing w:after="0" w:line="229" w:lineRule="exact"/>
        <w:rPr>
          <w:sz w:val="20"/>
          <w:szCs w:val="20"/>
          <w:color w:val="auto"/>
        </w:rPr>
      </w:pPr>
    </w:p>
    <w:p>
      <w:pPr>
        <w:jc w:val="both"/>
        <w:ind w:firstLine="656"/>
        <w:spacing w:after="0" w:line="263" w:lineRule="auto"/>
        <w:tabs>
          <w:tab w:leader="none" w:pos="9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reserves the right to amend, alter, change or repeal any provision contained in these Amended and Restated Articles of Incorporation, in the manner now or hereafter prescribed by statute, except as provided in the following paragraph of this Article Six, and all rights conferred upon the shareholders herein are granted subject to this reservation.</w:t>
      </w:r>
    </w:p>
    <w:p>
      <w:pPr>
        <w:spacing w:after="0" w:line="183" w:lineRule="exact"/>
        <w:rPr>
          <w:rFonts w:ascii="Arial" w:cs="Arial" w:eastAsia="Arial" w:hAnsi="Arial"/>
          <w:sz w:val="18"/>
          <w:szCs w:val="18"/>
          <w:color w:val="auto"/>
        </w:rPr>
      </w:pPr>
    </w:p>
    <w:p>
      <w:pPr>
        <w:jc w:val="both"/>
        <w:ind w:firstLine="656"/>
        <w:spacing w:after="0" w:line="255" w:lineRule="auto"/>
        <w:tabs>
          <w:tab w:leader="none" w:pos="9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 other provisions of these Amended and Restated Articles of Incorporation or any provision of applicable law which might otherwise permit a lesser vote or no vote, but in addition to any affirmative vote of the holders of any particular class or series of the capital stock of the corporation required by law or by these Amended and Restated Articles of Incorporation, the affirmative vote of (i) two-thirds (2/3) of the directors then in office and (ii) the holders of at least sixty-six and two-thirds percent (66 2/3%) of the then-outstanding shares of capital stock of the corporation entitled to vote generally in the election of directors, voting together as a single class, shall be required to amend, alter, change or repeal Articles Five and Six of these Amended and Restated Articles.</w:t>
      </w:r>
    </w:p>
    <w:p>
      <w:pPr>
        <w:spacing w:after="0" w:line="192" w:lineRule="exact"/>
        <w:rPr>
          <w:sz w:val="20"/>
          <w:szCs w:val="20"/>
          <w:color w:val="auto"/>
        </w:rPr>
      </w:pPr>
    </w:p>
    <w:p>
      <w:pPr>
        <w:ind w:left="840" w:hanging="184"/>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foregoing Amended and Restated Articles of Incorporation have been duly approved by the Board of Directors of this corporation.</w:t>
      </w:r>
    </w:p>
    <w:p>
      <w:pPr>
        <w:spacing w:after="0" w:line="236" w:lineRule="exact"/>
        <w:rPr>
          <w:rFonts w:ascii="Arial" w:cs="Arial" w:eastAsia="Arial" w:hAnsi="Arial"/>
          <w:sz w:val="17"/>
          <w:szCs w:val="17"/>
          <w:color w:val="auto"/>
        </w:rPr>
      </w:pPr>
    </w:p>
    <w:p>
      <w:pPr>
        <w:jc w:val="both"/>
        <w:ind w:firstLine="656"/>
        <w:spacing w:after="0" w:line="257" w:lineRule="auto"/>
        <w:tabs>
          <w:tab w:leader="none" w:pos="8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foregoing Amended and Restated Articles of Incorporation have been duly approved by the vote of the shareholders of this corporation in accordance with Section 902 and 903 of the General Corporation Law of California. The total number of outstanding shares of Common Stock of this corporation is 11,007,003, and there are no outstanding shares of Preferred Stock of this corporation. The number of shares voting in favor of this Amended and Restated Articles of Incorporation equaled or exceeded the vote required, such required vote being a majority of the total number of shares of Common Stock.</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further declare under penalty of perjury under the laws of the State of California that the matters set forth herein are true and correct and of our own knowledge.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ind w:left="1036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on May 7,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u w:val="single" w:color="auto"/>
          <w:color w:val="auto"/>
        </w:rPr>
        <w:t>Section 1.1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Principal Office</w:t>
      </w:r>
      <w:r>
        <w:rPr>
          <w:rFonts w:ascii="Arial" w:cs="Arial" w:eastAsia="Arial" w:hAnsi="Arial"/>
          <w:sz w:val="17"/>
          <w:szCs w:val="17"/>
          <w:b w:val="1"/>
          <w:bCs w:val="1"/>
          <w:color w:val="auto"/>
        </w:rPr>
        <w:t xml:space="preserve">. </w:t>
      </w:r>
      <w:r>
        <w:rPr>
          <w:rFonts w:ascii="Arial" w:cs="Arial" w:eastAsia="Arial" w:hAnsi="Arial"/>
          <w:sz w:val="17"/>
          <w:szCs w:val="17"/>
          <w:color w:val="auto"/>
        </w:rPr>
        <w:t>The principal executive office of the corporation is hereby located at such place as the board of directors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The Board is hereby granted full power and authority to change said principal executive office from one location to another.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1.2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Other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Other business offices may, at any time, be established by the Board at such other places as it deems appropriate.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Shareholders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Place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shareholders may be held at such place within or outside the state of California, or at no place, as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or by means of remote communication. In the absence of any such designation, shareholders’ meetings shall be held at the principal executive office of the corporation.</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u w:val="single" w:color="auto"/>
          <w:color w:val="auto"/>
        </w:rPr>
        <w:t>Section 2.2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 The annual meeting of shareholders shall be held for the election of directors on a date and at a time designated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The date so designated shall be within fifteen months after the last annual meeting. At such meeting, directors shall be elected, and any other proper business within the power of the shareholders may be transacted. The Board may postpone, reschedule or cancel any annual meeting.</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permitted by applicable law, nominations of persons for election to the Board and the proposal of business to be considered by the shareholders may be made at a meeting of shareholders: (i) pursuant to the corporation’s notice of meeting of shareholders (with respect to business other than nominations); (ii) brought specifically by or at the direction of the Board; or (iii) by any shareholder of the corporation who was a shareholder of record at the time of giving the shareholder’s notice provided in the following paragraph, who is entitled to vote at the meeting and who complied with the notice procedures set forth in this Section 2.2. For the avoidance of doubt, clause (iii) above shall be the exclusive means for a shareholder to make nominations and submit other business (other than matters properly included in the corporation’s notice of meeting of shareholders and proxy statement under Rule 14a-8 under the Securities Exchange Act of 1934, as amended, and the rules and regulations thereunder (the “1934 Act”)) before an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firstLine="332"/>
        <w:spacing w:after="0" w:line="277" w:lineRule="auto"/>
        <w:tabs>
          <w:tab w:leader="none" w:pos="5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an annual meeting of the shareholders, only such business shall be conducted as is a proper matter for shareholder action under California law and as shall have been properly brought before the meeting in accordance with the procedures below.</w:t>
      </w:r>
    </w:p>
    <w:p>
      <w:pPr>
        <w:spacing w:after="0" w:line="170" w:lineRule="exact"/>
        <w:rPr>
          <w:rFonts w:ascii="Arial" w:cs="Arial" w:eastAsia="Arial" w:hAnsi="Arial"/>
          <w:sz w:val="18"/>
          <w:szCs w:val="18"/>
          <w:color w:val="auto"/>
        </w:rPr>
      </w:pPr>
    </w:p>
    <w:p>
      <w:pPr>
        <w:jc w:val="both"/>
        <w:ind w:firstLine="656"/>
        <w:spacing w:after="0" w:line="286" w:lineRule="auto"/>
        <w:tabs>
          <w:tab w:leader="none" w:pos="884" w:val="left"/>
        </w:tabs>
        <w:numPr>
          <w:ilvl w:val="1"/>
          <w:numId w:val="33"/>
        </w:numPr>
        <w:rPr>
          <w:rFonts w:ascii="Arial" w:cs="Arial" w:eastAsia="Arial" w:hAnsi="Arial"/>
          <w:sz w:val="16"/>
          <w:szCs w:val="16"/>
          <w:color w:val="auto"/>
        </w:rPr>
      </w:pPr>
      <w:r>
        <w:rPr>
          <w:rFonts w:ascii="Arial" w:cs="Arial" w:eastAsia="Arial" w:hAnsi="Arial"/>
          <w:sz w:val="16"/>
          <w:szCs w:val="16"/>
          <w:color w:val="auto"/>
        </w:rPr>
        <w:t>For nominations for the election to the Board to be properly brought before an annual meeting by a shareholder pursuant to clause (iii) of Section 2.2(a) of these bylaws, the shareholder must deliver written notice to the secretary at the principal executive offices of the corporation on a timely basis as set forth in Section 2.2(b)(iii) and must update and supplement such written notice on a timely basis as set forth in Section 2.2(c). Such shareholder’s notice shall set forth: (A) as to each nominee such shareholder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a statement that such nominee agrees to tender an irrevocable resignation to the secretary, to be effective upon (x) such person’s failure to receive the required vote for re-election in any uncontested election at which such person would face re-election and (y) acceptance of such resignation by the Board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(including such person’s written consent to being named as a nominee and to serving as a director if elected); and (B) the information required by Section 2.2(b)(iv). The corporation may require any proposed nominee to furnish such other information as it may reasonably require to determine the eligibility of such proposed nominee to serve as an independent director of the corporation or that could be material to a reasonable shareholder’s understanding of the independence, or lack thereof, of such proposed nominee.</w:t>
      </w:r>
    </w:p>
    <w:p>
      <w:pPr>
        <w:spacing w:after="0" w:line="170" w:lineRule="exact"/>
        <w:rPr>
          <w:rFonts w:ascii="Arial" w:cs="Arial" w:eastAsia="Arial" w:hAnsi="Arial"/>
          <w:sz w:val="16"/>
          <w:szCs w:val="16"/>
          <w:color w:val="auto"/>
        </w:rPr>
      </w:pPr>
    </w:p>
    <w:p>
      <w:pPr>
        <w:jc w:val="both"/>
        <w:ind w:firstLine="656"/>
        <w:spacing w:after="0" w:line="290" w:lineRule="auto"/>
        <w:tabs>
          <w:tab w:leader="none" w:pos="918" w:val="left"/>
        </w:tabs>
        <w:numPr>
          <w:ilvl w:val="1"/>
          <w:numId w:val="33"/>
        </w:numPr>
        <w:rPr>
          <w:rFonts w:ascii="Arial" w:cs="Arial" w:eastAsia="Arial" w:hAnsi="Arial"/>
          <w:sz w:val="16"/>
          <w:szCs w:val="16"/>
          <w:color w:val="auto"/>
        </w:rPr>
      </w:pPr>
      <w:r>
        <w:rPr>
          <w:rFonts w:ascii="Arial" w:cs="Arial" w:eastAsia="Arial" w:hAnsi="Arial"/>
          <w:sz w:val="16"/>
          <w:szCs w:val="16"/>
          <w:color w:val="auto"/>
        </w:rPr>
        <w:t>Other than proposals sought to be included in the corporation’s proxy materials pursuant to Rule 14a-8 under the 1934 Act, for business other than nominations for the election to the Board of Directors to be properly brought before an annual meeting by a shareholder pursuant to clause (iii) of Section 2.2(a) of these bylaws, the shareholder must deliver written notice to the secretary at the principal executive offices of the corporation on a timely basis as set forth in Section 2.2(b)(iii), and must update and supplement such written notice on a timely basis as set forth in Section 2.2(c). Such shareholder’s notice shall set forth: (A) as to each matter such shareholder proposes to bring before the meeting, a brief description of the business desired to be brought before the meeting, the reasons for conducting such business at the meeting, and any material interest in such business of any Proponent (as defined below) (including any anticipated benefit of such business to any Proponent other than solely as a result of its ownership of the corporation’s capital stock, that is material to any Proponent individually, or to the Proponents in the aggregate); and (B) the information required by Section 2.2(b)(iv).</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2" w:name="page103"/>
    <w:bookmarkEnd w:id="102"/>
    <w:p>
      <w:pPr>
        <w:jc w:val="both"/>
        <w:ind w:firstLine="656"/>
        <w:spacing w:after="0" w:line="290" w:lineRule="auto"/>
        <w:tabs>
          <w:tab w:leader="none" w:pos="968"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be timely, the written notice required by Section 2.2(b)(i) or 2.2(b)(ii) must be received by the secretary at the principal executive offices of the corporation not later than the close of business on the 90th day nor earlier than the close of business on the 120th day prior to the first anniversary of the preceding year’s annual meeting; provided that, subject to the last sentence of this Section 2.2(b)(iii), in the event that the date of the annual meeting is advanced more than 30 days prior to or delayed by more than 30 days after the anniversary of the preceding year’s annual meeting, notice by the shareholder to be timely must be so received (A) not earlier than the close of business on the 120th day prior to such annual meeting and (B) not later than the close of business on the later of the 90th day prior to such annual meeting or the tenth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shareholder’s notice as described above.</w:t>
      </w:r>
    </w:p>
    <w:p>
      <w:pPr>
        <w:spacing w:after="0" w:line="165" w:lineRule="exact"/>
        <w:rPr>
          <w:rFonts w:ascii="Arial" w:cs="Arial" w:eastAsia="Arial" w:hAnsi="Arial"/>
          <w:sz w:val="16"/>
          <w:szCs w:val="16"/>
          <w:color w:val="auto"/>
        </w:rPr>
      </w:pPr>
    </w:p>
    <w:p>
      <w:pPr>
        <w:jc w:val="both"/>
        <w:ind w:firstLine="656"/>
        <w:spacing w:after="0" w:line="286" w:lineRule="auto"/>
        <w:tabs>
          <w:tab w:leader="none" w:pos="9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written notice required by Section 2.2(b)(i) or 2.2(b)(ii) shall also set forth, as of the date of the notice and as to the shareholder giving the notice and the beneficial owner, if any, on whose behalf the nomination or proposal is made (each, a “Proponent” and collectively, the “Proponents”):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2.2(b)(i)) or to propose the business that is specified in the notice (with respect to a notice under Section 2.2(b)(ii)); (E) a representation as to whether the Proponents intend to deliver a proxy statement and form of proxy to holders of a sufficient number of holders of the corporation’s voting shares to elect such nominee or nominees (with respect to a notice under Section 2.2(b)(i)) or to carry such proposal (with respect to a notice under Section 2.2(b)(ii)); (F) to the extent known by any Proponent, the name and address of any other shareholder supporting the proposal on the date of such shareholder’s notice; and (G) a description of all Derivative Transactions (as defined below) by each Proponent during the previous twelve month period, including the date of the transactions and the class, series and number of securities involved in, and the material economic terms of, such Derivative Transactions.</w:t>
      </w:r>
    </w:p>
    <w:p>
      <w:pPr>
        <w:spacing w:after="0" w:line="170" w:lineRule="exact"/>
        <w:rPr>
          <w:rFonts w:ascii="Arial" w:cs="Arial" w:eastAsia="Arial" w:hAnsi="Arial"/>
          <w:sz w:val="16"/>
          <w:szCs w:val="16"/>
          <w:color w:val="auto"/>
        </w:rPr>
      </w:pPr>
    </w:p>
    <w:p>
      <w:pPr>
        <w:jc w:val="both"/>
        <w:ind w:firstLine="332"/>
        <w:spacing w:after="0" w:line="271" w:lineRule="auto"/>
        <w:tabs>
          <w:tab w:leader="none" w:pos="5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shareholder providing written notice required by Section 2.2(b)(i) or 2.2(b)(ii) shall update and supplement such notice in writing, if necessary, so that the information provided or required to be provided in such notice is true and correct in all material respects as of (i) the record date for the meeting and (ii) the date that is five business days prior to the meeting and, in the event of any adjournment or postponement thereof, five business days prior to such adjourned or postponed meeting. In the case of an update and supplement pursuant to clause (i) of this Section 2.2(c), such update and supplement shall be received by the secretary at the principal executive offices of the corporation not later than five business days after the record date for the meeting. In the case of an update and supplement pursuant to clause (ii) of this Section 2.2(c),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3" w:name="page104"/>
    <w:bookmarkEnd w:id="103"/>
    <w:p>
      <w:pPr>
        <w:jc w:val="both"/>
        <w:ind w:firstLine="332"/>
        <w:spacing w:after="0" w:line="25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anything in Section 2.2(b)(iii) to the contrary, in the event that the number of directors of the Board of the corporation is increased and there is no public announcement of the appointment of a director, or, if no appointment was made, of the vacancy, made by the corporation at least ten days before the last day a shareholder may deliver a notice of nomination in accordance with Section 2.2(b)(iii), a shareholder’s notice required by this Section 2.2 and which complies with the requirements in Section 2.2(b)(i), other than the timing requirements in Section 2.2(b)(iii),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94" w:lineRule="exact"/>
        <w:rPr>
          <w:rFonts w:ascii="Arial" w:cs="Arial" w:eastAsia="Arial" w:hAnsi="Arial"/>
          <w:sz w:val="18"/>
          <w:szCs w:val="18"/>
          <w:color w:val="auto"/>
        </w:rPr>
      </w:pPr>
    </w:p>
    <w:p>
      <w:pPr>
        <w:jc w:val="both"/>
        <w:ind w:firstLine="332"/>
        <w:spacing w:after="0" w:line="254" w:lineRule="auto"/>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person shall not be eligible for election as a director unless the person is nominated either in accordance with clause (ii) of Section 2.2(a), or in accordance with clause (iii) of Section 2.2(a).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2.2(b)(iv)(D) and 2.2(b)(iv)(E), to declare that such proposal or nomination shall not be presented for shareholder action at the meeting and shall be disregarded, notwithstanding that proxies in respect of such nominations or such business may have been solicited or received.</w:t>
      </w:r>
    </w:p>
    <w:p>
      <w:pPr>
        <w:spacing w:after="0" w:line="194" w:lineRule="exact"/>
        <w:rPr>
          <w:rFonts w:ascii="Arial" w:cs="Arial" w:eastAsia="Arial" w:hAnsi="Arial"/>
          <w:sz w:val="18"/>
          <w:szCs w:val="18"/>
          <w:color w:val="auto"/>
        </w:rPr>
      </w:pPr>
    </w:p>
    <w:p>
      <w:pPr>
        <w:jc w:val="both"/>
        <w:ind w:firstLine="332"/>
        <w:spacing w:after="0" w:line="275" w:lineRule="auto"/>
        <w:tabs>
          <w:tab w:leader="none" w:pos="563"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2.2, in order to include information with respect to a shareholder proposal in the proxy statement and form of proxy for a shareholders’ meeting, a shareholder must also comply with all applicable requirements of the 1934 Act. Nothing in these bylaws shall be deemed to affect any rights of shareholders to request inclusion of proposals in the corporation’s proxy statement pursuant to Rule 14a-8 under the 1934 Act; provided that any references in these bylaws to the 1934 Act are not intended to and shall not limit the requirements applicable to proposals and/or nominations to be considered pursuant to Section 2.2(a)(iii) of these bylaws.</w:t>
      </w:r>
    </w:p>
    <w:p>
      <w:pPr>
        <w:spacing w:after="0" w:line="176" w:lineRule="exact"/>
        <w:rPr>
          <w:rFonts w:ascii="Arial" w:cs="Arial" w:eastAsia="Arial" w:hAnsi="Arial"/>
          <w:sz w:val="17"/>
          <w:szCs w:val="17"/>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purposes of Section 2.2,</w:t>
      </w:r>
    </w:p>
    <w:p>
      <w:pPr>
        <w:spacing w:after="0" w:line="225" w:lineRule="exact"/>
        <w:rPr>
          <w:rFonts w:ascii="Arial" w:cs="Arial" w:eastAsia="Arial" w:hAnsi="Arial"/>
          <w:sz w:val="18"/>
          <w:szCs w:val="18"/>
          <w:color w:val="auto"/>
        </w:rPr>
      </w:pPr>
    </w:p>
    <w:p>
      <w:pPr>
        <w:ind w:firstLine="656"/>
        <w:spacing w:after="0" w:line="277" w:lineRule="auto"/>
        <w:tabs>
          <w:tab w:leader="none" w:pos="8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“affiliates” and “associates” shall have the meanings set forth in Rule 405 under the Securities Act of 1933, as amended, and Rule 12b-2 under the 1934 Act.</w:t>
      </w:r>
    </w:p>
    <w:p>
      <w:pPr>
        <w:spacing w:after="0" w:line="170" w:lineRule="exact"/>
        <w:rPr>
          <w:rFonts w:ascii="Arial" w:cs="Arial" w:eastAsia="Arial" w:hAnsi="Arial"/>
          <w:sz w:val="18"/>
          <w:szCs w:val="18"/>
          <w:color w:val="auto"/>
        </w:rPr>
      </w:pPr>
    </w:p>
    <w:p>
      <w:pPr>
        <w:ind w:firstLine="656"/>
        <w:spacing w:after="0" w:line="277" w:lineRule="auto"/>
        <w:tabs>
          <w:tab w:leader="none" w:pos="9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“Derivative Transaction” means any agreement, arrangement, interest or understanding entered into by, or on behalf or for the benefit of, any Proponent or any of its affiliates or associates, whether record or beneficial: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4" w:name="page105"/>
    <w:bookmarkEnd w:id="104"/>
    <w:p>
      <w:pPr>
        <w:ind w:left="1600" w:hanging="296"/>
        <w:spacing w:after="0"/>
        <w:tabs>
          <w:tab w:leader="none" w:pos="16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value of which is derived in whole or in part from the value of any class or series of shares or other securities of the corporation,</w:t>
      </w:r>
    </w:p>
    <w:p>
      <w:pPr>
        <w:spacing w:after="0" w:line="248" w:lineRule="exact"/>
        <w:rPr>
          <w:rFonts w:ascii="Arial" w:cs="Arial" w:eastAsia="Arial" w:hAnsi="Arial"/>
          <w:sz w:val="16"/>
          <w:szCs w:val="16"/>
          <w:color w:val="auto"/>
        </w:rPr>
      </w:pPr>
    </w:p>
    <w:p>
      <w:pPr>
        <w:ind w:firstLine="1304"/>
        <w:spacing w:after="0" w:line="277" w:lineRule="auto"/>
        <w:tabs>
          <w:tab w:leader="none" w:pos="16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which otherwise provides any direct or indirect opportunity to gain or share in any gain derived from a change in the value of securities of the corporation,</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of security value or price changes, or</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5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which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64" w:lineRule="exact"/>
        <w:rPr>
          <w:rFonts w:ascii="Arial" w:cs="Arial" w:eastAsia="Arial" w:hAnsi="Arial"/>
          <w:sz w:val="16"/>
          <w:szCs w:val="16"/>
          <w:color w:val="auto"/>
        </w:rPr>
      </w:pPr>
    </w:p>
    <w:p>
      <w:pPr>
        <w:jc w:val="both"/>
        <w:ind w:firstLine="656"/>
        <w:spacing w:after="0" w:line="263" w:lineRule="auto"/>
        <w:tabs>
          <w:tab w:leader="none" w:pos="9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 announcement” shall mean disclosure in a press release reported by the Dow Jones News Service, Associated Press or comparable national news service or in a document publicly filed by the corporation with the United States Securities and Exchange Commission (the “SEC”) pursuant to Section 13, 14 or 15(d) of the 1934 Act.</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u w:val="single" w:color="auto"/>
          <w:color w:val="auto"/>
        </w:rPr>
        <w:t>Section 2.3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shareholders may be called at any time by the Board, the chairperson of the Board, the president, or</w:t>
      </w:r>
      <w:r>
        <w:rPr>
          <w:rFonts w:ascii="Arial" w:cs="Arial" w:eastAsia="Arial" w:hAnsi="Arial"/>
          <w:sz w:val="16"/>
          <w:szCs w:val="16"/>
          <w:b w:val="1"/>
          <w:bCs w:val="1"/>
          <w:color w:val="auto"/>
        </w:rPr>
        <w:t xml:space="preserve"> </w:t>
      </w:r>
      <w:r>
        <w:rPr>
          <w:rFonts w:ascii="Arial" w:cs="Arial" w:eastAsia="Arial" w:hAnsi="Arial"/>
          <w:sz w:val="16"/>
          <w:szCs w:val="16"/>
          <w:color w:val="auto"/>
        </w:rPr>
        <w:t>by the holders of shares entitled to cast not less than ten percent of the votes at such meeting. If a special meeting is called by any person or persons other than the Board, the request shall be in writing, specifying the time and place of such meeting and the general nature of the business proposed to be transacted, and shall be delivered personally or by registered mail to the chairperson of the Board, the president, any vice president or the secretary of the corporation. The officer receiving the request shall cause notice to be promptly given to the shareholders entitled to vote that a meeting will be held at a time requested by the person or persons calling the meeting, not less than 35 nor more than 60 days after receipt of the request. If the notice is not given within 20 days after receipt of the request, the person or persons requesting the meeting may give the notice. Nothing in this paragraph shall be construed as limiting, fixing or affecting the time when a meeting of shareholders called by action of the Board may be held.</w:t>
      </w:r>
    </w:p>
    <w:p>
      <w:pPr>
        <w:spacing w:after="0" w:line="15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u w:val="single" w:color="auto"/>
          <w:color w:val="auto"/>
        </w:rPr>
        <w:t>Section 2.4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Notice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notice, in accordance with Section 2.5, of each annual or special meeting of shareholders shall be given not</w:t>
      </w:r>
      <w:r>
        <w:rPr>
          <w:rFonts w:ascii="Arial" w:cs="Arial" w:eastAsia="Arial" w:hAnsi="Arial"/>
          <w:sz w:val="16"/>
          <w:szCs w:val="16"/>
          <w:b w:val="1"/>
          <w:bCs w:val="1"/>
          <w:color w:val="auto"/>
        </w:rPr>
        <w:t xml:space="preserve"> </w:t>
      </w:r>
      <w:r>
        <w:rPr>
          <w:rFonts w:ascii="Arial" w:cs="Arial" w:eastAsia="Arial" w:hAnsi="Arial"/>
          <w:sz w:val="16"/>
          <w:szCs w:val="16"/>
          <w:color w:val="auto"/>
        </w:rPr>
        <w:t>less than ten nor more than 60 days before the date of the meeting to each shareholder entitled to vote thereat. Such notice shall state the place, date and hour of the meeting and (a) in the case of a special meeting, the general nature of the business to be transacted, and no other business may be transacted, or</w:t>
      </w:r>
    </w:p>
    <w:p>
      <w:pPr>
        <w:spacing w:after="0" w:line="2" w:lineRule="exact"/>
        <w:rPr>
          <w:sz w:val="20"/>
          <w:szCs w:val="20"/>
          <w:color w:val="auto"/>
        </w:rPr>
      </w:pPr>
    </w:p>
    <w:p>
      <w:pPr>
        <w:jc w:val="both"/>
        <w:ind w:firstLine="8"/>
        <w:spacing w:after="0" w:line="302" w:lineRule="auto"/>
        <w:tabs>
          <w:tab w:leader="none" w:pos="2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case of the annual meeting, those matters which the Board, at the time of the mailing of the notice, intends to present for action by the shareholders, but, subject to the provisions of applicable law, any proper matter may be presented at the meeting for such action. The notice of any meeting at which directors are to be elected shall include the names of nominees intended at the time of the notice to be presented by the Board for election.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5" w:name="page106"/>
    <w:bookmarkEnd w:id="105"/>
    <w:p>
      <w:pPr>
        <w:jc w:val="both"/>
        <w:spacing w:after="0" w:line="275" w:lineRule="auto"/>
        <w:rPr>
          <w:sz w:val="20"/>
          <w:szCs w:val="20"/>
          <w:color w:val="auto"/>
        </w:rPr>
      </w:pPr>
      <w:r>
        <w:rPr>
          <w:rFonts w:ascii="Arial" w:cs="Arial" w:eastAsia="Arial" w:hAnsi="Arial"/>
          <w:sz w:val="17"/>
          <w:szCs w:val="17"/>
          <w:color w:val="auto"/>
        </w:rPr>
        <w:t>If action is proposed to be taken at any meeting for approval of (a) a contract or transaction in which a director has a direct or indirect financial interest, pursuant to Section 310 of the California Corporations Code, as amended (the “Code”), (b) an amendment of the articles of incorporation, pursuant to Section 902 of the Code, (c) a reorganization of the corporation, pursuant to Section 1201 of the Code, (d) a voluntary dissolution of the corporation, pursuant to Section 1900 of the Code, or (e) a distribution in dissolution other than in accordance with the rights of outstanding preferred shares, pursuant to Section 2007 of the Code, the notice shall also state the general nature of that proposal.</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u w:val="single" w:color="auto"/>
          <w:color w:val="auto"/>
        </w:rPr>
        <w:t>Section 2.5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Manner of Giving Notice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 shareholders’ meeting shall be given either in writing or by electronic transmission. If mailed, notice is</w:t>
      </w:r>
      <w:r>
        <w:rPr>
          <w:rFonts w:ascii="Arial" w:cs="Arial" w:eastAsia="Arial" w:hAnsi="Arial"/>
          <w:sz w:val="16"/>
          <w:szCs w:val="16"/>
          <w:b w:val="1"/>
          <w:bCs w:val="1"/>
          <w:color w:val="auto"/>
        </w:rPr>
        <w:t xml:space="preserve"> </w:t>
      </w:r>
      <w:r>
        <w:rPr>
          <w:rFonts w:ascii="Arial" w:cs="Arial" w:eastAsia="Arial" w:hAnsi="Arial"/>
          <w:sz w:val="16"/>
          <w:szCs w:val="16"/>
          <w:color w:val="auto"/>
        </w:rPr>
        <w:t>given when deposited in the United States mail, postage prepaid, directed to the shareholder at the shareholder’s address as it appears on the records of the corporation. If sent via electronic transmission, notice is given as of the sending time recorded at the time of transmission. Notice of the time, place, if any, and purpose of any meeting of shareholders (to the extent required) may be waived in writing, signed by the person entitled to notice thereof, or by electronic transmission by such person, either before or after such meeting, and will be waived by any shareholder by his or her attendance thereat in person, by remote communication, if applicable, or by proxy, except when the shareholder attends a meeting for the express purpose of objecting, at the beginning of the meeting, to the transaction of any business because the meeting is not lawfully called or convened. Any shareholder so waiving notice of such meeting shall be bound by the proceedings of any such meeting in all respects as if due notice thereof had been given.</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2.6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A majority of the shares entitled to vote represented in person or by proxy, shall constitute a quorum at any meeting of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present at a duly called or held meeting at which a quorum is present may continue to transact business until adjournment notwithstanding the withdrawal of enough shareholders to leave less than a quorum, if any action taken (other than adjournment) is approved by at least a majority of the shares required to constitute a quorum.</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Adjourned Meeting and Notice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shareholders’ meeting, whether or not a quorum is present, may be adjourned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either by the chairperson of the meeting or by the vote of a majority of the shares represented either in person or by proxy at the meeting. At the adjourned meeting, the corporation may transact any business that might have been transacted at the original meeting.</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any meeting of shareholders, either annual or special, is adjourned to another time or place, notice need not be given of the adjourned meeting if the time and place are announced at the meeting at which the adjournment is taken. However, when any shareholders’ meeting is adjourned for more than 45 days from the date set for the original meeting, or, if after adjournment a new record date is fixed for the adjourned meeting, notice of the adjourned meeting shall be given to each shareholder of record entitled to vote at the meeting.</w:t>
      </w:r>
    </w:p>
    <w:p>
      <w:pPr>
        <w:spacing w:after="0" w:line="1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u w:val="single" w:color="auto"/>
          <w:color w:val="auto"/>
        </w:rPr>
        <w:t>Section 2.8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Voting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entitled to notice of any meeting or to vote at any such meeting shall be only persons in whose name shares stand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 records of the corporation as of the record date determined in accordance with Section 2.9. Every person entitled to vote shall have the right to do so either in person, by remote communication, if applicable, or by an agent or agents authorized by a proxy granted in accordance with Section 2.12. An agent so appointed need not be a shareholder.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Voting of shares of the corporation shall in all cases be subject to the provisions of Sections 700 through 711, inclusive, of the Code.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any matter any shareholder may vote part of the shares in favor of the proposal and refrain from voting the remaining shares or vote them against the proposal, but, if the shareholder fails to specify the number of shares which the shareholder is voting affirmatively, it will be conclusively presumed that the shareholder’s approving vote is with respect to all shares that the shareholder is entitled to vote. If a quorum is present, the affirmative vote of the majority of the shares represented at the meeting and entitled to vote on any matter (which shares voting affirmatively shall also constitute at least a majority of the required quorum) shall be the act of the shareholders, unless the vote of a greater number or voting by classes is required by the Code or by the articles of incorporation. Shareholders are prohibited from cumulating their votes in any election of directors of the corporation. Votes against the director and votes withheld shall have no legal effect.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Record Date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hanging="652"/>
        <w:spacing w:after="0" w:line="288"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Board may fix, in advance, a record date for the determination of the shareholders entitled to notice of any meeting or to vote or entitled to give written consent to corporate action without a meeting. The record date so fixed shall be not more than 60 days nor less than ten days prior to the date of the meeting. When a record date is so fixed, only shareholders of record on that date are entitled to notice of and to vote at the meeting or to give written consent to corporate action without a meeting, as the case may be, notwithstanding any transfer of shares on the books of the corporation after the record date. A record date for a meeting of shareholders shall apply to any adjournment of the meeting unless the Board fixes a new record date for the adjourned meeting. The Board shall fix a new record date if the meeting is adjourned for more than 45 days. If no record date is fixed by the Board, (i) the record date for determining shareholders entitled to notice of or to vote at a meeting of shareholders shall be at the close of business on the business day preceding the day on which notice of the meeting is given or, if notice is waived, the close of business on the business day preceding the day on which the meeting is held, and (ii) the record date for determining shareholders entitled to give consent pursuant to Section 2.11, when no prior action by the Board has been taken, shall be the day on which the first written consent is given.</w:t>
      </w:r>
    </w:p>
    <w:p>
      <w:pPr>
        <w:spacing w:after="0" w:line="168" w:lineRule="exact"/>
        <w:rPr>
          <w:rFonts w:ascii="Arial" w:cs="Arial" w:eastAsia="Arial" w:hAnsi="Arial"/>
          <w:sz w:val="16"/>
          <w:szCs w:val="16"/>
          <w:color w:val="auto"/>
        </w:rPr>
      </w:pPr>
    </w:p>
    <w:p>
      <w:pPr>
        <w:jc w:val="both"/>
        <w:ind w:left="660" w:hanging="652"/>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Board may fix, in advance, a record date for the determination of the shareholders entitled to receive payment of any dividend or other distribution, or allotment of any rights, or to exercise any rights in respect of any other lawful action. The record date so fixed shall be not more than 60 days prior to any such action. When a record date is so fixed, only shareholders of record on that date are entitled to receive the dividend, distribution, or allotment of rights, or to exercise rights, as the case may be, notwithstanding any transfer of shares on the books of the corporation after the record date. If no record date is fixed by the Board, the record date for determining shareholders for any such purpose shall be at the close of business on the day on which the Board adopts the resolution relating thereto, or the 60th day prior to the date of such other action, whichever is later.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7" w:name="page108"/>
    <w:bookmarkEnd w:id="107"/>
    <w:p>
      <w:pPr>
        <w:jc w:val="both"/>
        <w:spacing w:after="0" w:line="269" w:lineRule="auto"/>
        <w:rPr>
          <w:sz w:val="20"/>
          <w:szCs w:val="20"/>
          <w:color w:val="auto"/>
        </w:rPr>
      </w:pPr>
      <w:r>
        <w:rPr>
          <w:rFonts w:ascii="Arial" w:cs="Arial" w:eastAsia="Arial" w:hAnsi="Arial"/>
          <w:sz w:val="17"/>
          <w:szCs w:val="17"/>
          <w:b w:val="1"/>
          <w:bCs w:val="1"/>
          <w:u w:val="single" w:color="auto"/>
          <w:color w:val="auto"/>
        </w:rPr>
        <w:t>Section 2.10</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Consent of Absentees</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transactions of any meeting of shareholders, however called and noticed, and wherever held, are as valid as</w:t>
      </w:r>
      <w:r>
        <w:rPr>
          <w:rFonts w:ascii="Arial" w:cs="Arial" w:eastAsia="Arial" w:hAnsi="Arial"/>
          <w:sz w:val="17"/>
          <w:szCs w:val="17"/>
          <w:b w:val="1"/>
          <w:bCs w:val="1"/>
          <w:color w:val="auto"/>
        </w:rPr>
        <w:t xml:space="preserve"> </w:t>
      </w:r>
      <w:r>
        <w:rPr>
          <w:rFonts w:ascii="Arial" w:cs="Arial" w:eastAsia="Arial" w:hAnsi="Arial"/>
          <w:sz w:val="17"/>
          <w:szCs w:val="17"/>
          <w:color w:val="auto"/>
        </w:rPr>
        <w:t>though had at a meeting duly held after regular call and notice, if a quorum is present either in person or by proxy, and if, either before or after the meeting, each of the persons entitled to vote, who was not present in person or by proxy, signs a written waiver of notice, or a consent to the holding of the meeting or an approval of the minutes thereof. All such waivers, consents or approvals shall be filed with the corporate records or made a part of the minutes of the meeting. Attendance of a person at a meeting shall constitute a waiver of notice of and presence at such meeting, except when the person objects, at the beginning of the meeting, to the transaction of any business because the meeting is not lawfully called or convened and except that attendance at a meeting is not a waiver of any right to object to the consideration of matters required by the Code to be included in the notice but not so included, if such objection is expressly made at the meeting. Neither the business to be transacted at, nor the purpose of, any regular or special meeting of shareholders need be specified in any written waiver of notice, consent to the holding of the meeting or approval of the minutes of the meeting, except that if action is taken or proposed to be taken for approval of any of those matters specified in the second paragraph of Section 2.4, the waiver of notice, consent or approval shall state the general nature of the proposal.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u w:val="single" w:color="auto"/>
          <w:color w:val="auto"/>
        </w:rPr>
        <w:t>Section 2.11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Action by Written Consent Without a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603 of the Code, any action which may be taken at any annual or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shareholders may be taken without a meeting and without prior notice if a consent in writing, setting forth the action so taken, is signed by the holders of the outstanding shares, or their proxies,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provided that (a) unless the consents of all shareholders entitled to vote have been solicited in writing, notice of any shareholder approval without a meeting by less than unanimous consent shall be given, as provided by Section 603(b) of the Code, and (b) in the case of election of directors, such a consent shall be effective only if signed by the holders of all outstanding shares entitled to vote for the election of directors; provided that subject to applicable law, a director may be elected at any time to fill a vacancy on the Board that has not been filled by the directors, by the written consent of the holders of a majority of the outstanding shares entitled to vote for the election of directors. Any written consent may be revoked by a writing received by the secretary of the corporation prior to the time that written consents of the number of shares required to authorize the proposed action have been filed with the secretary.</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u w:val="single" w:color="auto"/>
          <w:color w:val="auto"/>
        </w:rPr>
        <w:t>Section 2.12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Every person entitled to vote shares or execute written consents has the right to do so either in person or by one or more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by a written proxy executed and dated by such shareholder and filed with the secretary of the corporation prior to the convening of any meeting of the shareholders at which any such proxy is to be used or prior to the use of such written consent. A validly executed proxy which does not state that it is irrevocable continues in full force and effect unless: (a) revoked by the person executing it prior to the vote pursuant thereto, by a writing delivered to the corporation stating that the proxy is revoked or by a subsequent proxy executed by the person executing the prior proxy and presented to the meeting, or as to any meeting of shareholders, by attendance at such meeting and voting in person by the person executing the proxy; or (b) written notice of the death or incapacity of the maker of the proxy is received by the corporation before the vote pursuant thereto is counted; provided that no proxy shall be valid after the expiration of 11 months from the date of its execution unless otherwise provided in the proxy.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both"/>
        <w:spacing w:after="0" w:line="298" w:lineRule="auto"/>
        <w:rPr>
          <w:sz w:val="20"/>
          <w:szCs w:val="20"/>
          <w:color w:val="auto"/>
        </w:rPr>
      </w:pPr>
      <w:r>
        <w:rPr>
          <w:rFonts w:ascii="Arial" w:cs="Arial" w:eastAsia="Arial" w:hAnsi="Arial"/>
          <w:sz w:val="16"/>
          <w:szCs w:val="16"/>
          <w:b w:val="1"/>
          <w:bCs w:val="1"/>
          <w:u w:val="single" w:color="auto"/>
          <w:color w:val="auto"/>
        </w:rPr>
        <w:t>Section 2.13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Inspectors of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advance of any meeting of shareholders, the Board may appoint any persons other than nominees for office as</w:t>
      </w:r>
      <w:r>
        <w:rPr>
          <w:rFonts w:ascii="Arial" w:cs="Arial" w:eastAsia="Arial" w:hAnsi="Arial"/>
          <w:sz w:val="16"/>
          <w:szCs w:val="16"/>
          <w:b w:val="1"/>
          <w:bCs w:val="1"/>
          <w:color w:val="auto"/>
        </w:rPr>
        <w:t xml:space="preserve"> </w:t>
      </w:r>
      <w:r>
        <w:rPr>
          <w:rFonts w:ascii="Arial" w:cs="Arial" w:eastAsia="Arial" w:hAnsi="Arial"/>
          <w:sz w:val="16"/>
          <w:szCs w:val="16"/>
          <w:color w:val="auto"/>
        </w:rPr>
        <w:t>inspectors of election to act at such meeting and any adjournment thereof. If no inspectors of election are so appointed, or if any persons so appointed fail to appear or refuse to act, the chairperson of any such meeting may, and on the request of any shareholder or shareholder’s proxy shall, appoint inspectors of election at the meeting. The number of inspectors shall be either one or three. If inspectors are appointed at a meeting on the request of one or more shareholders or proxies, the holders of a majority of shares or their proxies present shall determine whether one or three inspectors are to be appointed.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duties of such inspectors shall be as prescribed by Section 707(b) of the Code and shall include: determining the number of shares outstanding and the voting power of each; determining the shares represented at the meeting; determining the existence of a quorum; determining the authenticity, validity and the effect of proxies; receiving votes, ballots or consents; hearing and determining all challenges and questions in any way arising in connection with the right to vote; counting and tabulating all votes or consents; determining when the polls shall close; determining the result; and doing such acts as may be proper to conduct the election or vote with fairness to all shareholders. If there are three inspectors of election, the decision, act or certificate of a majority is effective in all respects as the decision, act or certificate of all. In the event that any person appointed as an inspector fails to appear or fails or refuses to act, the vacancy may, and on the request of any shareholder or a shareholder’s proxy shall, be filled by appointment by the Board in advance of the meeting, or at the meeting by the chairperson of the Board.</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Section 2.14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Conduct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shall preside at all meetings of the shareholders and shall conduct each such meeting in a businesslike</w:t>
      </w:r>
      <w:r>
        <w:rPr>
          <w:rFonts w:ascii="Arial" w:cs="Arial" w:eastAsia="Arial" w:hAnsi="Arial"/>
          <w:sz w:val="18"/>
          <w:szCs w:val="18"/>
          <w:b w:val="1"/>
          <w:bCs w:val="1"/>
          <w:color w:val="auto"/>
        </w:rPr>
        <w:t xml:space="preserve"> </w:t>
      </w:r>
      <w:r>
        <w:rPr>
          <w:rFonts w:ascii="Arial" w:cs="Arial" w:eastAsia="Arial" w:hAnsi="Arial"/>
          <w:sz w:val="18"/>
          <w:szCs w:val="18"/>
          <w:color w:val="auto"/>
        </w:rPr>
        <w:t>and fair manner, but shall not be obligated to follow any technical, formal or parliamentary rules or principles of procedure. The presiding officer’s rulings on procedural matters shall be conclusive and binding on all shareholders, unless at the time of ruling a request for a vote is made to the shareholders entitled to vote and represented in person or by proxy at the meeting, in which case the decision of a majority of such shares shall be conclusive and binding on all shareholders. Without limiting the generality of the foregoing, the presiding officer shall have all the powers usually vested in the presiding officer of a meeting of shareholders.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Section 3.1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Powers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the Code and any limitations in the articles of incorporation and these bylaws relating to actions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to be approved by the shareholders or by the outstanding shares, the business and affairs of the corporation shall be managed and all corporate powers shall be exercised by or under the direction of the Board. The Board may delegate the management of the day-to-day operations of the business of the corporation to an officer, agent or other person provided that the business and affairs of the corporation shall be managed and all corporate powers shall be exercised under the ultimate direction of the Board. Without prejudice to such general powers, but subject to the same limitations, it is hereby expressly declared that the Board shall have the following powers in addition to the other powers enumerated in these bylaws:</w:t>
      </w:r>
    </w:p>
    <w:p>
      <w:pPr>
        <w:spacing w:after="0" w:line="177" w:lineRule="exact"/>
        <w:rPr>
          <w:sz w:val="20"/>
          <w:szCs w:val="20"/>
          <w:color w:val="auto"/>
        </w:rPr>
      </w:pPr>
    </w:p>
    <w:p>
      <w:pPr>
        <w:ind w:left="660" w:right="20" w:hanging="652"/>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select and remove all the other officers, agents and employees of the corporation, prescribe any qualifications, powers and duties for them that are consistent with law, the articles of incorporation or these bylaws, fix their compensation, and require from them security for faithful service;</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conduct, manage and control the affairs and business of the corporation and to make such rules and regulations therefor not inconsistent with law, the articles of incorporation or these bylaws, as they may deem best;</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adopt, make and use a corporate seal, to prescribe the forms of certificates of stock, and to alter the form of such seal and of such certificates from time to time as in their judgment they may deem best;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authorize the issuance of shares of stock of the corporation from time to time, upon such terms and for such consideration as may be lawful;</w:t>
      </w:r>
    </w:p>
    <w:p>
      <w:pPr>
        <w:spacing w:after="0" w:line="2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borrow money and incur indebtedness for the purposes of the corporation, and to cause to be executed and delivered therefor, in the corporate name, promissory and capital notes, bonds, debentures, deeds of trust, mortgages, pledges, hypothecations or other evidences of debt and securities therefor and any agreements pertaining thereto;</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prescribe the manner in which and the person or persons by whom any or all of the checks, drafts, notes, contracts and other corporate instruments shall be executed;</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appoint and designate, by resolution adopted by a majority of the authorized number of directors, one or more committees, each consisting of two or more directors, including the appointment of alternate members of any committee who may replace any absent member at any meeting of the committee;</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the compensation of directors for their services as such and may provide for the payment or reimbursement of any or all expenses reasonably incurred by them in attending meetings of the Board or of any committee of the Board or in the performance of their other duties as directors;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change the principal executive and principal office for the transaction of the business of the corporation from one location to another as provided in Section 1.1 hereof; to fix and locate from time to time one or more subsidiary offices of the corporation within or outside of the State of California, as provided in Section 1.2 hereof; to designate any place within or outside of the State of California for the holding of any shareholders’ meeting or meetings; and</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generally, to do and perform every act or thing whatever that may pertain to or be authorized by the board of directors of a corporation incorporated under the laws of the State of California.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jc w:val="both"/>
        <w:spacing w:after="0" w:line="255" w:lineRule="auto"/>
        <w:rPr>
          <w:sz w:val="20"/>
          <w:szCs w:val="20"/>
          <w:color w:val="auto"/>
        </w:rPr>
      </w:pPr>
      <w:r>
        <w:rPr>
          <w:rFonts w:ascii="Arial" w:cs="Arial" w:eastAsia="Arial" w:hAnsi="Arial"/>
          <w:sz w:val="18"/>
          <w:szCs w:val="18"/>
          <w:b w:val="1"/>
          <w:bCs w:val="1"/>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Number and Qualification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authorized number of directors of the corporation shall not be less than five nor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fifteen until changed by an amendment of the articles of incorporation or by a bylaw amending this Section 3.2 duly adopted by the vote or written consent of holders of a majority of the outstanding shares entitled to vote. The exact number of directors shall be fixed from time to time, within the range specified in the articles of incorporation or in this Section 3.2 initially by a resolution duly adopted by the Board and thereafter by a bylaw or amendment thereof duly adopted by the Board or the vote of a majority of the shares entitled to vote represented at a duly held meeting of shareholders at which a quorum is present, or by the written consent of the holders of a majority of the outstanding shares entitled to vote; or by approval of the shareholders (as defined in Section 153 of the Code).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3.3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Nominations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Nominations for election of members of the Board may be made by the Board or by any holder of any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class of capital stock of the corporation entitled to vote for the election of directors. Nominations for election of members of the Board may be made at an annual meeting of shareholders in accordance with Section 2.2.</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Section 3.4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Election and Term of Office</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shall be elected at each annual meeting of shareholders, but if any annual meeting is not held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are not elected thereat, the directors may be elected at any special meeting of shareholders held for that purpose. Each director shall hold office until the next annual meeting and until a successor has been elected and qualified. Notwithstanding the rule stated herein that directors shall be elected annually, each director continuing to serve as such at the time of an annual or special meeting of the shareholders shall nevertheless continue as a director until the expiration of the term to which he or she was previously elected by the shareholders, or until his or her earlier prior death, resignation or removal.</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Section 3.5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Vacancies on the Board, except for a vacancy created by the removal of a director, may be filled by a majority of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though less than a quorum, or by a sole remaining director, and each director so elected shall hold office until the next annual meeting and until such director’s successor has been elected and qualified. A vacancy on the Board created by the removal of a director may only be filled by the vote of a majority of the shares entitled to vote represented at a duly held meeting at which a quorum is present, or by the written consent of the holders of all of the outstanding shares.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other than to fill a vacancy created by removal requires the consent of a majority of the outstanding shares entitled to vote.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both"/>
        <w:spacing w:after="0" w:line="286" w:lineRule="auto"/>
        <w:rPr>
          <w:sz w:val="20"/>
          <w:szCs w:val="20"/>
          <w:color w:val="auto"/>
        </w:rPr>
      </w:pPr>
      <w:r>
        <w:rPr>
          <w:rFonts w:ascii="Arial" w:cs="Arial" w:eastAsia="Arial" w:hAnsi="Arial"/>
          <w:sz w:val="17"/>
          <w:szCs w:val="17"/>
          <w:color w:val="auto"/>
        </w:rPr>
        <w:t>Any director may resign effective upon giving written notice to the chairperson of the Board, the president, secretary, or the Board, unless the notice specifies a later time for the effectiveness of such resignation. If the Board accepts the resignation of a director tendered to take effect at a future time, the Board or the shareholders shall have power to elect a successor to take office when the resignation is to become effective.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vacancy or vacancies on the Board shall be deemed to exist in case of the death, resignation or removal of any director, or if the authorized number of directors is increased, or if the shareholders fail, at any annual or special meeting of shareholders at which any director or directors are elected, to elect the full authorized number of directors to be voted for at that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Board may declare vacant the office of a director who has been declared of unsound mind by an order of court or convicted of a felony.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 reduction of the authorized number of directors shall have the effect of removing any director prior to the expiration of the director’s term of office.</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Section 3.6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Place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or special meetings of the Board shall be held at any place within or outside the state of California which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in the notice of meeting or if there is no notice, at the principal executive office of the corporation, or at a place or no place, as designated by resolution of the Board or by the written consent of all members of the Board, or may be held by means of remote communication. Any regular or special meeting is valid wherever held (including by means of remote communication) if held upon written consent of all members of the Board given either before or after the meeting and filed with the secretary of the corporation.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Section 3.7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each annual meeting of shareholders, the Board shall hold a regular meeting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any desired election of officers and the transaction of other business. Notice of this meeting shall not be required.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regular meetings of the Board shall be held from time to time by resolution of the Board or by written consent of all members of the Board. In the absence of such designation, regular meetings shall be held at the principal executive offices of the corporation. Special meetings of the Board may be held either at a place so designated, within the State of California, or at the principal executive office. There shall be no required notice period for any regular meeting of the Board.</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u w:val="single" w:color="auto"/>
          <w:color w:val="auto"/>
        </w:rPr>
        <w:t>Section 3.8</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Board for any purpose or purposes may be called at any time by the chairperson of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Lead Independent Director (as defined below) (if appointed), the president, any vice president, the secretary or by any two directors.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person or persons calling a special meeting of the Board shall, at least 24 hours before the meeting, give notice thereof by any usual means of communication. Such notice may be communicated, without limitation, in person; by telephone, facsimile, or other electronic transmission; by mail or private carrier; or in the manner and to the extent permitted by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meetings may be held without notice by the waiver of notice by the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2" w:name="page113"/>
    <w:bookmarkEnd w:id="112"/>
    <w:p>
      <w:pPr>
        <w:jc w:val="both"/>
        <w:spacing w:after="0" w:line="274" w:lineRule="auto"/>
        <w:rPr>
          <w:sz w:val="20"/>
          <w:szCs w:val="20"/>
          <w:color w:val="auto"/>
        </w:rPr>
      </w:pPr>
      <w:r>
        <w:rPr>
          <w:rFonts w:ascii="Arial" w:cs="Arial" w:eastAsia="Arial" w:hAnsi="Arial"/>
          <w:sz w:val="17"/>
          <w:szCs w:val="17"/>
          <w:b w:val="1"/>
          <w:bCs w:val="1"/>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A majority of the authorized number of directors constitutes a quorum of the Board for the transaction of business, except to adjourn</w:t>
      </w:r>
      <w:r>
        <w:rPr>
          <w:rFonts w:ascii="Arial" w:cs="Arial" w:eastAsia="Arial" w:hAnsi="Arial"/>
          <w:sz w:val="17"/>
          <w:szCs w:val="17"/>
          <w:b w:val="1"/>
          <w:bCs w:val="1"/>
          <w:color w:val="auto"/>
        </w:rPr>
        <w:t xml:space="preserve"> </w:t>
      </w:r>
      <w:r>
        <w:rPr>
          <w:rFonts w:ascii="Arial" w:cs="Arial" w:eastAsia="Arial" w:hAnsi="Arial"/>
          <w:sz w:val="17"/>
          <w:szCs w:val="17"/>
          <w:color w:val="auto"/>
        </w:rPr>
        <w:t>as hereinafter provided. Every act or decision done or made by a majority of the directors present at a meeting duly held at which a quorum is present shall be regarded as the act of the Board, unless a greater number be required by the articles of incorporation and subject to the provisions of Section 310 of the Code (as to approval of contracts or transactions in which a director has a direct or indirect material financial interest) and Section 317(e) of the Code (as to indemnification of directors). A meeting at which a quorum is initially present may continue to transact business notwithstanding the withdrawal of directors, if any action taken is approved by at least a majority of the required quorum for such meeting.</w:t>
      </w:r>
    </w:p>
    <w:p>
      <w:pPr>
        <w:spacing w:after="0" w:line="17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u w:val="single" w:color="auto"/>
          <w:color w:val="auto"/>
        </w:rPr>
        <w:t>Section 3.10</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Participation in Meetings by Remote Communication</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may participate in a meeting through use of a conference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or similar communications equipment or other means of remote communication not prohibited by applicable law, so long as all members participating in such meeting can hear one another. Participation in a meeting pursuant to this Section 3.10 constitutes presence in person at such meeting.</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3.11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Waiver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 meeting need not be given to any director who signs a waiver of notice or a consent to holding the meeting or</w:t>
      </w:r>
      <w:r>
        <w:rPr>
          <w:rFonts w:ascii="Arial" w:cs="Arial" w:eastAsia="Arial" w:hAnsi="Arial"/>
          <w:sz w:val="18"/>
          <w:szCs w:val="18"/>
          <w:b w:val="1"/>
          <w:bCs w:val="1"/>
          <w:color w:val="auto"/>
        </w:rPr>
        <w:t xml:space="preserve"> </w:t>
      </w:r>
      <w:r>
        <w:rPr>
          <w:rFonts w:ascii="Arial" w:cs="Arial" w:eastAsia="Arial" w:hAnsi="Arial"/>
          <w:sz w:val="18"/>
          <w:szCs w:val="18"/>
          <w:color w:val="auto"/>
        </w:rPr>
        <w:t>an approval of the minutes of the meeting, whether before or after the meeting, or who attends the meeting without protesting, before the meeting or at its commencement, the lack of notice to such director. All such waivers, consents or approvals shall be filed with the corporate records or made a part of the minutes of the meeting.</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3.12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Adjournment</w:t>
      </w:r>
      <w:r>
        <w:rPr>
          <w:rFonts w:ascii="Arial" w:cs="Arial" w:eastAsia="Arial" w:hAnsi="Arial"/>
          <w:sz w:val="18"/>
          <w:szCs w:val="18"/>
          <w:b w:val="1"/>
          <w:bCs w:val="1"/>
          <w:color w:val="auto"/>
        </w:rPr>
        <w:t xml:space="preserve">. </w:t>
      </w:r>
      <w:r>
        <w:rPr>
          <w:rFonts w:ascii="Arial" w:cs="Arial" w:eastAsia="Arial" w:hAnsi="Arial"/>
          <w:sz w:val="18"/>
          <w:szCs w:val="18"/>
          <w:color w:val="auto"/>
        </w:rPr>
        <w:t>A majority of the directors present, whether or not a quorum is present, may adjourn any directors’ meeting to another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and/or place. Notice of the time and/or place of holding an adjourned meeting need not be given, unless the meeting is adjourned for more than twenty-four hours, in which case notice of the time and place shall be given before the time of the adjourned meeting to the directors who were not present at the time of the adjournment.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3.13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Action Without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a duly authorized committee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or such duly authorized committee thereof may be taken without a meeting if all members of the Board or such committee shall consent in writing to such action. Such written consent or consents shall be filed with the minutes of the proceedings of the Board or committee, as the case may be. Such action by written consent shall have the same effect as a unanimous vote of the board.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u w:val="single" w:color="auto"/>
          <w:color w:val="auto"/>
        </w:rPr>
        <w:t>Section 3.14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Fees and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members of committees shall be entitled to such compensation, if any, for their services,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for expenses, as may be fixed or determined by the Board. This Section 3.14 shall not be construed to preclude any director from serving the corporation in any other capacity as an officer, agent, employee or otherwise, and receiving compensation for those services.</w:t>
      </w:r>
    </w:p>
    <w:p>
      <w:pPr>
        <w:spacing w:after="0" w:line="15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u w:val="single" w:color="auto"/>
          <w:color w:val="auto"/>
        </w:rPr>
        <w:t>Section 3.15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Rights of Inspection</w:t>
      </w:r>
      <w:r>
        <w:rPr>
          <w:rFonts w:ascii="Arial" w:cs="Arial" w:eastAsia="Arial" w:hAnsi="Arial"/>
          <w:sz w:val="16"/>
          <w:szCs w:val="16"/>
          <w:b w:val="1"/>
          <w:bCs w:val="1"/>
          <w:color w:val="auto"/>
        </w:rPr>
        <w:t xml:space="preserve">. </w:t>
      </w:r>
      <w:r>
        <w:rPr>
          <w:rFonts w:ascii="Arial" w:cs="Arial" w:eastAsia="Arial" w:hAnsi="Arial"/>
          <w:sz w:val="16"/>
          <w:szCs w:val="16"/>
          <w:color w:val="auto"/>
        </w:rPr>
        <w:t>Every director of the corporation shall have the right at any reasonable time to inspect and copy all books, records and</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of the corporation and to inspect the physical properties of the corporation and also of its subsidiary corporations, domestic or foreign. Such inspection by a director may be made in person or by agent or attorney, and the right of inspection includes the right to copy and make extracts.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3.16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Removal of Director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 imposed by applicable law, the Board or any individual director or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removed with or without cause by the affirmative vote of the holders of at least 66 2/3 percent of the then-outstanding shares of capital stock of the corporation entitled to vote generally at an election of directors.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Section 3.17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Chairperson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chairperson of the Board, if appointed and when present, shall preside at all meetings of the Board and exercise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such other powers and duties as may be assigned from time to time by the Board.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3.18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Vice Chairperson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 vice chairperson of the Board, if appointed and when present, shall, in the absence of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 at all meetings of the Board and shareholders and exercise and perform such other powers and duties as may be assigned from time to time by the Board.</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u w:val="single" w:color="auto"/>
          <w:color w:val="auto"/>
        </w:rPr>
        <w:t>Section 3.19</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Lead Independent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Board, or if the chairperson is not an independent director, one of the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be designated by the independent members of the Board as lead independent director annually or until replaced by such members of the Board (“Lead Independent Director”), but such election shall not be required. The Lead Independent Director may be removed as Lead Independent Director by vote of a majority of the independent members of the Board. If appointed, the Lead Independent Director will serve as chairperson of Board meetings in the absence of both the chairperson and the vice chairperson of the Board or otherwise at their request, preside over meetings of the independent directors, and perform such other duties as may be established or delegated by the Board from time to time. For purposes of this Section, “independent” has the meaning set forth in the Nasdaq Stock Market listing rules, unless the corporation’s common stock ceases to be listed on the Nasdaq Stock Market and is listed on another exchange, in which case such exchange’s definition of “independent” shall apply.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u w:val="single" w:color="auto"/>
          <w:color w:val="auto"/>
        </w:rPr>
        <w:t>Section 4.1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officers of the corporation shall be a president, a secretary and a chief financial officer. The corporation may also have,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of the Board, a chairperson of the Board, a vice chairperson of the Board, one or more vice presidents, one or more assistant secretaries, one or more assistant financial officers and such other officers as may be elected or appointed in accordance with the provisions of Section 4.3.</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4.2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Appointment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of the corporation, except such officers as may be appointed in accordance with the provisions of Section 4.3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4.5, shall be chosen by, and shall serve at the pleasure of, the Board, and shall hold their respective offices until their resignation, removal or other disqualification from service, or until their respective successors shall be appointed, subject to the rights, if any, of an officer under any contract of employment.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Subordinate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appoint, or may empower the president to appoint, such other officers as the business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require, each to hold office for such period, have such authority and perform such duties as are provided in these bylaws or as the Board may from time to time determine.</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u w:val="single" w:color="auto"/>
          <w:color w:val="auto"/>
        </w:rPr>
        <w:t>Section 4.4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Removal and Resignation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rights, if any, of an officer under any contract of employment, any officer may be removed, either</w:t>
      </w:r>
      <w:r>
        <w:rPr>
          <w:rFonts w:ascii="Arial" w:cs="Arial" w:eastAsia="Arial" w:hAnsi="Arial"/>
          <w:sz w:val="17"/>
          <w:szCs w:val="17"/>
          <w:b w:val="1"/>
          <w:bCs w:val="1"/>
          <w:color w:val="auto"/>
        </w:rPr>
        <w:t xml:space="preserve"> </w:t>
      </w:r>
      <w:r>
        <w:rPr>
          <w:rFonts w:ascii="Arial" w:cs="Arial" w:eastAsia="Arial" w:hAnsi="Arial"/>
          <w:sz w:val="17"/>
          <w:szCs w:val="17"/>
          <w:color w:val="auto"/>
        </w:rPr>
        <w:t>with or without cause, by the Board at any time, or by any officer upon whom such power of removal may be conferred by the Board.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officer may resign at any time by giving written notice to the Board or to the president, or to the secretary of the corporation without prejudice to the rights, if any, of the corporation under any contract to which the officer is a party. Any such resignation shall take effect at the date of the receipt of such notice by the Board or by the president, or by the secretary of the corporation, or at any later time specified therein; and, unless otherwise specified therein, the acceptance of such resignation shall not be necessary to make it effective.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A vacancy in any office because of death, resignation, removal, disqualification or any other cause shall be filled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in these bylaws for regular appointment to such office.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Section 4.6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such powers, if any, as may be given by the Board to the chairperson of the Board, if there shall be such an officer,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is the general manager and chief executive officer of the corporation and has, subject to the control of the Board, general supervision, direction and control of the business and affairs of the corporation. The president shall preside at all meetings of the shareholders and in the absence of both the chairperson of the Board and the vice chairperson, or if there be none, at all meetings of the Board. The president has the general powers and duties of management usually vested in the office of president and chief executive officer of a corporation and such other powers and duties as may be prescribed by the Board.</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Section 4.7</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absence or disability of the president, the vice presidents in order of their rank as fixed by the Board or, if not ranked,</w:t>
      </w:r>
      <w:r>
        <w:rPr>
          <w:rFonts w:ascii="Arial" w:cs="Arial" w:eastAsia="Arial" w:hAnsi="Arial"/>
          <w:sz w:val="17"/>
          <w:szCs w:val="17"/>
          <w:b w:val="1"/>
          <w:bCs w:val="1"/>
          <w:color w:val="auto"/>
        </w:rPr>
        <w:t xml:space="preserve"> </w:t>
      </w:r>
      <w:r>
        <w:rPr>
          <w:rFonts w:ascii="Arial" w:cs="Arial" w:eastAsia="Arial" w:hAnsi="Arial"/>
          <w:sz w:val="17"/>
          <w:szCs w:val="17"/>
          <w:color w:val="auto"/>
        </w:rPr>
        <w:t>the vice president designated by the Board,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these bylaws, the Board, the president or the chairperson of the Board.</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4.8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keep or cause to be kept, at the principal executive office or such other place as the Board may order, a book of</w:t>
      </w:r>
      <w:r>
        <w:rPr>
          <w:rFonts w:ascii="Arial" w:cs="Arial" w:eastAsia="Arial" w:hAnsi="Arial"/>
          <w:sz w:val="18"/>
          <w:szCs w:val="18"/>
          <w:b w:val="1"/>
          <w:bCs w:val="1"/>
          <w:color w:val="auto"/>
        </w:rPr>
        <w:t xml:space="preserve"> </w:t>
      </w:r>
      <w:r>
        <w:rPr>
          <w:rFonts w:ascii="Arial" w:cs="Arial" w:eastAsia="Arial" w:hAnsi="Arial"/>
          <w:sz w:val="18"/>
          <w:szCs w:val="18"/>
          <w:color w:val="auto"/>
        </w:rPr>
        <w:t>minutes of all meetings of shareholders, the Board and its committees, with the time and place of holding, whether regular or special, and, if special, how authorized, the notice or waivers of notice thereof given, the names of those present at the Board and committee meetings, the number of shares present or represented at shareholders’ meetings, and the proceedings thereof.</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secretary shall keep, or cause to be kept, a copy of these bylaws of the corporation at the principal executive office or business office in accordance with Section 213 of the Code. The secretary shall keep, or cause to be kept, at the principal executive office or at the office of the corporation’s transfer agent or registrar, if one is appointed, a record of its shareholders, or a duplicate record of its shareholders, giving the names and addresses of all shareholders and the number and class of shares held by each.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both"/>
        <w:spacing w:after="0" w:line="263" w:lineRule="auto"/>
        <w:rPr>
          <w:sz w:val="20"/>
          <w:szCs w:val="20"/>
          <w:color w:val="auto"/>
        </w:rPr>
      </w:pPr>
      <w:r>
        <w:rPr>
          <w:rFonts w:ascii="Arial" w:cs="Arial" w:eastAsia="Arial" w:hAnsi="Arial"/>
          <w:sz w:val="18"/>
          <w:szCs w:val="18"/>
          <w:color w:val="auto"/>
        </w:rPr>
        <w:t>The secretary shall give, or cause to be given, notice of all the meetings of the shareholders, of the Board and of any committees thereof required by these bylaws or by law to be given, shall keep the seal of the corporation in safe custody, and shall have such other powers and perform such other duties as may be prescribed by the Board.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4.9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Assistant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assistant secretary or the assistant secretaries, in the order of their seniority, shall,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or in the event of such officer’s refusal to act, perform the duties and exercise the powers of the secretary and shall have such additional powers and discharge such duties as may be assigned from time to time by the president or by the Board.</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Section 4.10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financial officer shall keep and maintain, or cause to be kept and maintained, adequate and correct books</w:t>
      </w:r>
      <w:r>
        <w:rPr>
          <w:rFonts w:ascii="Arial" w:cs="Arial" w:eastAsia="Arial" w:hAnsi="Arial"/>
          <w:sz w:val="18"/>
          <w:szCs w:val="18"/>
          <w:b w:val="1"/>
          <w:bCs w:val="1"/>
          <w:color w:val="auto"/>
        </w:rPr>
        <w:t xml:space="preserve"> </w:t>
      </w:r>
      <w:r>
        <w:rPr>
          <w:rFonts w:ascii="Arial" w:cs="Arial" w:eastAsia="Arial" w:hAnsi="Arial"/>
          <w:sz w:val="18"/>
          <w:szCs w:val="18"/>
          <w:color w:val="auto"/>
        </w:rPr>
        <w:t>and records of the properties and financial and business transactions of the corporation, including accounts of its assets, liabilities, receipts, disbursements, gains, losses, capital, retained earnings and shares, and shall send or cause to be sent to the shareholders of the corporation such financial statements and reports that by law or these bylaws are required to be sent to them. The books of account shall at all times be open to inspection by any director of the corporation.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chief financial officer shall deposit all monies and other valuables in the name and to the credit of the corporation with such depositories as may be designated by the Board. The chief financial officer shall disburse the funds of the corporation as may be ordered by the Board, shall render to the president and directors, whenever they request it, an account of all transactions engaged in as chief financial officer and of the financial condition of the corporation, and shall have such other powers and perform such other duties as may be prescribed by the Board.</w:t>
      </w:r>
    </w:p>
    <w:p>
      <w:pPr>
        <w:spacing w:after="0" w:line="16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u w:val="single" w:color="auto"/>
          <w:color w:val="auto"/>
        </w:rPr>
        <w:t>Section 4.11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Assistant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assistant financial officer or the assistant financial officers, in the order of their seniority, shall,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or disability of the chief financial officer, or in the event of such officer’s refusal to act, perform the duties and exercise the powers of the chief financial officer, and shall have such additional powers and discharge such duties as may be assigned from time to time by the president or by the Board.</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auto"/>
        </w:rPr>
        <w:t>Section 4.12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Salaries</w:t>
      </w:r>
      <w:r>
        <w:rPr>
          <w:rFonts w:ascii="Arial" w:cs="Arial" w:eastAsia="Arial" w:hAnsi="Arial"/>
          <w:sz w:val="18"/>
          <w:szCs w:val="18"/>
          <w:b w:val="1"/>
          <w:bCs w:val="1"/>
          <w:color w:val="auto"/>
        </w:rPr>
        <w:t xml:space="preserve">. </w:t>
      </w:r>
      <w:r>
        <w:rPr>
          <w:rFonts w:ascii="Arial" w:cs="Arial" w:eastAsia="Arial" w:hAnsi="Arial"/>
          <w:sz w:val="18"/>
          <w:szCs w:val="18"/>
          <w:color w:val="auto"/>
        </w:rPr>
        <w:t>The salaries of the officers shall be fixed from time to time by the Board or a duly authorized committee thereof and no officer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prevented from receiving such salary by reason of the fact that such officer is also a director of the corporation.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Section 4.13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Officers Holding More Than One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Any one person may hold any number of offices of the corporation at one time unless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therefrom by law.</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4.14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Inability to Act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absence or inability to act of any officer of the corporation and of any person herein authorized to act in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place, the Board may from time to time delegate the powers or duties of such officer to any other officer, or any director or other person whom it may select.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5.1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Committees of Directors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by resolution adopted by a majority of the authorized number of directors, designate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each consisting of two or more directors, to serve at the pleasure of the Board. The Board may designate one or more directors as alternate members of any committees, who may replace any absent member at any meeting of the committee. Any committee, to the extent provided in the resolution of the Board, shall have all the authority of the Board, except with respect to:</w:t>
      </w:r>
    </w:p>
    <w:p>
      <w:pPr>
        <w:spacing w:after="0" w:line="21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approval of any action which, under the Code, also requires shareholders’ approval or approval of the outstanding shares;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filling of vacancies on the Board or in any committee;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fixing of compensation of the directors for serving on the Board or on any committee;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amendment or repeal of bylaws or the adoption of new bylaws;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amendment or repeal of any resolution of the Board which by its express terms is not so amendable or reparable;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appointment of committees of the Board or the members thereof;</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distribution to the shareholders of the corporation, except at a rate or in a periodic amount or within a price range determined by the Board; or</w:t>
      </w:r>
    </w:p>
    <w:p>
      <w:pPr>
        <w:spacing w:after="0" w:line="275"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appointment of any other committees of the Board or the members of these committees.</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u w:val="single" w:color="auto"/>
          <w:color w:val="auto"/>
        </w:rPr>
        <w:t>Section 5.2</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Meetings and Action of Committees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and action of committees shall be governed by, and held and taken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Article III of these bylaws, with such changes in the context of those bylaws as are necessary to substitute the committee and its members for the Board and its members, except that the time of regular meetings of committees may be determined either by resolution of the Board or by resolution of the committee; special meetings of committees may also be called by resolution of the Board or by resolution of the committee; and notice of special meetings of committees shall also be given to all alternate members, who shall have the right to attend all meetings of the committee. The Board or a committee may adopt rules for the governance of the committee not inconsistent with the provisions of these bylaws.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use in this Article VI, certain terms are defined as follows:</w:t>
      </w:r>
    </w:p>
    <w:p>
      <w:pPr>
        <w:spacing w:after="0" w:line="229" w:lineRule="exact"/>
        <w:rPr>
          <w:sz w:val="20"/>
          <w:szCs w:val="20"/>
          <w:color w:val="auto"/>
        </w:rPr>
      </w:pPr>
    </w:p>
    <w:p>
      <w:pPr>
        <w:jc w:val="both"/>
        <w:ind w:left="660" w:hanging="652"/>
        <w:spacing w:after="0" w:line="273"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“Agent”: A director, officer, employee or agent of the corporation or a person who is or was serving at the request of the corporation as a director, officer, employee or agent of another foreign or domestic corporation, partnership, joint venture, trust, or other enterprise (including service with respect to employee benefit plans and service on creditors’ committees with respect to any proceeding under the United States Bankruptcy Code of 1978, as amended, assignment for the benefit of creditors or other liquidation of assets of a debtor of the corporation), or a person who was a director, officer, employee or agent of a foreign or domestic corporation which was a predecessor corporation of the corporation or of another enterprise at the request of the predecessor corporation.</w:t>
      </w:r>
    </w:p>
    <w:p>
      <w:pPr>
        <w:spacing w:after="0" w:line="177"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“Loss”: All expenses, liabilities, and losses including attorneys’ fees, judgments, fines, Employee Retirement Income Security Act excise taxes and penalties, amounts paid or to be paid in settlement, any interest, assessments, or other charges imposed thereon, and any federal, state, local, or foreign taxes imposed on any Agent as a result of the actual or deemed receipt of any payments under this Article.</w:t>
      </w:r>
    </w:p>
    <w:p>
      <w:pPr>
        <w:spacing w:after="0" w:line="165"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“Proceeding”: Any threatened, pending or completed action, suit or proceeding including any and all appeals, whether civil, criminal, administrative or investigative.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u w:val="single" w:color="auto"/>
          <w:color w:val="auto"/>
        </w:rPr>
        <w:t>Section 6.2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Right to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who is or was a director or officer of the corporation (or was serving at the request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as a director or officer of another foreign or domestic corporation, partnership, joint venture, trust or other enterprise) including any current or former director or officer who was or is a party or is threatened to be made a party to or is involved (as a party, witness or otherwise) in any Proceeding, by reason of the fact that he or she, or a person of whom he or she is the legal representative, is or was an Agent, is entitled to indemnification. In such cases, such person shall be indemnified and held harmless by the corporation to the fullest extent authorized by law. The right to indemnification conferred in this Article VI shall be a contract right. It is the corporation’s intention that these bylaws provide indemnification in excess of that expressly permitted by Section 317 of the Code, as authorized by the corporation’s articles of incorporation.</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Section 6.3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Authority to Advance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indemnification provided in Section 6.2 of these bylaws shall include the right to be paid, in</w:t>
      </w:r>
      <w:r>
        <w:rPr>
          <w:rFonts w:ascii="Arial" w:cs="Arial" w:eastAsia="Arial" w:hAnsi="Arial"/>
          <w:sz w:val="17"/>
          <w:szCs w:val="17"/>
          <w:b w:val="1"/>
          <w:bCs w:val="1"/>
          <w:color w:val="auto"/>
        </w:rPr>
        <w:t xml:space="preserve"> </w:t>
      </w:r>
      <w:r>
        <w:rPr>
          <w:rFonts w:ascii="Arial" w:cs="Arial" w:eastAsia="Arial" w:hAnsi="Arial"/>
          <w:sz w:val="17"/>
          <w:szCs w:val="17"/>
          <w:color w:val="auto"/>
        </w:rPr>
        <w:t>advance of a Proceeding’s final disposition, expenses incurred in defending that Proceeding; provided that if required by the California General Corporation Law, as amended, the payment of expenses in advance of the final disposition of the Proceeding shall be made only upon delivery to the corporation of an undertaking by or on behalf of the person entitled to indemnification hereunder to repay such amount if it shall ultimately be determined that he or she is not entitled to be indemnified by the corporation as authorized under this Article VI or otherwise. The indemnified party’s obligation to reimburse the corporation for advances shall be unsecured and no interest shall be charged thereon.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both"/>
        <w:spacing w:after="0" w:line="253" w:lineRule="auto"/>
        <w:rPr>
          <w:sz w:val="20"/>
          <w:szCs w:val="20"/>
          <w:color w:val="auto"/>
        </w:rPr>
      </w:pPr>
      <w:r>
        <w:rPr>
          <w:rFonts w:ascii="Arial" w:cs="Arial" w:eastAsia="Arial" w:hAnsi="Arial"/>
          <w:sz w:val="18"/>
          <w:szCs w:val="18"/>
          <w:b w:val="1"/>
          <w:bCs w:val="1"/>
          <w:u w:val="single" w:color="auto"/>
          <w:color w:val="auto"/>
        </w:rPr>
        <w:t>Section 6.4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Right of Claimant to Bring Suit</w:t>
      </w:r>
      <w:r>
        <w:rPr>
          <w:rFonts w:ascii="Arial" w:cs="Arial" w:eastAsia="Arial" w:hAnsi="Arial"/>
          <w:sz w:val="18"/>
          <w:szCs w:val="18"/>
          <w:b w:val="1"/>
          <w:bCs w:val="1"/>
          <w:color w:val="auto"/>
        </w:rPr>
        <w:t xml:space="preserve">. </w:t>
      </w:r>
      <w:r>
        <w:rPr>
          <w:rFonts w:ascii="Arial" w:cs="Arial" w:eastAsia="Arial" w:hAnsi="Arial"/>
          <w:sz w:val="18"/>
          <w:szCs w:val="18"/>
          <w:color w:val="auto"/>
        </w:rPr>
        <w:t>If a claim under Section 6.2 or 6.3 of these bylaws is not paid in full by the corporation within 30 days after</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claim has been received by the corporation, the claimant may at any time thereafter bring suit against the corporation to recover the unpaid amount of the claim and, if successful in whole or in part, the claimant shall be entitled to be paid also the expenses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California General Corporation Law for the corporation to indemnify the claimant for the amount claimed. The burden of proving such a defense shall be on the corporation. Neither the failure of the corporation (including its board of directors, independent legal counsel, or its shareholders) to have made a determination prior to the commencement of such action that the indemnification of the claimant is proper under the circumstances because he or she has met the applicable standard of conduct set forth in the California General Corporation Law, nor an actual determination by the corporation (including its board of directors, independent legal counsel, or its shareholders) that the claimant has not met such applicable standard of conduct, shall be a defense to the action or create a presumption that claimant has not already met the applicable standard of conduct.</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Section 6.5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Provisions Nonexclusive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conferred on any person by this Article V shall not be exclusive of any other rights that such person may</w:t>
      </w:r>
      <w:r>
        <w:rPr>
          <w:rFonts w:ascii="Arial" w:cs="Arial" w:eastAsia="Arial" w:hAnsi="Arial"/>
          <w:sz w:val="18"/>
          <w:szCs w:val="18"/>
          <w:b w:val="1"/>
          <w:bCs w:val="1"/>
          <w:color w:val="auto"/>
        </w:rPr>
        <w:t xml:space="preserve"> </w:t>
      </w:r>
      <w:r>
        <w:rPr>
          <w:rFonts w:ascii="Arial" w:cs="Arial" w:eastAsia="Arial" w:hAnsi="Arial"/>
          <w:sz w:val="18"/>
          <w:szCs w:val="18"/>
          <w:color w:val="auto"/>
        </w:rPr>
        <w:t>have or hereafter acquire under any statute, provision of the articles of incorporation, agreement, vote of shareholders or disinterested directors, or otherwise, both as to action in an official capacity and as to action in another capacity while holding such office. To the extent that any provision of the articles of incorporation, agreement, or vote of the shareholders or disinterested directors is inconsistent with these bylaws, the provision, agreement, or vote shall take precedence.</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6.6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Authority to Insure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purchase and maintain insurance to protect itself and any Agent against any Loss asserted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or incurred by such person, whether or not the corporation would have the power to indemnify such Agent against such Loss under applicable law or the provisions of this Article VI. If the corporation owns all or a portion of the shares of the company issuing the insurance policy, the company and/or the policy must meet one of the two sets of conditions set forth in Section 317 of the Code.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auto"/>
        </w:rPr>
        <w:t>Section 6.7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Survival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provided by this Article VI shall continue as to a person who is entitled to be indemnified hereunder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ceased to be an Agent and shall inure to the benefit of the heirs, executors, and administrators of such person.</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u w:val="single" w:color="auto"/>
          <w:color w:val="auto"/>
        </w:rPr>
        <w:t>Section 6.8</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Settlement of Claims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not be liable to indemnify any Agent under this Article VI for (a) any amounts paid in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action or claim effected without the corporation’s written consent, which consent shall not be unreasonably withheld; or (b) any judicial award, if the corporation was not given a reasonable and timely opportunity, at its expense, to participate in the defense of such action.</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Section 6.9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Effect of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 repeal or modification of this Article VI shall not adversely affect any right or protection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Agent existing at the time of such amendment, repeal or modification.</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6.10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Subrogation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payment under this Article VI, the corporation shall be subrogated to the extent of such payment to all of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of an Agent, who shall execute all papers required and shall do everything that may be necessary to secure such rights, including the execution of such documents necessary to enable the corporation effectively to bring suit to enforce such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6.11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 Duplication of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not be liable under this Article VI to make any payment in connection with any claim</w:t>
      </w:r>
      <w:r>
        <w:rPr>
          <w:rFonts w:ascii="Arial" w:cs="Arial" w:eastAsia="Arial" w:hAnsi="Arial"/>
          <w:sz w:val="18"/>
          <w:szCs w:val="18"/>
          <w:b w:val="1"/>
          <w:bCs w:val="1"/>
          <w:color w:val="auto"/>
        </w:rPr>
        <w:t xml:space="preserve"> </w:t>
      </w:r>
      <w:r>
        <w:rPr>
          <w:rFonts w:ascii="Arial" w:cs="Arial" w:eastAsia="Arial" w:hAnsi="Arial"/>
          <w:sz w:val="18"/>
          <w:szCs w:val="18"/>
          <w:color w:val="auto"/>
        </w:rPr>
        <w:t>made against an Agent to the extent such Agent has otherwise actually received payment (under any insurance policy, agreement, vote or otherwise) of the amounts otherwise indemnifiable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Inspection of Corporate Records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shareholder or shareholders of the corporation holding at least five percent in the aggregate of the outstanding voting shares of the corporation or who hold at least one percent of the outstanding voting shares and have filed a Schedule 14B with the SEC relating to the election of directors of the corporation shall have an absolute right to do either or both of the following:</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inspect and copy the record of shareholders’ names and addresses and shareholdings during usual business hours upon five business days’ prior written demand upon the corporation; or</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obtain from the transfer agent, if any, for the corporation, upon written demand and upon the tender of its usual charges for such a list (the amount of which charges shall be stated to the shareholder by the transfer agent upon request), a list of the shareholders’ names and addresses who are entitled to vote for the election of directors and their shareholdings, as of the most recent record date for which it has been compiled, or as of a date specified by the shareholder subsequent to the date of demand. The corporation shall have a responsibility to cause the transfer agent to comply with this Section 7.1.</w:t>
      </w:r>
    </w:p>
    <w:p>
      <w:pPr>
        <w:spacing w:after="0" w:line="18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record of shareholders shall also be open to inspection and copying by any shareholder or holder of a voting trust certificate at any time during usual business hours upon written demand on the corporation, for a purpose reasonably related to such holder’s interest as a shareholder or holder of a voting trust certificate. A written demand for such inspection shall be accompanied by a statement in reasonable detail of the purpose of the inspection.</w:t>
      </w:r>
    </w:p>
    <w:p>
      <w:pPr>
        <w:spacing w:after="0" w:line="186"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accounting books and records and minutes of proceedings of the shareholders and the Board and committees of the Board shall be open to inspection upon written demand on the corporation by any shareholder or holder of a voting trust certificate at any reasonable time during usual business hours, for a purpose reasonably related to such holder’s interest as a shareholder or as a holder of such voting trust certificate. The right of inspection created by this Section 7.1(c) shall extend to the records of each subsidiary of the corporation. A written demand for such inspection shall be accompanied by a statement in reasonable detail of the purpose of the inspection.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both"/>
        <w:spacing w:after="0" w:line="271" w:lineRule="auto"/>
        <w:rPr>
          <w:sz w:val="20"/>
          <w:szCs w:val="20"/>
          <w:color w:val="auto"/>
        </w:rPr>
      </w:pPr>
      <w:r>
        <w:rPr>
          <w:rFonts w:ascii="Arial" w:cs="Arial" w:eastAsia="Arial" w:hAnsi="Arial"/>
          <w:sz w:val="17"/>
          <w:szCs w:val="17"/>
          <w:b w:val="1"/>
          <w:bCs w:val="1"/>
          <w:u w:val="single" w:color="auto"/>
          <w:color w:val="auto"/>
        </w:rPr>
        <w:t>Section 7.2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Execution of Documents,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applicable law, any note, mortgage, evidence of indebtedness,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share certificate, initial transaction statement or written statement, conveyance or other instrument in writing and any assignment or endorsement thereof executed or entered into between the corporation and any other person, when signed by the chairperson of the Board, the president or any vice president and the secretary, any assistant secretary, the chief financial officer or any assistant financial officer of the corporation, or when stamped with a facsimile signature of such appropriate officers in the case of share certificates, shall be valid and binding upon the corporation in the absence of actual knowledge on the part of the other person that the signing officers did not have authority to execute the same. Any such instruments may be signed by any other person or persons and in such manner as from time to time shall be determined by the Board, and unless so authorized by the Board, no officer, agent or employee shall have any power or authority to bind the corporation by any contract or engagement or to pledge its credit or to render it liable for any purpose or amount.</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Section 7.3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Certificates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provided in the articles of incorporation or herein, every holder of shares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have a certificate signed in the name of the corporation by any officer authorized to sign stock certificates, certifying the number of shares and the class or series of shares owned by the shareholder. The signatures on the certificates may be facsimile signatures. If any officer, transfer agent or registrar who has signed a certificate or whose facsimile signature has been placed upon the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provided in this Section 7.3, no new certificate for shares shall be issued in lieu of an old certificate unless the latter is surrendered and canceled at the same time. The Board may, however, in case any certificate for shares is alleged to have been lost, stolen or destroyed, authorize the issuance of a new certificate in lieu thereof, and the corporation may require that the corporation be given a bond or other adequate security sufficient to indemnify it against any claim that may be made against it (including any expense or liability) on account of the alleged loss, theft or destruction of such certificate or the issuance of such new certificate.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due presentment for registration of transfer in the stock transfer book of the corporation, the registered owner shall be treated as the person exclusively entitled to vote, to receive notifications and otherwise to exercise all the rights and powers of an owner, except as expressly provided otherwise by the laws of the state of California.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 other provision of these bylaws and this Section 7.3, the corporation shall be entitled to issue in its discretion uncertificated securities in compliance with California Corporations Code Section 416(b), as amended, subject to the right of a holder of shares of the corporation to request issuance of a certificate in compliance with the provisions of this Section 7.3.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7.4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Representation of Shares of Other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or any other officer or officers authorized by the Board or the president are</w:t>
      </w:r>
      <w:r>
        <w:rPr>
          <w:rFonts w:ascii="Arial" w:cs="Arial" w:eastAsia="Arial" w:hAnsi="Arial"/>
          <w:sz w:val="18"/>
          <w:szCs w:val="18"/>
          <w:b w:val="1"/>
          <w:bCs w:val="1"/>
          <w:color w:val="auto"/>
        </w:rPr>
        <w:t xml:space="preserve"> </w:t>
      </w:r>
      <w:r>
        <w:rPr>
          <w:rFonts w:ascii="Arial" w:cs="Arial" w:eastAsia="Arial" w:hAnsi="Arial"/>
          <w:sz w:val="18"/>
          <w:szCs w:val="18"/>
          <w:color w:val="auto"/>
        </w:rPr>
        <w:t>each authorized to vote, represent and exercise on behalf of the corporation all rights incident to any and all shares or other securities of any other corporation or corporations standing in the name of the corporation. The authority herein granted may be exercised either by any such officer in person or by any other person authorized to do so by proxy or power of attorney duly executed by said officer.</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Section 7.5 Regulations</w:t>
      </w:r>
      <w:r>
        <w:rPr>
          <w:rFonts w:ascii="Arial" w:cs="Arial" w:eastAsia="Arial" w:hAnsi="Arial"/>
          <w:sz w:val="17"/>
          <w:szCs w:val="17"/>
          <w:color w:val="auto"/>
        </w:rPr>
        <w:t>. The board of directors may make such rules and regulations as it may deem expedient, not inconsistent with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concerning the issuance, transfer and registration of certificated or uncertificated shares of stock of the corporation. It may appoint, or authorize any officer or officers to appoint, one or more transfer clerks or one or more transfer agents and one or more registrars, and, in the case of certificated shares of stock, may require all such certificates to bear the signature or signatures of any of them or a facsimile thereof.</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Section 7.6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corporate seal of the corporation shall consist of two concentric circles, between which shall be the name of the corporation,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center shall be inscribed the word “Incorporated” and the date of its incorporation.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Section 7.7</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 xml:space="preserve">. </w:t>
      </w:r>
      <w:r>
        <w:rPr>
          <w:rFonts w:ascii="Arial" w:cs="Arial" w:eastAsia="Arial" w:hAnsi="Arial"/>
          <w:sz w:val="16"/>
          <w:szCs w:val="16"/>
          <w:color w:val="auto"/>
        </w:rPr>
        <w:t>The fiscal year of the corporation shall begin on the first day of January and end on the 31st day of December of each year.</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u w:val="single" w:color="auto"/>
          <w:color w:val="auto"/>
        </w:rPr>
        <w:t>Section 7.8</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Construction and 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context otherwise requires, the general provisions, rules of construction and definitions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Code and the California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Section 7.9</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Bylaw Provisions Contrary to or Inconsistent with Provisions of Law</w:t>
      </w:r>
      <w:r>
        <w:rPr>
          <w:rFonts w:ascii="Arial" w:cs="Arial" w:eastAsia="Arial" w:hAnsi="Arial"/>
          <w:sz w:val="17"/>
          <w:szCs w:val="17"/>
          <w:b w:val="1"/>
          <w:bCs w:val="1"/>
          <w:color w:val="auto"/>
        </w:rPr>
        <w:t xml:space="preserve">. </w:t>
      </w:r>
      <w:r>
        <w:rPr>
          <w:rFonts w:ascii="Arial" w:cs="Arial" w:eastAsia="Arial" w:hAnsi="Arial"/>
          <w:sz w:val="17"/>
          <w:szCs w:val="17"/>
          <w:color w:val="auto"/>
        </w:rPr>
        <w:t>Any article, section, subsection, subdivision, sentence, clause or</w:t>
      </w:r>
      <w:r>
        <w:rPr>
          <w:rFonts w:ascii="Arial" w:cs="Arial" w:eastAsia="Arial" w:hAnsi="Arial"/>
          <w:sz w:val="17"/>
          <w:szCs w:val="17"/>
          <w:b w:val="1"/>
          <w:bCs w:val="1"/>
          <w:color w:val="auto"/>
        </w:rPr>
        <w:t xml:space="preserve"> </w:t>
      </w:r>
      <w:r>
        <w:rPr>
          <w:rFonts w:ascii="Arial" w:cs="Arial" w:eastAsia="Arial" w:hAnsi="Arial"/>
          <w:sz w:val="17"/>
          <w:szCs w:val="17"/>
          <w:color w:val="auto"/>
        </w:rPr>
        <w:t>phrase of these bylaws which, upon being construed in the manner provided in this Section 7.9, shall be contrary to or inconsistent with any applicable provision of the Code or other applicable laws of the state of California or of the United States shall not apply so long as said provisions of law shall remain in effect, but such result shall not affect the validity or applicability of any other portions of these bylaws, it being hereby declared that these bylaws would have been adopted and each article, section, subsection, subdivision, sentence, clause or phrase thereof, irrespective of the fact that any one or more articles, sections, subsections, subdivisions, sentences, clauses or phrases is or are illegal.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Forum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Section 8.1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Exclusive Forum for Certain Litigation</w:t>
      </w:r>
      <w:r>
        <w:rPr>
          <w:rFonts w:ascii="Arial" w:cs="Arial" w:eastAsia="Arial" w:hAnsi="Arial"/>
          <w:sz w:val="16"/>
          <w:szCs w:val="16"/>
          <w:color w:val="auto"/>
        </w:rPr>
        <w:t>. Unless the corporation consents in writing to the selection of an alternative forum,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District Court for the Northern District of California (or, in the event that the United States District Court for the Northern District of California does not have jurisdiction, any other federal or state court of California) shall be the sole and exclusive forum for (a) any derivative action or proceeding brought on behalf of the corporation, (b) any action asserting a claim of breach of any duty owed by any director or officer or other employee of the corporation to the corporation or to the shareholders of the corporation, (c) any action asserting a claim against the corporation or any director or officer or other employee of the corporation arising pursuant to any provision of the Code or the Articles of Incorporation or these bylaws, or (d) any action asserting a claim against the corporation or any director or officer or other employee of the corporation that is governed by the internal affairs doctrine. Unless the corporation consents in writing to the selection of an alternative forum, the federal district courts of the United States of America shall, to the fullest extent permitted by applicable law, be the exclusive forum for the resolution of any complaint asserting a cause of action arising under the federal securities laws of the United States of America, including, in each case, the applicable rules and regulations promulgated thereunder. If any provision of this Article VIII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this Article VIII (including, without limitation, each portion of any sentence of this Article VIII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or holding any interest in share of capital stock of the corporation shall be deemed to have notice of and to have consented to the provisions of this Article VIII.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Section 9.1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Amendment by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New bylaws may be adopted or these bylaws may be amended or repealed by the vote 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a majority of the outstanding shares entitled to vote; provided that if the articles of incorporation of the corporation set forth the number of authorized directors of the corporation, the authorized number of directors may be changed only by an amendment of the articles of incorporation and provided also that a bylaw reducing the fixed number or the minimum number of directors to a number less than five cannot be adopted if the votes cast against adoption at a meeting, or the shares not consenting in the case of action by written consent, are equal to more than 16 2/3 percent of the outstanding shares entitled to vote.</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Section 9.2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Amendment by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rights of the shareholders as provided in Section 9.1, bylaws, other than a bylaw specifying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changing a fixed number of directors or the maximum or minimum number or changing from a fixed to a variable board or vice versa, may be adopted, amended or repealed by the Board.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ind w:left="3240"/>
        <w:spacing w:after="0"/>
        <w:rPr>
          <w:sz w:val="20"/>
          <w:szCs w:val="20"/>
          <w:color w:val="auto"/>
        </w:rPr>
      </w:pPr>
      <w:r>
        <w:rPr>
          <w:rFonts w:ascii="Arial" w:cs="Arial" w:eastAsia="Arial" w:hAnsi="Arial"/>
          <w:sz w:val="18"/>
          <w:szCs w:val="18"/>
          <w:b w:val="1"/>
          <w:bCs w:val="1"/>
          <w:color w:val="auto"/>
        </w:rPr>
        <w:t>PURSUANT TO RULE 13a-14(a)/15d-14(a), AS ADOPTED</w:t>
      </w:r>
    </w:p>
    <w:p>
      <w:pPr>
        <w:ind w:left="258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Beckwith,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17, 2021</w:t>
            </w:r>
          </w:p>
        </w:tc>
        <w:tc>
          <w:tcPr>
            <w:tcW w:w="110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Beckwith</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04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Date</w:t>
            </w:r>
          </w:p>
        </w:tc>
        <w:tc>
          <w:tcPr>
            <w:tcW w:w="3940" w:type="dxa"/>
            <w:vAlign w:val="bottom"/>
          </w:tcPr>
          <w:p>
            <w:pPr>
              <w:spacing w:after="0"/>
              <w:rPr>
                <w:sz w:val="20"/>
                <w:szCs w:val="20"/>
                <w:color w:val="auto"/>
              </w:rPr>
            </w:pPr>
            <w:r>
              <w:rPr>
                <w:rFonts w:ascii="Arial" w:cs="Arial" w:eastAsia="Arial" w:hAnsi="Arial"/>
                <w:sz w:val="18"/>
                <w:szCs w:val="18"/>
                <w:color w:val="auto"/>
              </w:rPr>
              <w:t>James Beckwith</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120" w:type="dxa"/>
            <w:vAlign w:val="bottom"/>
          </w:tcPr>
          <w:p>
            <w:pPr>
              <w:spacing w:after="0"/>
              <w:rPr>
                <w:sz w:val="21"/>
                <w:szCs w:val="21"/>
                <w:color w:val="auto"/>
              </w:rPr>
            </w:pPr>
          </w:p>
        </w:tc>
      </w:tr>
      <w:tr>
        <w:trPr>
          <w:trHeight w:val="479"/>
        </w:trPr>
        <w:tc>
          <w:tcPr>
            <w:tcW w:w="1140" w:type="dxa"/>
            <w:vAlign w:val="bottom"/>
            <w:tcBorders>
              <w:bottom w:val="single" w:sz="8" w:color="DCDCDC"/>
            </w:tcBorders>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4" w:name="page125"/>
    <w:bookmarkEnd w:id="124"/>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CERTIFICATION OF CHIEF FINANCIAL OFFICER</w:t>
      </w:r>
    </w:p>
    <w:p>
      <w:pPr>
        <w:ind w:left="3240"/>
        <w:spacing w:after="0"/>
        <w:rPr>
          <w:sz w:val="20"/>
          <w:szCs w:val="20"/>
          <w:color w:val="auto"/>
        </w:rPr>
      </w:pPr>
      <w:r>
        <w:rPr>
          <w:rFonts w:ascii="Arial" w:cs="Arial" w:eastAsia="Arial" w:hAnsi="Arial"/>
          <w:sz w:val="18"/>
          <w:szCs w:val="18"/>
          <w:b w:val="1"/>
          <w:bCs w:val="1"/>
          <w:color w:val="auto"/>
        </w:rPr>
        <w:t>PURSUANT TO RULE 13a-14(a)/15d-14(a), AS ADOPTED</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Heather Luck,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17, 2021</w:t>
            </w:r>
          </w:p>
        </w:tc>
        <w:tc>
          <w:tcPr>
            <w:tcW w:w="1100" w:type="dxa"/>
            <w:vAlign w:val="bottom"/>
          </w:tcPr>
          <w:p>
            <w:pPr>
              <w:spacing w:after="0"/>
              <w:rPr>
                <w:sz w:val="20"/>
                <w:szCs w:val="20"/>
                <w:color w:val="auto"/>
              </w:rPr>
            </w:pPr>
          </w:p>
        </w:tc>
        <w:tc>
          <w:tcPr>
            <w:tcW w:w="394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Heather Luck</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04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Date</w:t>
            </w:r>
          </w:p>
        </w:tc>
        <w:tc>
          <w:tcPr>
            <w:tcW w:w="3940" w:type="dxa"/>
            <w:vAlign w:val="bottom"/>
          </w:tcPr>
          <w:p>
            <w:pPr>
              <w:spacing w:after="0"/>
              <w:rPr>
                <w:sz w:val="20"/>
                <w:szCs w:val="20"/>
                <w:color w:val="auto"/>
              </w:rPr>
            </w:pPr>
            <w:r>
              <w:rPr>
                <w:rFonts w:ascii="Arial" w:cs="Arial" w:eastAsia="Arial" w:hAnsi="Arial"/>
                <w:sz w:val="18"/>
                <w:szCs w:val="18"/>
                <w:color w:val="auto"/>
              </w:rPr>
              <w:t>Heather Luck</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c>
          <w:tcPr>
            <w:tcW w:w="1120" w:type="dxa"/>
            <w:vAlign w:val="bottom"/>
          </w:tcPr>
          <w:p>
            <w:pPr>
              <w:spacing w:after="0"/>
              <w:rPr>
                <w:sz w:val="21"/>
                <w:szCs w:val="21"/>
                <w:color w:val="auto"/>
              </w:rPr>
            </w:pPr>
          </w:p>
        </w:tc>
      </w:tr>
      <w:tr>
        <w:trPr>
          <w:trHeight w:val="480"/>
        </w:trPr>
        <w:tc>
          <w:tcPr>
            <w:tcW w:w="1140" w:type="dxa"/>
            <w:vAlign w:val="bottom"/>
            <w:tcBorders>
              <w:bottom w:val="single" w:sz="8" w:color="DCDCDC"/>
            </w:tcBorders>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“Registrant”) for the period ended March 31, 2021, as filed with the Securities and Exchange Commission on the date hereof (the “Report”), I, James Beckwith, President &amp; Chief Executive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17, 2021</w:t>
            </w:r>
          </w:p>
        </w:tc>
        <w:tc>
          <w:tcPr>
            <w:tcW w:w="110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Beckwith</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04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Date</w:t>
            </w:r>
          </w:p>
        </w:tc>
        <w:tc>
          <w:tcPr>
            <w:tcW w:w="3940" w:type="dxa"/>
            <w:vAlign w:val="bottom"/>
          </w:tcPr>
          <w:p>
            <w:pPr>
              <w:spacing w:after="0"/>
              <w:rPr>
                <w:sz w:val="20"/>
                <w:szCs w:val="20"/>
                <w:color w:val="auto"/>
              </w:rPr>
            </w:pPr>
            <w:r>
              <w:rPr>
                <w:rFonts w:ascii="Arial" w:cs="Arial" w:eastAsia="Arial" w:hAnsi="Arial"/>
                <w:sz w:val="18"/>
                <w:szCs w:val="18"/>
                <w:color w:val="auto"/>
              </w:rPr>
              <w:t>James Beckwith</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&amp;</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20" w:type="dxa"/>
            <w:vAlign w:val="bottom"/>
          </w:tcPr>
          <w:p>
            <w:pPr>
              <w:spacing w:after="0"/>
              <w:rPr>
                <w:sz w:val="21"/>
                <w:szCs w:val="21"/>
                <w:color w:val="auto"/>
              </w:rPr>
            </w:pPr>
          </w:p>
        </w:tc>
      </w:tr>
      <w:tr>
        <w:trPr>
          <w:trHeight w:val="695"/>
        </w:trPr>
        <w:tc>
          <w:tcPr>
            <w:tcW w:w="1140" w:type="dxa"/>
            <w:vAlign w:val="bottom"/>
            <w:tcBorders>
              <w:bottom w:val="single" w:sz="8" w:color="DCDCDC"/>
            </w:tcBorders>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6" w:name="page127"/>
    <w:bookmarkEnd w:id="126"/>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“Registrant”) for the period ended March 31, 2021, as filed with the Securities and Exchange Commission on the date hereof (the “Report”), I, Heather Luck, Senior Vice President &amp; Chief Financial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17, 2021</w:t>
            </w:r>
          </w:p>
        </w:tc>
        <w:tc>
          <w:tcPr>
            <w:tcW w:w="110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Heather Luck</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04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Date</w:t>
            </w:r>
          </w:p>
        </w:tc>
        <w:tc>
          <w:tcPr>
            <w:tcW w:w="3940" w:type="dxa"/>
            <w:vAlign w:val="bottom"/>
          </w:tcPr>
          <w:p>
            <w:pPr>
              <w:spacing w:after="0"/>
              <w:rPr>
                <w:sz w:val="20"/>
                <w:szCs w:val="20"/>
                <w:color w:val="auto"/>
              </w:rPr>
            </w:pPr>
            <w:r>
              <w:rPr>
                <w:rFonts w:ascii="Arial" w:cs="Arial" w:eastAsia="Arial" w:hAnsi="Arial"/>
                <w:sz w:val="18"/>
                <w:szCs w:val="18"/>
                <w:color w:val="auto"/>
              </w:rPr>
              <w:t>Heather Luck</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21"/>
                <w:szCs w:val="21"/>
                <w:color w:val="auto"/>
              </w:rPr>
            </w:pPr>
          </w:p>
        </w:tc>
      </w:tr>
      <w:tr>
        <w:trPr>
          <w:trHeight w:val="695"/>
        </w:trPr>
        <w:tc>
          <w:tcPr>
            <w:tcW w:w="1140" w:type="dxa"/>
            <w:vAlign w:val="bottom"/>
            <w:tcBorders>
              <w:bottom w:val="single" w:sz="8" w:color="DCDCDC"/>
            </w:tcBorders>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bullet"/>
      <w:start w:val="1"/>
    </w:lvl>
  </w:abstractNum>
  <w:abstractNum w:abstractNumId="6">
    <w:nsid w:val="71F32454"/>
    <w:multiLevelType w:val="hybridMultilevel"/>
    <w:lvl w:ilvl="0">
      <w:lvlJc w:val="left"/>
      <w:lvlText w:val="2"/>
      <w:numFmt w:val="bullet"/>
      <w:start w:val="1"/>
    </w:lvl>
  </w:abstractNum>
  <w:abstractNum w:abstractNumId="7">
    <w:nsid w:val="2CA88611"/>
    <w:multiLevelType w:val="hybridMultilevel"/>
    <w:lvl w:ilvl="0">
      <w:lvlJc w:val="left"/>
      <w:lvlText w:val="3"/>
      <w:numFmt w:val="bullet"/>
      <w:start w:val="1"/>
    </w:lvl>
  </w:abstractNum>
  <w:abstractNum w:abstractNumId="8">
    <w:nsid w:val="836C40E"/>
    <w:multiLevelType w:val="hybridMultilevel"/>
    <w:lvl w:ilvl="0">
      <w:lvlJc w:val="left"/>
      <w:lvlText w:val="1"/>
      <w:numFmt w:val="bullet"/>
      <w:start w:val="1"/>
    </w:lvl>
  </w:abstractNum>
  <w:abstractNum w:abstractNumId="9">
    <w:nsid w:val="2901D82"/>
    <w:multiLevelType w:val="hybridMultilevel"/>
    <w:lvl w:ilvl="0">
      <w:lvlJc w:val="left"/>
      <w:lvlText w:val="2"/>
      <w:numFmt w:val="bullet"/>
      <w:start w:val="1"/>
    </w:lvl>
  </w:abstractNum>
  <w:abstractNum w:abstractNumId="10">
    <w:nsid w:val="3A95F874"/>
    <w:multiLevelType w:val="hybridMultilevel"/>
    <w:lvl w:ilvl="0">
      <w:lvlJc w:val="left"/>
      <w:lvlText w:val="3"/>
      <w:numFmt w:val="bullet"/>
      <w:start w:val="1"/>
    </w:lvl>
  </w:abstractNum>
  <w:abstractNum w:abstractNumId="11">
    <w:nsid w:val="8138641"/>
    <w:multiLevelType w:val="hybridMultilevel"/>
    <w:lvl w:ilvl="0">
      <w:lvlJc w:val="left"/>
      <w:lvlText w:val="4"/>
      <w:numFmt w:val="bullet"/>
      <w:start w:val="1"/>
    </w:lvl>
  </w:abstractNum>
  <w:abstractNum w:abstractNumId="12">
    <w:nsid w:val="1E7FF521"/>
    <w:multiLevelType w:val="hybridMultilevel"/>
    <w:lvl w:ilvl="0">
      <w:lvlJc w:val="left"/>
      <w:lvlText w:val="5"/>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upperLetter"/>
      <w:start w:val="68"/>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upperLetter"/>
      <w:start w:val="68"/>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1)"/>
      <w:numFmt w:val="lowerLetter"/>
      <w:start w:val="3"/>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decimal"/>
      <w:start w:val="3"/>
    </w:lvl>
  </w:abstractNum>
  <w:abstractNum w:abstractNumId="32">
    <w:nsid w:val="580BD78F"/>
    <w:multiLevelType w:val="hybridMultilevel"/>
    <w:lvl w:ilvl="0">
      <w:lvlJc w:val="left"/>
      <w:lvlText w:val="(%1)"/>
      <w:numFmt w:val="lowerLetter"/>
      <w:start w:val="2"/>
    </w:lvl>
    <w:lvl w:ilvl="1">
      <w:lvlJc w:val="left"/>
      <w:lvlText w:val="(%2)"/>
      <w:numFmt w:val="lowerRoman"/>
      <w:start w:val="1"/>
    </w:lvl>
  </w:abstractNum>
  <w:abstractNum w:abstractNumId="33">
    <w:nsid w:val="153EA438"/>
    <w:multiLevelType w:val="hybridMultilevel"/>
    <w:lvl w:ilvl="0">
      <w:lvlJc w:val="left"/>
      <w:lvlText w:val="%1"/>
      <w:numFmt w:val="lowerLetter"/>
      <w:start w:val="1"/>
    </w:lvl>
    <w:lvl w:ilvl="1">
      <w:lvlJc w:val="left"/>
      <w:lvlText w:val="(%2)"/>
      <w:numFmt w:val="lowerRoman"/>
      <w:start w:val="3"/>
    </w:lvl>
  </w:abstractNum>
  <w:abstractNum w:abstractNumId="34">
    <w:nsid w:val="3855585C"/>
    <w:multiLevelType w:val="hybridMultilevel"/>
    <w:lvl w:ilvl="0">
      <w:lvlJc w:val="left"/>
      <w:lvlText w:val="(%1)"/>
      <w:numFmt w:val="lowerLetter"/>
      <w:start w:val="3"/>
    </w:lvl>
    <w:lvl w:ilvl="1">
      <w:lvlJc w:val="left"/>
      <w:lvlText w:val="%2"/>
      <w:numFmt w:val="lowerRoman"/>
      <w:start w:val="1"/>
    </w:lvl>
  </w:abstractNum>
  <w:abstractNum w:abstractNumId="35">
    <w:nsid w:val="70A64E2A"/>
    <w:multiLevelType w:val="hybridMultilevel"/>
    <w:lvl w:ilvl="0">
      <w:lvlJc w:val="left"/>
      <w:lvlText w:val="(%1)"/>
      <w:numFmt w:val="lowerLetter"/>
      <w:start w:val="4"/>
    </w:lvl>
    <w:lvl w:ilvl="1">
      <w:lvlJc w:val="left"/>
      <w:lvlText w:val="(%2)"/>
      <w:numFmt w:val="lowerRoman"/>
      <w:start w:val="1"/>
    </w:lvl>
  </w:abstractNum>
  <w:abstractNum w:abstractNumId="36">
    <w:nsid w:val="6A2342EC"/>
    <w:multiLevelType w:val="hybridMultilevel"/>
    <w:lvl w:ilvl="0">
      <w:lvlJc w:val="left"/>
      <w:lvlText w:val="%1"/>
      <w:numFmt w:val="lowerRoman"/>
      <w:start w:val="1"/>
    </w:lvl>
    <w:lvl w:ilvl="1">
      <w:lvlJc w:val="left"/>
      <w:lvlText w:val="(%2)"/>
      <w:numFmt w:val="upperLetter"/>
      <w:start w:val="1"/>
    </w:lvl>
  </w:abstractNum>
  <w:abstractNum w:abstractNumId="37">
    <w:nsid w:val="2A487CB0"/>
    <w:multiLevelType w:val="hybridMultilevel"/>
    <w:lvl w:ilvl="0">
      <w:lvlJc w:val="left"/>
      <w:lvlText w:val="(%1)"/>
      <w:numFmt w:val="lowerRoman"/>
      <w:start w:val="3"/>
    </w:lvl>
    <w:lvl w:ilvl="1">
      <w:lvlJc w:val="left"/>
      <w:lvlText w:val="%2"/>
      <w:numFmt w:val="upperLetter"/>
      <w:start w:val="1"/>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lvl w:ilvl="1">
      <w:lvlJc w:val="left"/>
      <w:lvlText w:val="(%2)"/>
      <w:numFmt w:val="lowerRoman"/>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08" Type="http://schemas.openxmlformats.org/officeDocument/2006/relationships/hyperlink" Target="http://www.sec.gov/Archives/edgar/data/1275168/000155278121000243/e21250_ex4-1.htm" TargetMode="External"/><Relationship Id="rId109" Type="http://schemas.openxmlformats.org/officeDocument/2006/relationships/hyperlink" Target="http://www.sec.gov/Archives/edgar/data/1275168/000155278121000190/e21201_ex10-1.htm" TargetMode="External"/><Relationship Id="rId110" Type="http://schemas.openxmlformats.org/officeDocument/2006/relationships/hyperlink" Target="http://www.sec.gov/Archives/edgar/data/1275168/000155278121000243/e21250_ex10-4.htm" TargetMode="External"/><Relationship Id="rId111" Type="http://schemas.openxmlformats.org/officeDocument/2006/relationships/hyperlink" Target="https://www.sec.gov/Archives/edgar/data/1275168/000155278121000190/e2120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2021-06-17T16:07:35Z</dcterms:created>
  <dcterms:modified xsi:type="dcterms:W3CDTF">2021-06-17T16:07:35Z</dcterms:modified>
</cp:coreProperties>
</file>