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394335</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31, 2023</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75-3100966</w:t>
            </w:r>
          </w:p>
        </w:tc>
      </w:tr>
      <w:tr>
        <w:trPr>
          <w:trHeight w:val="257"/>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7"/>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0"/>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7"/>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8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5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1"/>
                <w:szCs w:val="21"/>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1"/>
                <w:szCs w:val="21"/>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1"/>
                <w:szCs w:val="21"/>
                <w:color w:val="auto"/>
              </w:rPr>
            </w:pPr>
          </w:p>
        </w:tc>
      </w:tr>
      <w:tr>
        <w:trPr>
          <w:trHeight w:val="256"/>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2"/>
                <w:szCs w:val="22"/>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2"/>
                <w:szCs w:val="22"/>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2"/>
                <w:szCs w:val="22"/>
                <w:color w:val="auto"/>
              </w:rPr>
            </w:pPr>
          </w:p>
        </w:tc>
      </w:tr>
      <w:tr>
        <w:trPr>
          <w:trHeight w:val="25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2023, there were 17,258,737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20" w:type="dxa"/>
            <w:vAlign w:val="bottom"/>
            <w:gridSpan w:val="6"/>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8"/>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6"/>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4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color w:val="auto"/>
                <w:w w:val="99"/>
              </w:rPr>
              <w:t>March 31, 2023</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0"/>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share amounts)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321,383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227,430</w:t>
            </w:r>
          </w:p>
        </w:tc>
        <w:tc>
          <w:tcPr>
            <w:tcW w:w="0" w:type="dxa"/>
            <w:vAlign w:val="bottom"/>
          </w:tcPr>
          <w:p>
            <w:pPr>
              <w:spacing w:after="0"/>
              <w:rPr>
                <w:sz w:val="1"/>
                <w:szCs w:val="1"/>
                <w:color w:val="auto"/>
              </w:rPr>
            </w:pPr>
          </w:p>
        </w:tc>
      </w:tr>
      <w:tr>
        <w:trPr>
          <w:trHeight w:val="207"/>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259,991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in banks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115,988</w:t>
            </w: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(fair value of $3,323 and $3,432 at March 31, 2023 and December 31, 2022,</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2,869,848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2,791,326</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(28,389)</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2,762,937</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stock</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34,077</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3,397,308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3,227,159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836,673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971,246</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2,083,733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1,810,758</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2,920,406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2,782,004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FHLB advances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debt, net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14,481</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2,974,334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March 31, 2023 and</w:t>
            </w:r>
          </w:p>
        </w:tc>
        <w:tc>
          <w:tcPr>
            <w:tcW w:w="240" w:type="dxa"/>
            <w:vAlign w:val="bottom"/>
          </w:tcPr>
          <w:p>
            <w:pPr>
              <w:spacing w:after="0"/>
              <w:rPr>
                <w:sz w:val="14"/>
                <w:szCs w:val="14"/>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2022</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17,258,904 shares issued and outstanding at March 31,</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219,785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219,543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 17,241,926 shares issued and outstanding at December 31, 2022</w:t>
            </w:r>
          </w:p>
        </w:tc>
        <w:tc>
          <w:tcPr>
            <w:tcW w:w="2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260,656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252,825</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3,397,308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3,227,159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2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37,494</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22,112</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other banks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22,871</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advances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Subordinated debt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1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988</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21,883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1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20,933</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 on sale of securities available-for-sale</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non-interest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2,164</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5,675</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26"/>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9,575</w:t>
            </w:r>
          </w:p>
        </w:tc>
      </w:tr>
      <w:tr>
        <w:trPr>
          <w:trHeight w:val="200"/>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13,522</w:t>
            </w:r>
          </w:p>
        </w:tc>
      </w:tr>
      <w:tr>
        <w:trPr>
          <w:trHeight w:val="216"/>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13,161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20"/>
        </w:trPr>
        <w:tc>
          <w:tcPr>
            <w:tcW w:w="8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r>
      <w:tr>
        <w:trPr>
          <w:trHeight w:val="270"/>
        </w:trPr>
        <w:tc>
          <w:tcPr>
            <w:tcW w:w="8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holding gain (loss) on securities available-for-sale during the period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net realized gains included in net income</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r>
      <w:tr>
        <w:trPr>
          <w:trHeight w:val="257"/>
        </w:trPr>
        <w:tc>
          <w:tcPr>
            <w:tcW w:w="8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 and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17,224,848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r>
        <w:trPr>
          <w:trHeight w:val="176"/>
        </w:trPr>
        <w:tc>
          <w:tcPr>
            <w:tcW w:w="3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ASC 842 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under stock award plans,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($0.60 per share)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17,246,199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231,061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252,825</w:t>
            </w:r>
          </w:p>
        </w:tc>
        <w:tc>
          <w:tcPr>
            <w:tcW w:w="0" w:type="dxa"/>
            <w:vAlign w:val="bottom"/>
          </w:tcPr>
          <w:p>
            <w:pPr>
              <w:spacing w:after="0"/>
              <w:rPr>
                <w:sz w:val="1"/>
                <w:szCs w:val="1"/>
                <w:color w:val="auto"/>
              </w:rPr>
            </w:pPr>
          </w:p>
        </w:tc>
      </w:tr>
      <w:tr>
        <w:trPr>
          <w:trHeight w:val="175"/>
        </w:trPr>
        <w:tc>
          <w:tcPr>
            <w:tcW w:w="3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ASC 326 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under stock award plans,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17,258,904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219,785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260,656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4"/>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8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22"/>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13,161</w:t>
            </w:r>
          </w:p>
        </w:tc>
        <w:tc>
          <w:tcPr>
            <w:tcW w:w="8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9,862</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(21,173)</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sale of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11,705</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gain on sale of securities available-for-sale</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8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3,486</w:t>
            </w: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sale of securities available-for-sale</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w:t>
            </w: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securities available-for-sale</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(69,450)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(134,951)</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22"/>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(68,559)</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(133,513)</w:t>
            </w:r>
          </w:p>
        </w:tc>
      </w:tr>
      <w:tr>
        <w:trPr>
          <w:trHeight w:val="20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138,402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217,202</w:t>
            </w: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advances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(7,540)</w:t>
            </w:r>
          </w:p>
        </w:tc>
      </w:tr>
      <w:tr>
        <w:trPr>
          <w:trHeight w:val="221"/>
        </w:trPr>
        <w:tc>
          <w:tcPr>
            <w:tcW w:w="8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155,813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209,662</w:t>
            </w: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79,635</w:t>
            </w:r>
          </w:p>
        </w:tc>
      </w:tr>
      <w:tr>
        <w:trPr>
          <w:trHeight w:val="22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259,991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425,329</w:t>
            </w:r>
          </w:p>
        </w:tc>
      </w:tr>
      <w:tr>
        <w:trPr>
          <w:trHeight w:val="25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347,939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504,964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r>
      <w:tr>
        <w:trPr>
          <w:trHeight w:val="23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10,671</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gain (loss) on securities</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(9,438)</w:t>
            </w: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recorded in conjunction with adoption of ASC 842</w:t>
            </w:r>
          </w:p>
        </w:tc>
        <w:tc>
          <w:tcPr>
            <w:tcW w:w="5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5,221</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exchanged for ROUAs</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ROUA recorded in conjunction with adoption of ASC 842</w:t>
            </w:r>
          </w:p>
        </w:tc>
        <w:tc>
          <w:tcPr>
            <w:tcW w:w="5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ROUA acquired</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Cumulative effect of adoption of ASC 842 on retained earnings</w:t>
            </w:r>
          </w:p>
        </w:tc>
        <w:tc>
          <w:tcPr>
            <w:tcW w:w="5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Cumulative effect of adoption of ASC 326 on retained earnings</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927"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one loan production office in Sacramento.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2022, and the notes thereto, included in the Company’s Annual Report on Form 10-K for the year ended December 31, 2022 (the “2022 Annual Report on Form 10-K”), which was filed with the SEC on February 24, 2023.</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Five Star Bancorp and its wholly owned subsidiary, Five Star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2023 are not necessarily indicative of the results of operations that may be expected for any other interim period or for the year ending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 The Company will remain an Emerging Growth Company for five years after its IPO date, unless one of the following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occurs: (i) total annual gross revenues are $1.235 billion or more; (ii) the Company issues more than $1 billion in non-convertible debt; or (iii) the Company becomes a large accelerated filer with a public float of more than $0.7 billion.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included in Note 1, Basis of Presentation on the 2022 Annual Report on Form 10-K. There have been no changes to these significant accounting policies during the first three months of 2023 other than adoption of ASU No.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(Topic 326): Measurement of Credit Losses on Financial Instruments </w:t>
      </w:r>
      <w:r>
        <w:rPr>
          <w:rFonts w:ascii="Times New Roman" w:cs="Times New Roman" w:eastAsia="Times New Roman" w:hAnsi="Times New Roman"/>
          <w:sz w:val="18"/>
          <w:szCs w:val="18"/>
          <w:color w:val="auto"/>
        </w:rPr>
        <w:t>and all subsequent amendments that modified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“ASC 326”) as discussed below in this Note, which impacted the following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(“ACL”)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determined pools based primarily on regulatory reporting codes as the loans within each pool share similar risk characteristics and there is sufficient historical peer loss data from the Federal Financial Institutions Examination Council to provide statistically meaningful support in the models developed. The Company further stratified the C&amp;I portfolio into traditional C&amp;I loans and SBA loans, as the loans in these pools have different repayment structures and credit risk characteristics. The Company also stratified C&amp;I loans and consumer loans that do not require reserves as the Company has third party agreements in place to cover loan losses. The Company has identified the following pools subject to an estimate of credit loss: (1) 1-4 Family Construction; (2) Other Construction; (3) Farmland; (4) Revolving Secured by 1-4 Family; (5) Residential Secured by First Liens; (6) Residential Secured by Junior Liens; (7) Multifamily; (8) CRE Owner Occupied; (9) CRE Non-Owner Occupied; (10) Agriculture; (11) C&amp;I; (12) C&amp;I SBA; (13) Consumer; and (14) Municipal.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given its limited loss experience, that peer data and other external data to support loss history provides the best basis for its assessment of expected credit losses. The Company believes that the use of peer loss data from 2008 to 2019 presents loss histories that appropriately reflect a full economic cycle, reflects asset-specific risk characteristics at each pool level identified, and includes a historical look-back period that is objective and reflective of future expected credit losses. Loss data from 2020 to 2021 was excluded from the data set to exclude pandemic-related data in the models.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 for determining the estimate of lifetime credit losses includes, among other things, the following main components: (1) the use of Probability of Default (“PD”) and Loss Given Default (“LGD”) assumptions under a Discounted Cash Flow model; (2) a multi-scenario macroeconomic forecast; (3) an initial and reasonable and supportable forecast period of one year for all loan segments; and (4) a reversion period of one year using a linear transition method to historical loss rates.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Given the inherent limitations of a quantitative-only model, qualitative adjustments are included to factor in data points not captured from a quantitative analysis alone.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criteria that can be considered includes, among other things, the following:</w:t>
      </w:r>
    </w:p>
    <w:p>
      <w:pPr>
        <w:spacing w:after="0" w:line="7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 the existence and effect of any concentrations of credit, and changes in the level of such concentrations;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 changes in the nature and volume of the portfolio and in the terms of the loans;</w:t>
      </w:r>
    </w:p>
    <w:p>
      <w:pPr>
        <w:spacing w:after="0" w:line="7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 changes in international, national, regional, and local economic and business conditions and developments that affect the collectibility of the portfolio, including the condition of various market segments;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Policy – changes in lending policies and procedures, including changes in underwriting standards and collection, charge-off, and recovery practices not considered elsewhere in estimating credit losses;</w:t>
      </w:r>
    </w:p>
    <w:p>
      <w:pPr>
        <w:spacing w:after="0" w:line="26" w:lineRule="exact"/>
        <w:rPr>
          <w:rFonts w:ascii="Times New Roman" w:cs="Times New Roman" w:eastAsia="Times New Roman" w:hAnsi="Times New Roman"/>
          <w:sz w:val="18"/>
          <w:szCs w:val="18"/>
          <w:i w:val="1"/>
          <w:iCs w:val="1"/>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 changes in the volume and severity of past due loans, the volume of non-accrual loans, and the volume and severity of adversely classified or graded loans;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External – the effect of other external factors, such as competition and legal and regulatory requirements on the level of estimated credit losses in the Company’s loan portfolio.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Interest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Accrued interest receivable is excluded from amortized cost of all financial instrument types and included in “Interest receivable and other assets” in the unaudited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Individually Assessed Loans</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If an individual loan’s characteristics have deteriorated to below a range of the overall pool, the loan would be individually assessed. Individually assessed loans are measured for credit loss based on one of the following methods: (1) present value of future expected cash flows, discounted at the loan’s effective interest rate; (2) amount by which carrying value of the loan exceeds the loan’s observable market price; or (3)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(“AFS”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Debt Securities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Unrealized credit losses are recognized through an allowance for credit losses instead of an adjustment to amortized cost basis, eliminating the other-than-temporary impairment concept. For AFS debt securities in an unrealized loss 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AFS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AFS debt security are recognized in other comprehensive income, net of applicable taxes. Changes in the allowance for credit losses, if any, are recognized as a provision for (or reversal of) credit losses. As of March 31, 2023, the Company’s portfolio of AFS debt securities is comprised primarily of debt, mortgage-backed securities, and collateralized mortgage obligations issued by the U.S. government, its agencies, or government-sponsored enterprises, which are either explicitly or implicitly guaranteed by the U.S. government. The remainder of the portfolio is primarily comprised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of state and political subdivisions, which are generally rated as high grade. The history of minimal credit losses from these issuers indicates that expectation of non-payment of the amortized cost basis is zero. As such, the Company determined that the unrealized loss positions in AFS securities were not due to credit losses, but instead related to changes in interest rates and general market conditions and therefore, no credit loss expense was 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commitments not unconditionally cancellable are subject to an estimate of credit loss under the CECL model. The Company’s process for determining the estimate of credit loss on loan commitments is the same as it is on loans. Unfunded loan commitment reserves are included in “Interest payable and other liabilities” in the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Debt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process for determining the estimate of credit loss on held-to-maturity debt securities is substantially similar to what it is on loans, with segmenting not being applicable. As the amount of held-to-maturity debt securities that the Company carries is limited and given the determination that expected credit loss was immaterial, an immaterial amount was recognized in allowance for credit loss upon adoption and no credit loss expense was recorded for the three months ended March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TDRs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adoption of ASC 326, which includes ASU No. 2022-02, </w:t>
      </w:r>
      <w:r>
        <w:rPr>
          <w:rFonts w:ascii="Times New Roman" w:cs="Times New Roman" w:eastAsia="Times New Roman" w:hAnsi="Times New Roman"/>
          <w:sz w:val="18"/>
          <w:szCs w:val="18"/>
          <w:i w:val="1"/>
          <w:iCs w:val="1"/>
          <w:color w:val="auto"/>
        </w:rPr>
        <w:t>Financial Instruments-Credit Losses (Topic 326): Troubled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Restructurings and Vintage Disclosures</w:t>
      </w:r>
      <w:r>
        <w:rPr>
          <w:rFonts w:ascii="Times New Roman" w:cs="Times New Roman" w:eastAsia="Times New Roman" w:hAnsi="Times New Roman"/>
          <w:sz w:val="18"/>
          <w:szCs w:val="18"/>
          <w:color w:val="auto"/>
        </w:rPr>
        <w:t>, accounting guidance for TDRs for creditors has been eliminated. New guidance with respect to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and disclosures of loans for borrowers experiencing financial difficulties supersedes guidance on TDRs. As of March 31, 2023, the amount of loans modified for borrowers due to experiencing financial difficulties under criteria of principal forgiveness, interest rate reduction, other-than-insignificant payment delay, or term extension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January 1, 2023, the Company adopted ASC 326, which replaces the current “incurred loss” model for recognizing credit losses with an “expected loss” model referred to as the Current Expected Credit Loss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is effective for financial assets measured at amortized cost. For certain new disclosures required under ASC 326, such as credit quality indicators by year of origination, we have not restated comparative financial information before January 1, 2023 to conform under ASC 326. This adoption method is considered a change in accounting principle requiring additional disclosure of the nature and reason for the change, which is solely due to adoption of ASC 326. On January 1, 2023, the Company also adopted ASU No. 2022-02, </w:t>
      </w:r>
      <w:r>
        <w:rPr>
          <w:rFonts w:ascii="Times New Roman" w:cs="Times New Roman" w:eastAsia="Times New Roman" w:hAnsi="Times New Roman"/>
          <w:sz w:val="18"/>
          <w:szCs w:val="18"/>
          <w:i w:val="1"/>
          <w:iCs w:val="1"/>
          <w:color w:val="auto"/>
        </w:rPr>
        <w:t xml:space="preserve">Financial Instruments-Credit Losses (Topic 326): Troubled Debt Restructurings and Vintage Disclosures, </w:t>
      </w:r>
      <w:r>
        <w:rPr>
          <w:rFonts w:ascii="Times New Roman" w:cs="Times New Roman" w:eastAsia="Times New Roman" w:hAnsi="Times New Roman"/>
          <w:sz w:val="18"/>
          <w:szCs w:val="18"/>
          <w:color w:val="auto"/>
        </w:rPr>
        <w:t>which had no material impact.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table that follows reflects the cumulative-effect adjustments the Company recorded on January 1, 2023 for the adoption of ASC 326: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January 1, 2023</w:t>
            </w: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4"/>
                <w:szCs w:val="14"/>
                <w:color w:val="auto"/>
              </w:rPr>
            </w:pPr>
          </w:p>
        </w:tc>
        <w:tc>
          <w:tcPr>
            <w:tcW w:w="2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Pre-ASC 326 Adoption</w:t>
            </w:r>
          </w:p>
        </w:tc>
        <w:tc>
          <w:tcPr>
            <w:tcW w:w="260" w:type="dxa"/>
            <w:vAlign w:val="bottom"/>
          </w:tcPr>
          <w:p>
            <w:pPr>
              <w:spacing w:after="0"/>
              <w:rPr>
                <w:sz w:val="14"/>
                <w:szCs w:val="14"/>
                <w:color w:val="auto"/>
              </w:rPr>
            </w:pPr>
          </w:p>
        </w:tc>
        <w:tc>
          <w:tcPr>
            <w:tcW w:w="208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Impact of ASC 326</w:t>
            </w:r>
          </w:p>
        </w:tc>
        <w:tc>
          <w:tcPr>
            <w:tcW w:w="160" w:type="dxa"/>
            <w:vAlign w:val="bottom"/>
          </w:tcPr>
          <w:p>
            <w:pPr>
              <w:spacing w:after="0"/>
              <w:rPr>
                <w:sz w:val="14"/>
                <w:szCs w:val="14"/>
                <w:color w:val="auto"/>
              </w:rPr>
            </w:pPr>
          </w:p>
        </w:tc>
        <w:tc>
          <w:tcPr>
            <w:tcW w:w="20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Post-ASC 326 Adoption</w:t>
            </w: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(5,282)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(Interest receivable and other assets)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Reserve for Unfunded Commitments (Interest payable</w:t>
            </w: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other liabilities)</w:t>
            </w:r>
          </w:p>
        </w:tc>
        <w:tc>
          <w:tcPr>
            <w:tcW w:w="1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(1,092)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beginning January 1, 2023, there have been no new accounting standards issued but not yet adopted that are expected to be material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summarizes the Company’s assets and liabilities that were required to be recorded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115,988</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115,988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March 31, 2023 and December 31, 2022, there were no Level 1 available-for-sale securities and no transfers between Level 1 and Level 2 classifications for assets or liabilities measured at fair value on a recurring basis.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March 31, 2023 and December 31, 2022, the amount carried of assets measured at fair value on a non-recurring basis was immaterial to the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is a summary of fair value estimates for financial instruments as of March 31, 2023 and December 31, 2022.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2022</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4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Value</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347,939</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259,991</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in banks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176"/>
        </w:trPr>
        <w:tc>
          <w:tcPr>
            <w:tcW w:w="41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2,657,245</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2,762,937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2,570,176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FHLB stock and other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2,715,580</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2,782,004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2,562,600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FHLB advances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4"/>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72,326</w:t>
            </w:r>
          </w:p>
        </w:tc>
        <w:tc>
          <w:tcPr>
            <w:tcW w:w="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to estimate the fair value of its financial instruments at March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investment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For loans held for sale, the fair value is based on what secondary markets are currently offering for portfolios with similar characteristics.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receivable and payable</w:t>
      </w:r>
      <w:r>
        <w:rPr>
          <w:rFonts w:ascii="Times New Roman" w:cs="Times New Roman" w:eastAsia="Times New Roman" w:hAnsi="Times New Roman"/>
          <w:sz w:val="18"/>
          <w:szCs w:val="18"/>
          <w:color w:val="auto"/>
        </w:rPr>
        <w:t>: For interest receivable and payable, the carrying amount is estimated to be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 interest rate swap</w:t>
      </w:r>
      <w:r>
        <w:rPr>
          <w:rFonts w:ascii="Times New Roman" w:cs="Times New Roman" w:eastAsia="Times New Roman" w:hAnsi="Times New Roman"/>
          <w:sz w:val="18"/>
          <w:szCs w:val="18"/>
          <w:color w:val="auto"/>
        </w:rPr>
        <w:t>: See above for a discussion of the methods and assumptions used by the Company to estimate the fair value of derivatives.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The fair values for demand deposits are, by definition, equal to the amount payable on demand at the reporting date, as represented by their carrying amount. Fair values for fixed rate certificates of deposit are estimated using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discounted cash flow analysis that uses interest rates being offered at each reporting date by the Company for certificates with similar remaining maturities.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variable rate time deposits, cost approximates fair value.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London Inter-Bank Offered Rate. The Company’s subordinated notes are not registered securities and were issued through private placements, resulting in a Level 3 classification. The notes are recorded at carrying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SBA, and securities issued by U.S. GSEs, such as FNMA, FHLMC, and FHLB. The Company also invests in residential and commercial mortgage-backed securities, collateralized mortgage obligations issued or guaranteed by government sponsored entities, and corporate bonds, as reflected in the following tables.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March 31, 2023 and December 31, 2022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Gross Unrealized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0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ASC 326 on January 1, 2023, which affects accounting of credit loss expense on held-to-maturity and available-for-sale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Basis of Presentation and Summary of Significant Accounting Policies, and Note 2, Fair Value of Assets and Liabilities, for further detail.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March 31, 2023 and December 31, 2022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3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debt securities by contractual maturity at March 31, 2023 and December 31, 2022 are shown below. Expected maturities may differ from contractual maturities if the issuers of the securities have the right to call or prepay obligations with or without call or prepayment penalties.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6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30"/>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115,140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115,988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of investment securities and gross gains and losses are shown in the following table: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169"/>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43"/>
        </w:trPr>
        <w:tc>
          <w:tcPr>
            <w:tcW w:w="81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Sales proceeds</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29"/>
        </w:trPr>
        <w:tc>
          <w:tcPr>
            <w:tcW w:w="8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527"/>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Pledged investment securities are shown in the following table: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March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3"/>
        </w:trPr>
        <w:tc>
          <w:tcPr>
            <w:tcW w:w="810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to:</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0" w:type="dxa"/>
            <w:vAlign w:val="bottom"/>
          </w:tcPr>
          <w:p>
            <w:pPr>
              <w:spacing w:after="0"/>
              <w:rPr>
                <w:sz w:val="1"/>
                <w:szCs w:val="1"/>
                <w:color w:val="auto"/>
              </w:rPr>
            </w:pPr>
          </w:p>
        </w:tc>
      </w:tr>
      <w:tr>
        <w:trPr>
          <w:trHeight w:val="230"/>
        </w:trPr>
        <w:tc>
          <w:tcPr>
            <w:tcW w:w="8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gross unrealized losses and fair values aggregated by investment category and length of time that individual available-for-sale securities have been in a continuous unrealized loss position at March 31, 2023 and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 securities</w:t>
            </w:r>
          </w:p>
        </w:tc>
        <w:tc>
          <w:tcPr>
            <w:tcW w:w="720" w:type="dxa"/>
            <w:vAlign w:val="bottom"/>
          </w:tcPr>
          <w:p>
            <w:pPr>
              <w:spacing w:after="0"/>
              <w:rPr>
                <w:sz w:val="17"/>
                <w:szCs w:val="17"/>
                <w:color w:val="auto"/>
              </w:rPr>
            </w:pPr>
          </w:p>
        </w:tc>
      </w:tr>
      <w:tr>
        <w:trPr>
          <w:trHeight w:val="234"/>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Less than 12 months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 months or more</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a loss position</w:t>
            </w:r>
          </w:p>
        </w:tc>
        <w:tc>
          <w:tcPr>
            <w:tcW w:w="720" w:type="dxa"/>
            <w:vAlign w:val="bottom"/>
            <w:tcBorders>
              <w:bottom w:val="single" w:sz="8" w:color="auto"/>
            </w:tcBorders>
          </w:tcPr>
          <w:p>
            <w:pPr>
              <w:spacing w:after="0"/>
              <w:rPr>
                <w:sz w:val="20"/>
                <w:szCs w:val="20"/>
                <w:color w:val="auto"/>
              </w:rPr>
            </w:pPr>
          </w:p>
        </w:tc>
      </w:tr>
      <w:tr>
        <w:trPr>
          <w:trHeight w:val="22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Unrealized Loss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Unrealized Loss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Unrealized Loss</w:t>
            </w: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r>
      <w:tr>
        <w:trPr>
          <w:trHeight w:val="184"/>
        </w:trPr>
        <w:tc>
          <w:tcPr>
            <w:tcW w:w="26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184"/>
        </w:trPr>
        <w:tc>
          <w:tcPr>
            <w:tcW w:w="2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Collateralized mortgage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8"/>
        </w:trPr>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r>
      <w:tr>
        <w:trPr>
          <w:trHeight w:val="184"/>
        </w:trPr>
        <w:tc>
          <w:tcPr>
            <w:tcW w:w="26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r>
      <w:tr>
        <w:trPr>
          <w:trHeight w:val="184"/>
        </w:trPr>
        <w:tc>
          <w:tcPr>
            <w:tcW w:w="2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Collateralized mortgage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48"/>
        </w:trPr>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151 and 152 available-for-sale securities in unrealized loss positions at March 31, 2023 and December 31, 2022, respectively. As of March 31, 2023, the investment portfolio included 147 investment securities that had been in a continuous loss position for twelve months or more and four investment securities that had been in a loss position for less than twelve months.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March 31, 2023, which had been in a continuous loss position for more than twelve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 Included in Other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$10.9 million and $10.9 million of FHLB stock at March 31, 2023 and December 31, 2022,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March 31, 2023 and December 31, 2022. On February 22, 2023, the FHLB announced a cash dividend for the fourth quarter of 2022 at an annualized dividend rate of 7.00%, which was paid on March 10, 2023. Cash dividends received on FHLB capital stock amounted to $0.2 million and $0.1 million for the three months ended March 31, 2023 and 2022, respectively, and were recorded as non-interest income on the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The following table presents the balance of each major product type within the Company’s portfolio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8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2,442,520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2,394,674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2,793,466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deferred loan fees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2,762,937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basis of the Company’s loans by origination year, where origination is defined as the later of origination or renewal date, and credit quality indicator as of March 31, 2023 was as follows (disclosure not comparative due to adoption of ASC 326 on January 1, 2023 – refer to Note 1, Basis of Presentation and Summary of Significant Accounting Policies, for further details):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Amortized Cost Basis by Origination Year</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10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4"/>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4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8"/>
              </w:rPr>
              <w:t>Term</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2,423,100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16,671</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983,887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131,860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2,439,873</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23,722</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23,897</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172,262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53,064</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Amortized Cost Basis by Origination Year</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1040" w:type="dxa"/>
            <w:vAlign w:val="bottom"/>
            <w:gridSpan w:val="3"/>
            <w:vMerge w:val="restart"/>
          </w:tcPr>
          <w:p>
            <w:pPr>
              <w:jc w:val="center"/>
              <w:ind w:right="328"/>
              <w:spacing w:after="0"/>
              <w:rPr>
                <w:sz w:val="20"/>
                <w:szCs w:val="20"/>
                <w:color w:val="auto"/>
              </w:rPr>
            </w:pPr>
            <w:r>
              <w:rPr>
                <w:rFonts w:ascii="Times New Roman" w:cs="Times New Roman" w:eastAsia="Times New Roman" w:hAnsi="Times New Roman"/>
                <w:sz w:val="14"/>
                <w:szCs w:val="14"/>
                <w:color w:val="auto"/>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4"/>
          </w:tcPr>
          <w:p>
            <w:pPr>
              <w:jc w:val="right"/>
              <w:ind w:right="288"/>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4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104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color w:val="auto"/>
                <w:w w:val="98"/>
              </w:rPr>
              <w:t>Term</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32,737</w:t>
            </w:r>
          </w:p>
        </w:tc>
        <w:tc>
          <w:tcPr>
            <w:tcW w:w="0" w:type="dxa"/>
            <w:vAlign w:val="bottom"/>
          </w:tcPr>
          <w:p>
            <w:pPr>
              <w:spacing w:after="0"/>
              <w:rPr>
                <w:sz w:val="1"/>
                <w:szCs w:val="1"/>
                <w:color w:val="auto"/>
              </w:rPr>
            </w:pPr>
          </w:p>
        </w:tc>
      </w:tr>
      <w:tr>
        <w:trPr>
          <w:trHeight w:val="19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1,104,885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2,845,284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24,146</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1,108,018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2,869,848</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March 31, 2023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Past Due</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Total Past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620" w:type="dxa"/>
            <w:vAlign w:val="bottom"/>
            <w:gridSpan w:val="2"/>
            <w:vMerge w:val="continue"/>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Days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Due</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2,439,873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2,439,873</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98,134</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51,581</w:t>
            </w:r>
          </w:p>
        </w:tc>
        <w:tc>
          <w:tcPr>
            <w:tcW w:w="0" w:type="dxa"/>
            <w:vAlign w:val="bottom"/>
          </w:tcPr>
          <w:p>
            <w:pPr>
              <w:spacing w:after="0"/>
              <w:rPr>
                <w:sz w:val="1"/>
                <w:szCs w:val="1"/>
                <w:color w:val="auto"/>
              </w:rPr>
            </w:pP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173,955</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2,869,546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2,869,848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between 60-89 days past due nor any loans greater than 90 days past due and still accruing as of March 31,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December 31, 2022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Total Past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620" w:type="dxa"/>
            <w:vAlign w:val="bottom"/>
            <w:gridSpan w:val="2"/>
            <w:vMerge w:val="continue"/>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Due</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2,392,053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2,392,053</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88,314</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165,609</w:t>
            </w:r>
          </w:p>
        </w:tc>
        <w:tc>
          <w:tcPr>
            <w:tcW w:w="0" w:type="dxa"/>
            <w:vAlign w:val="bottom"/>
          </w:tcPr>
          <w:p>
            <w:pPr>
              <w:spacing w:after="0"/>
              <w:rPr>
                <w:sz w:val="1"/>
                <w:szCs w:val="1"/>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0" w:type="dxa"/>
            <w:vAlign w:val="bottom"/>
          </w:tcPr>
          <w:p>
            <w:pPr>
              <w:spacing w:after="0"/>
              <w:rPr>
                <w:sz w:val="1"/>
                <w:szCs w:val="1"/>
                <w:color w:val="auto"/>
              </w:rPr>
            </w:pP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2,790,957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2,791,326</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between 60-89 days past due nor any loans greater than 90 days past due and still accruing as of December 31,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collateral dependent loan was in process of foreclosure at March 31, 2023: a commercial term loan secured by a single family residence with an unpaid principal balance of $175.0 thousand and no related allowance.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 segregated by class, were as follows as of March 31, 2023 and December 31, 2022:</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8180" w:type="dxa"/>
            <w:vAlign w:val="bottom"/>
            <w:gridSpan w:val="2"/>
            <w:vMerge w:val="continue"/>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non-accrual loans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months ended March 31, 2023 or March 31, 2022. Non-accrual real estate loans did not have an allowance for credit losses as of March 31, 2023. Interest income can be recognized on non-accrual loans in cases where resolution occurs through a sale or full payment is received on the non-accrual loan.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$9.1 thousand for the three months ended March 31, 2023, compared to $18.3 thousand for the three months ended March 31,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credit losses for the three months ended March 31, 2023.</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Beginning</w:t>
            </w: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Effect of</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Provision</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ASC 326</w:t>
            </w:r>
          </w:p>
        </w:tc>
        <w:tc>
          <w:tcPr>
            <w:tcW w:w="14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credit losses for the three months ended March 31,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873"/>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8"/>
        </w:trPr>
        <w:tc>
          <w:tcPr>
            <w:tcW w:w="3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the unfunded loan commitments are included in “Other operating expenses” in the unaudited consolidated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4"/>
                <w:szCs w:val="14"/>
                <w:color w:val="auto"/>
              </w:rPr>
            </w:pPr>
          </w:p>
        </w:tc>
        <w:tc>
          <w:tcPr>
            <w:tcW w:w="134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14"/>
                <w:szCs w:val="14"/>
                <w:color w:val="auto"/>
              </w:rPr>
            </w:pPr>
          </w:p>
        </w:tc>
        <w:tc>
          <w:tcPr>
            <w:tcW w:w="124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adoption of ASC 326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$1.7 billion and $1.6 billion at March 31, 2023 and December 31, 2022, respectively. In addition, the Company pledges eligible tenants in common loans, which totaled $46.0 million and $41.9 million at March 31, 2023 and December 31, 2022, respectively, to secure its borrowing capacity with the Federal Reserve Bank of San Francisco. See Note 6, Long Term Debt and Other Borrowings, for further discussion of these borrowings.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 consisted of the following as of March 31, 2023 and December 31, 2022: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8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1,073,532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144,355</w:t>
            </w:r>
          </w:p>
        </w:tc>
        <w:tc>
          <w:tcPr>
            <w:tcW w:w="0" w:type="dxa"/>
            <w:vAlign w:val="bottom"/>
          </w:tcPr>
          <w:p>
            <w:pPr>
              <w:spacing w:after="0"/>
              <w:rPr>
                <w:sz w:val="1"/>
                <w:szCs w:val="1"/>
                <w:color w:val="auto"/>
              </w:rPr>
            </w:pP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1,810,758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$372.6 million and $342.5 million as of March 31, 2023 and December 31, 2022, respectively. As of March 31, 2023, scheduled maturities of time deposits for the next five years were as follows: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2023</w:t>
            </w:r>
          </w:p>
        </w:tc>
        <w:tc>
          <w:tcPr>
            <w:tcW w:w="6680" w:type="dxa"/>
            <w:vAlign w:val="bottom"/>
            <w:tcBorders>
              <w:top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331,773</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2024</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2025</w:t>
            </w:r>
          </w:p>
        </w:tc>
        <w:tc>
          <w:tcPr>
            <w:tcW w:w="6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2026</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2027</w:t>
            </w:r>
          </w:p>
        </w:tc>
        <w:tc>
          <w:tcPr>
            <w:tcW w:w="6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Total time deposits</w:t>
            </w:r>
          </w:p>
        </w:tc>
        <w:tc>
          <w:tcPr>
            <w:tcW w:w="6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372,570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220" w:type="dxa"/>
            <w:vAlign w:val="bottom"/>
            <w:vMerge w:val="restart"/>
          </w:tcPr>
          <w:p>
            <w:pPr>
              <w:jc w:val="right"/>
              <w:ind w:right="3975"/>
              <w:spacing w:after="0"/>
              <w:rPr>
                <w:sz w:val="20"/>
                <w:szCs w:val="20"/>
                <w:color w:val="auto"/>
              </w:rPr>
            </w:pPr>
            <w:r>
              <w:rPr>
                <w:rFonts w:ascii="Times New Roman" w:cs="Times New Roman" w:eastAsia="Times New Roman" w:hAnsi="Times New Roman"/>
                <w:sz w:val="16"/>
                <w:szCs w:val="16"/>
                <w:color w:val="auto"/>
              </w:rPr>
              <w:t>24</w:t>
            </w: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5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March 31, 2023 and December 31, 2022. The composition of network deposits as of March 31, 2023 and December 31, 2022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8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ICS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network deposits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285,967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interest-bearing deposits for periods ended March 31, 2023 and 2022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169"/>
        </w:trPr>
        <w:tc>
          <w:tcPr>
            <w:tcW w:w="8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4"/>
                <w:szCs w:val="14"/>
                <w:color w:val="auto"/>
              </w:rPr>
            </w:pPr>
          </w:p>
        </w:tc>
        <w:tc>
          <w:tcPr>
            <w:tcW w:w="13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14"/>
                <w:szCs w:val="14"/>
                <w:color w:val="auto"/>
              </w:rPr>
            </w:pPr>
          </w:p>
        </w:tc>
        <w:tc>
          <w:tcPr>
            <w:tcW w:w="128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43"/>
        </w:trPr>
        <w:tc>
          <w:tcPr>
            <w:tcW w:w="81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 Term Debt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(8.18% as of March 31, 2023)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$0.1 million has been amortized as of March 31, 2023. The Company reflects debt issuance costs as a direct deduction from the face of the note. The debt issuance costs are amortized into interest expense through the maturity period. At March 31, 2023 and December 31, 2022, the Company’s subordinated debt outstanding was $73.6 million and $73.6 million,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In 2005, and through an amendment in 2014,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$1.1 billion at March 31, 2023 and $1.0 billion at December 31, 2022. At March 31, 2023 and December 31, 2022, the Company had $120.0 million and $100.0 million of outstanding borrowings, respectively. As of March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December 31, 2022, the Company had letters of credit (“LCs”) issued on its behalf totaling $666.5 million and $686.5 million, respectively, as discussed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and December 31, 2022, LCs totaling $186.5 million and $206.5 million, respectively, were pledged to secure State of California deposits, and LCs totaling $480.0 million and $480.0 million, respectively, were pledged to secure local agency deposits. The LCs issued reduced the Company’s available borrowing capacity to $278.1 million and $216.3 million as of March 31, 2023 and December 31, 2022,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and December 31, 2022, the Company had seven unsecured federal funds lines of credit totaling $190.0 million with seven of its correspondent banks, respectively. There were no amounts outstanding at March 31, 2023 and December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and December 31, 2022, the Company had the ability to borrow from the Federal Reserve Discount Window. At March 31, 2023 and December 31, 2022, the borrowing capacity under this arrangement was $76.7 million and $21.9 million, respectively. There were no amounts outstanding at March 31, 2023 and December 31, 2022. The borrowing line is secured by liens on the Company’s construction and agricultural loan portfolios and certain available-for-sale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w:t>
      </w:r>
    </w:p>
    <w:p>
      <w:pPr>
        <w:sectPr>
          <w:pgSz w:w="11900" w:h="16838" w:orient="portrait"/>
          <w:cols w:equalWidth="0" w:num="1">
            <w:col w:w="11240"/>
          </w:cols>
          <w:pgMar w:left="320" w:top="1147" w:right="339" w:bottom="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count and earnings per common share)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Pr>
          <w:p>
            <w:pPr>
              <w:spacing w:after="0"/>
              <w:rPr>
                <w:sz w:val="14"/>
                <w:szCs w:val="14"/>
                <w:color w:val="auto"/>
              </w:rPr>
            </w:pPr>
          </w:p>
        </w:tc>
        <w:tc>
          <w:tcPr>
            <w:tcW w:w="128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17,150,174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17,102,508</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w:t>
            </w:r>
          </w:p>
        </w:tc>
        <w:tc>
          <w:tcPr>
            <w:tcW w:w="0" w:type="dxa"/>
            <w:vAlign w:val="bottom"/>
          </w:tcPr>
          <w:p>
            <w:pPr>
              <w:spacing w:after="0"/>
              <w:rPr>
                <w:sz w:val="1"/>
                <w:szCs w:val="1"/>
                <w:color w:val="auto"/>
              </w:rPr>
            </w:pPr>
          </w:p>
        </w:tc>
      </w:tr>
      <w:tr>
        <w:trPr>
          <w:trHeight w:val="223"/>
        </w:trPr>
        <w:tc>
          <w:tcPr>
            <w:tcW w:w="8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17,194,884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17,164,519</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March 31, 2023 or March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2023, the board of directors declared a $0.15 per common share dividend, totaling $2.6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Incentive Plan is recognized over the service period, which is equal to the vesting period of the shares based on the fair value of the shares at issue date.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recognized for the three months ended March 31, 2023 and 2022 was $0.2 million and $0.3 million,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2023 and 2022, there were 108,363 and 138,856 unvested restricted shares, respectively. As of March 31, 2023, there was approximately $1.9 million of unrecognized compensation expense related to the 108,363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the weighted average term remaining on the unvested restricted shares of 3.05 years as of March 31, 2023. The impact of tax benefits for dividends paid on unvested restricted stock on the Company’s unaudited consolidated statements of income for the three months ended March 31, 2023 and 2022 was immaterial.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restricted shares for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4640" w:type="dxa"/>
            <w:vAlign w:val="bottom"/>
            <w:tcBorders>
              <w:bottom w:val="single" w:sz="8" w:color="auto"/>
            </w:tcBorders>
            <w:gridSpan w:val="10"/>
          </w:tcPr>
          <w:p>
            <w:pPr>
              <w:jc w:val="right"/>
              <w:ind w:right="85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21"/>
                <w:szCs w:val="21"/>
                <w:color w:val="auto"/>
              </w:rPr>
            </w:pPr>
          </w:p>
        </w:tc>
        <w:tc>
          <w:tcPr>
            <w:tcW w:w="22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9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balance</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vested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Shares 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amounts of unfunded loan commitments and standby letters of credit not reflected in the unaudited consolidated balance sheets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81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80,726</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329,148</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$1.2 million as of March 31, 2023 and $0.1 million as of December 31, 2022, which is recorded in “Interest payable and other liabilities” in the unaudited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91.61% of the Company’s loan portfolio at March 31, 2023 and 91.84% of the Company’s loan portfolio at December 31, 2022.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March 31, 2023, the Company had 84 deposit relationships that exceeded $5.0 million each, totaling $1.9 billion, or approximately 64.32% of total deposits. The Company’s largest single deposit relationship at March 31, 2023 totaled $220.9 million, or approximately 7.56%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$22.0 million and $16.2 million at March 31, 2023 and December 31,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20, 2023, the Board of Directors of the Company authorized a cash dividend of $0.20 per common share, payable on May 15, 2023 to shareholders of record on May 8,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2022 Annual Report on Form 10-K, which was filed with the SEC on February 24, 2023.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inflation, deflation, housing prices, employment levels, rate of growth, and general business conditions, including uncertainty regarding the federal government's debt limit or a prolonged shutdown of the federal government;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recent bank failures and other economic and industry volatility, including potential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loan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 and complying with government-imposed foreclosure moratoriums;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1" w:name="page32"/>
    <w:bookmarkEnd w:id="31"/>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cyber-crime, and other threats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internal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and earthquakes;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2022 Annual Report on Form 10-K,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and one loan production office.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2023, we had total assets of $3.4 billion, total loans held for investment, net of allowance for credit losses, of $2.8 billion, and total deposits of $2.9 billion.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2022 Annual Report on Form 10-K and the notes thereto.</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the 2022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2022 Annual Report on Form 10-K.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2023 totaled $13.2 million, compared to net income of $9.9 million for the three months ended March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for the periods presented:</w:t>
      </w:r>
    </w:p>
    <w:p>
      <w:pPr>
        <w:spacing w:after="0" w:line="221" w:lineRule="exact"/>
        <w:rPr>
          <w:sz w:val="20"/>
          <w:szCs w:val="20"/>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$138.4 million from $2.8 billion at December 31, 2022 to $2.9 billion at March 31, 2023. Deposit increases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primarily attributable to an increase in the number of new deposit relationships, as well as normal fluctuations in some of our large existing accounts. Non-interest-bearing deposits decreased by $134.6 million in the first three months of 2023 to $836.7 million, and represented 28.65% of total deposits at March 31, 2023, compared to 34.91% of total deposits at December 31, 2022. Our loan to deposit ratio was 98.66% at March 31, 2023, compared to 100.67% at December 31, 2022.</w:t>
      </w:r>
    </w:p>
    <w:p>
      <w:pPr>
        <w:spacing w:after="0" w:line="179"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$3.4 billion at March 31, 2023, representing a $170.1 million, or 5.27%, increase compared to $3.2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w:t>
      </w:r>
    </w:p>
    <w:p>
      <w:pPr>
        <w:spacing w:after="0" w:line="15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$2.9 billion at March 31, 2023, compared to $2.8 billion at December 31, 2022, an increase of $78.5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2.81%. The increase was primarily attributable to a $47.8 million increase in commercial real estate loans, a $9.7 million increase in commercial construction loans, an $8.3 million increase in commercial secured loans, and an $8.0 million increase in commercial land and development loans.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Non-accrual Loans. </w:t>
      </w:r>
      <w:r>
        <w:rPr>
          <w:rFonts w:ascii="Times New Roman" w:cs="Times New Roman" w:eastAsia="Times New Roman" w:hAnsi="Times New Roman"/>
          <w:sz w:val="18"/>
          <w:szCs w:val="18"/>
          <w:color w:val="auto"/>
        </w:rPr>
        <w:t>Credit quality remains strong, with non-accrual loans representing $0.4 million, or 0.01% of total loans held for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March 31, 2023, compared to $0.4 million, or 0.01% of total loans held for investment, at December 31, 2022. The ratio of allowance for credit losses to total loans held for investment, or total loans at period end, was 1.19% at March 31, 2023 and 1.02% at December 31, 2022.</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ROAA and ROAE. </w:t>
      </w:r>
      <w:r>
        <w:rPr>
          <w:rFonts w:ascii="Times New Roman" w:cs="Times New Roman" w:eastAsia="Times New Roman" w:hAnsi="Times New Roman"/>
          <w:sz w:val="18"/>
          <w:szCs w:val="18"/>
          <w:color w:val="auto"/>
        </w:rPr>
        <w:t>ROAA and ROAE were 1.65% and 20.94%, respectively, for the three months ended March 31, 2023, as compared to ROAA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1.53% and ROAE of 17.07% for the three months ended March 31, 2022.</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3.75% for the three months ended March 31, 2023, and 3.60%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The increase in net interest margin for the three months ended March 31, 2023 compared to the three months ended March 31, 2022 was primarily attributable to interest income resulting from yields earned and loan growth quarter over quarter, which more than offset increases to interest expense from rates paid and deposit growth.</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36.43% for the three months ended March 31, 2023, down from 39.82%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The decrease was primarily attributable to the change in net interest income more than offsetting the change in non-interest expense period-over-period.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color w:val="auto"/>
        </w:rPr>
        <w:t>. All capital ratios were above well-capitalized regulatory thresholds as of March 31, 2023. The total risk-based capital ratio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was 12.50% at March 31, 2023, compared to 12.46% at December 31, 2022. The Tier 1 leverage ratio was 8.53% at March 31, 2023, compared to 8.60% at December 31, 2022.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$0.15 per share on January 19,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Highlights of the financial results are presented in the following tables: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Pr>
          <w:p>
            <w:pPr>
              <w:spacing w:after="0"/>
              <w:rPr>
                <w:sz w:val="22"/>
                <w:szCs w:val="22"/>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223"/>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3,397,308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3,227,159</w:t>
            </w: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2,869,848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2,791,326</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2,920,406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2,782,004</w:t>
            </w: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73,640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73,606</w:t>
            </w: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260,656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252,825</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8,167.68 %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7,026.98 %</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12.46 %</w:t>
            </w: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7.83 %</w:t>
            </w:r>
          </w:p>
        </w:tc>
      </w:tr>
      <w:tr>
        <w:trPr>
          <w:trHeight w:val="229"/>
        </w:trPr>
        <w:tc>
          <w:tcPr>
            <w:tcW w:w="77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7.83 %</w:t>
            </w: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169"/>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260" w:type="dxa"/>
            <w:vAlign w:val="bottom"/>
          </w:tcPr>
          <w:p>
            <w:pPr>
              <w:spacing w:after="0"/>
              <w:rPr>
                <w:sz w:val="14"/>
                <w:szCs w:val="14"/>
                <w:color w:val="auto"/>
              </w:rPr>
            </w:pPr>
          </w:p>
        </w:tc>
        <w:tc>
          <w:tcPr>
            <w:tcW w:w="148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78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21,883</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ROAA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ROAE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17.07 %</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margin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funds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Efficiency ratio</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39.82 %</w:t>
            </w:r>
          </w:p>
        </w:tc>
        <w:tc>
          <w:tcPr>
            <w:tcW w:w="0" w:type="dxa"/>
            <w:vAlign w:val="bottom"/>
          </w:tcPr>
          <w:p>
            <w:pPr>
              <w:spacing w:after="0"/>
              <w:rPr>
                <w:sz w:val="1"/>
                <w:szCs w:val="1"/>
                <w:color w:val="auto"/>
              </w:rPr>
            </w:pPr>
          </w:p>
        </w:tc>
      </w:tr>
      <w:tr>
        <w:trPr>
          <w:trHeight w:val="30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25.86 %</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hanging="332"/>
        <w:spacing w:after="0" w:line="244" w:lineRule="auto"/>
        <w:tabs>
          <w:tab w:leader="none" w:pos="339"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spacing w:after="0" w:line="194" w:lineRule="exact"/>
        <w:rPr>
          <w:sz w:val="20"/>
          <w:szCs w:val="20"/>
          <w:color w:val="auto"/>
        </w:rPr>
      </w:pPr>
    </w:p>
    <w:p>
      <w:pPr>
        <w:ind w:left="5540" w:right="2040" w:hanging="5532"/>
        <w:spacing w:after="0" w:line="910"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dividend payout ratio on common stock is calculated as dividends on common shares divided by basic earnings per common share.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months ended March 31, 2023 to the three months ended March 31, 2022. The results of operations for the three months ended March 31, 2023 are not necessarily indicative of the results of operations that may be expected for the year ending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interest margin of 3.75% for the three months ended March 31, 2023 increased from 3.60% for the three months ended March 31, 2022. The increase was primarily due to a 142 basis point increase in the average yield on interest-earning assets, which increased from 3.76% for the three months ended March 31, 2022 to 5.18% for the three months ended March 31, 2023, partially offset by a 193 basis point increase in average rates paid on interest-bearing liabilities, which increased from 0.28% for the three months ended March 31, 2022 to 2.21% for the three months ended March 31, 2023.</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The following table presents average balance sheet information, interest income,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corresponding average yield earned or rates paid for each period reported. The average balances are daily averages and include both performing and nonperforming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0" w:type="dxa"/>
            <w:vAlign w:val="bottom"/>
          </w:tcPr>
          <w:p>
            <w:pPr>
              <w:spacing w:after="0"/>
              <w:rPr>
                <w:sz w:val="1"/>
                <w:szCs w:val="1"/>
                <w:color w:val="auto"/>
              </w:rPr>
            </w:pPr>
          </w:p>
        </w:tc>
      </w:tr>
      <w:tr>
        <w:trPr>
          <w:trHeight w:val="243"/>
        </w:trPr>
        <w:tc>
          <w:tcPr>
            <w:tcW w:w="3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Interest-earning deposits with banks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339,737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2,836,070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1,977,509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3,156,100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receivable and other assets,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3,225,353</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2,616,098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Savings accounts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1,087,122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Subordinated debt and other borrowings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901,491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3,225,353</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2,616,098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92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4</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2.97 %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04"/>
        </w:trPr>
        <w:tc>
          <w:tcPr>
            <w:tcW w:w="392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5</w:t>
            </w: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29,148</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3.75 %</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21,883</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9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ind w:left="340" w:hanging="332"/>
        <w:spacing w:after="0" w:line="229" w:lineRule="auto"/>
        <w:tabs>
          <w:tab w:leader="none" w:pos="3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right="2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on 30/360 day basis monthly. Yields are not calculated on a tax-equivalent basis.</w:t>
      </w:r>
    </w:p>
    <w:p>
      <w:pPr>
        <w:spacing w:after="0" w:line="198" w:lineRule="exact"/>
        <w:rPr>
          <w:sz w:val="20"/>
          <w:szCs w:val="20"/>
          <w:color w:val="auto"/>
        </w:rPr>
      </w:pPr>
    </w:p>
    <w:p>
      <w:pPr>
        <w:jc w:val="both"/>
        <w:ind w:left="340" w:hanging="332"/>
        <w:spacing w:after="0" w:line="235" w:lineRule="auto"/>
        <w:tabs>
          <w:tab w:leader="none" w:pos="33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ectPr>
          <w:pgSz w:w="11900" w:h="16838" w:orient="portrait"/>
          <w:cols w:equalWidth="0" w:num="1">
            <w:col w:w="11240"/>
          </w:cols>
          <w:pgMar w:left="320" w:top="1147"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6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1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ind w:left="7820"/>
        <w:spacing w:after="0" w:line="219" w:lineRule="auto"/>
        <w:rPr>
          <w:sz w:val="20"/>
          <w:szCs w:val="20"/>
          <w:color w:val="auto"/>
        </w:rPr>
      </w:pPr>
      <w:r>
        <w:rPr>
          <w:rFonts w:ascii="Times New Roman" w:cs="Times New Roman" w:eastAsia="Times New Roman" w:hAnsi="Times New Roman"/>
          <w:sz w:val="18"/>
          <w:szCs w:val="18"/>
          <w:b w:val="1"/>
          <w:bCs w:val="1"/>
          <w:color w:val="auto"/>
        </w:rPr>
        <w:t>March 31, 2023 compared to</w:t>
      </w:r>
    </w:p>
    <w:p>
      <w:pPr>
        <w:ind w:left="7400"/>
        <w:spacing w:after="0"/>
        <w:rPr>
          <w:sz w:val="20"/>
          <w:szCs w:val="20"/>
          <w:color w:val="auto"/>
        </w:rPr>
      </w:pPr>
      <w:r>
        <w:rPr>
          <w:rFonts w:ascii="Times New Roman" w:cs="Times New Roman" w:eastAsia="Times New Roman" w:hAnsi="Times New Roman"/>
          <w:sz w:val="18"/>
          <w:szCs w:val="18"/>
          <w:b w:val="1"/>
          <w:bCs w:val="1"/>
          <w:color w:val="auto"/>
        </w:rPr>
        <w:t>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29489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17,440</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 and other borrowings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82"/>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affecting interest income and yields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by $17.4 million, or 76.25%, to $40.3 million for the three months ended March 31, 2023 from $22.9 million for the corresponding period of 2022 due to the following:</w:t>
      </w:r>
    </w:p>
    <w:p>
      <w:pPr>
        <w:spacing w:after="0" w:line="160" w:lineRule="exact"/>
        <w:rPr>
          <w:sz w:val="20"/>
          <w:szCs w:val="20"/>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Rates. </w:t>
      </w:r>
      <w:r>
        <w:rPr>
          <w:rFonts w:ascii="Times New Roman" w:cs="Times New Roman" w:eastAsia="Times New Roman" w:hAnsi="Times New Roman"/>
          <w:sz w:val="18"/>
          <w:szCs w:val="18"/>
          <w:color w:val="auto"/>
        </w:rPr>
        <w:t>The average yields on interest-earning assets were 5.18% and 3.76% for the three months ended March 31, 2023 and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yields period-over-period was primarily due to increased rates earned on loans held for investment and sale originated in the current environment of rising rates, and increases in yields earned on interest-earning deposits with banks.</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Average interest-earning assets increased by approximately $690.1 million period-over-period, driven by new loan originations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drove increases in the average daily balances of loans for the three months ended March 31, 2023.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Factors affecting interest expense and rates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increased by $10.2 million, or 1,029.86%, to $11.2 million for the three months ended March 31, 2023 from $1.0 million for the same period of 2022 due to the following:</w:t>
      </w:r>
    </w:p>
    <w:p>
      <w:pPr>
        <w:spacing w:after="0" w:line="160"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Rates. </w:t>
      </w:r>
      <w:r>
        <w:rPr>
          <w:rFonts w:ascii="Times New Roman" w:cs="Times New Roman" w:eastAsia="Times New Roman" w:hAnsi="Times New Roman"/>
          <w:sz w:val="18"/>
          <w:szCs w:val="18"/>
          <w:color w:val="auto"/>
        </w:rPr>
        <w:t>The average costs of interest-bearing liabilities were 2.21% and 0.28% for the three months ended March 31, 2023 and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cost period-over-period was due to increases in the rates paid on interest-bearing deposit accounts, with the most significant increases in time and money market accounts. The average cost of subordinated debt and other borrowings decreased from 6.33% to 5.76% for the three months ended March 31, 2022 and March 31, 2023, respectively, due to a reduction of interest expenses as a percentage of the average balance during the three months ended March 31, 2023. Additionally, the cost of funds increased from 0.17% for the quarter ended March 31, 2022 to 1.53% for the quarter ended March 31, 2023.</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Average interest-bearing liabilities increased by $603.7 million period-over-period, primarily driven by increases in average balances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deposit accounts, with the most substantial average balance increases in time accounts. Average subordinated debt and other borrowings increased by $97.3 million period-over-period, consisting of FHLB advances which did not occur during the three months ended March 31, 2022, combined with an increase in the average balance of subordinated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$0.9 million provision for credit losses in the first quarter of 2023, compared to a $1.0 million provision for credit losses recorded for the same period of 2022. The decrease of $0.1 million was primarily due to a decline in loan growth during the first quarter of 2023. This decline was partially offset by provisions required for loans designated as watch and substandard, which increased from $17.0 million as of March 31, 2022 to $24.6 million as of March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2023, we adopted ASC 326, which replaced the former "incurred loss" model for recognizing credit losses with an "expected loss" model referred to as the CECL model. The CECL allowance model calculates reserves over the life of the loan and is largely driven by portfolio characteristics, economic outlook, and other key methodology assumptions. Under the CECL model, the calculated allowance for credit losses was $5.3 million higher on January 1, 2023 than the allowance under the incurred loss model. Utilizing CECL may have an impact on our allowance for credit losses going forward and resulted in a lack of comparability between the 2022 and 2023 quarterly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Non-interest income consists of service charges on deposit accounts, net gain on sale of securities, gain on sale of loans, loan-related fees, FHLB stock dividends, earnings on BOLI, and other income.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components of non-interest income for the periods indicated for the three months ended March 31, 2023 compared to three months ended March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on sale of securities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Loan-related fees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stock dividends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on BOLI</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r>
      <w:tr>
        <w:trPr>
          <w:trHeight w:val="223"/>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in gain on sale of loans related primarily to an overall decline in the effective yields on loans sold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compared to the three months ended March 31, 2022. During the three months ended March 31, 2023, approximately $12.7 million of loans were sold with an effective yield of 4.72%, as compared to approximately $11.7 million of loans sold with an effective yield of 7.84% during the three months ended March 31, 2022.</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decrease in loan-related fees was primarily a result of $0.3 million of swap referral fees recognized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which did not recur in the three months ended March 31,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decrease in other income resulted primarily from a $0.3 million gain recorded on a distribution received on an investment in a venture-backed fund during the three months ended March 31, 2022 which did not recur during the three months ended March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to reduce our non-interest expense over time as a percentage of our revenue, while continuing to achieve growth in total loans and assets.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components of non-interest expense for three months ended March 31, 2023 compared to three months ended March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 insurance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expenses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4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in salaries and employee benefits was primarily a result of: (i) a $0.7 million increase in salaries,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benefits as a result of a 7.10% increase in headcount and recognition of employer taxes and 401(k) contributions recorded for bonuses and commissions paid during the three months ended March 31, 2023, as compared to the three months ended March 31, 2022; (ii) a $0.7 million decrease in loan origination costs due to lower loan production; and (iii) a $0.3 million increase in estimated bonus expense based on increased headcount and salaries. These increases were partially offset by $0.7 million of lower commission expenses due to lower loan production during the three months ended March 31, 2023, as compared to the three months ended March 31, 2022.</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Data processing and software expenses increased, primarily due to: (i) increased usage of our digital banking platform;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transaction volumes related to the increased number of loan and deposit accounts; and (iii) increased number of licenses required for new users on our loan origination and documentation system.</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FDIC insurance. </w:t>
      </w:r>
      <w:r>
        <w:rPr>
          <w:rFonts w:ascii="Times New Roman" w:cs="Times New Roman" w:eastAsia="Times New Roman" w:hAnsi="Times New Roman"/>
          <w:sz w:val="18"/>
          <w:szCs w:val="18"/>
          <w:color w:val="auto"/>
        </w:rPr>
        <w:t>The increase in FDIC insurance related primarily to a final rule adopted by the FDIC to increase initial base deposit insurance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for insured depository institutions by two basis points, beginning with the first quarterly assessment period in 2023. FDIC insurance also increased for the three months ended March 31, 2023 compared to the three months ended March 31, 2022 due to a $539.7 million increase in the assessment base period-over-period.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 was $5.3 million for the three months ended March 31, 2023, compared to $3.7 million for the three months ended March 31, 2022. Additionally, the provision for income taxes for the three months ended March 31, 2022 included a provision to tax return true-up of approximately $0.3 million relating to the 2021 tax return filed in 2022, which did not recur during the three months ended March 31, 2023. Effective income tax rates for the three months ended March 31, 2023 and 2022 were 28.86% and 27.07%, respectively. Differences between the Company’s effective tax rate and federal and state blended statutory rates are due to certain items, such as tax-exempt income from municipal securities, earnings on BOLI, non-deductible expenses, vesting of stock awards, and benefits from tax credits as compared to pre-tax income.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March 31, 2023 to our financial condition as of December 31, 2022. The following table summarizes selected components of our unaudited consolidated balance sheets as of March 31, 2023 and December 31, 2022.</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3,397,308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3,227,159</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259,991</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119,744</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2,869,848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2,791,326</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2,920,406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2,782,004</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notes,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73,606</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252,825</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total assets were $3.4 billion, an increase of $170.1 million from $3.2 billion at December 31, 2022, primarily due to an increase in cash and cash equivalents of $87.9 million and in loans held for investment of $78.5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and cash equivalents were $347.9 million at March 31, 2023, an increase of $87.9 million from $260.0 million at December 31, 2022. The increase in cash and cash equivalents was primarily due to an increase in deposits of $138.4 million and an increase in FHLB advances of $20.0 million, partially offset by loan originations, net of repayments, of $69.5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$118.7 million at March 31, 2023 and $119.7 million at December 31, 2022, representing a decrease of $1.0 million period-over-period. The decrease to available-for-sale securities was primarily due to maturities, prepayments, and calls of $2.9 million, partially offset by an unrealized gain on securities of $2.1 million, with the remainder of the change due to amortization on premiums. For the quarter, other comprehensive income increased by $1.5 million, primarily from our mortgage-backed and municipal securities portfolios, resulting in tax-effected increases from each of those portfolios of $0.7 million and $0.8 million, respectively. This unrealized gain was attributable to interest rate changes that occurred during the period.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our investment portfolio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49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11.09 %</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11.84 %</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51.17 %</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32.09 %</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96.87 %</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March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Due in one year</w:t>
            </w:r>
          </w:p>
        </w:tc>
        <w:tc>
          <w:tcPr>
            <w:tcW w:w="140" w:type="dxa"/>
            <w:vAlign w:val="bottom"/>
          </w:tcPr>
          <w:p>
            <w:pPr>
              <w:spacing w:after="0"/>
              <w:rPr>
                <w:sz w:val="17"/>
                <w:szCs w:val="17"/>
                <w:color w:val="auto"/>
              </w:rPr>
            </w:pPr>
          </w:p>
        </w:tc>
        <w:tc>
          <w:tcPr>
            <w:tcW w:w="1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Due after one</w:t>
            </w:r>
          </w:p>
        </w:tc>
        <w:tc>
          <w:tcPr>
            <w:tcW w:w="140" w:type="dxa"/>
            <w:vAlign w:val="bottom"/>
          </w:tcPr>
          <w:p>
            <w:pPr>
              <w:spacing w:after="0"/>
              <w:rPr>
                <w:sz w:val="17"/>
                <w:szCs w:val="17"/>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Due after five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 five</w:t>
            </w:r>
          </w:p>
        </w:tc>
        <w:tc>
          <w:tcPr>
            <w:tcW w:w="140" w:type="dxa"/>
            <w:vAlign w:val="bottom"/>
          </w:tcPr>
          <w:p>
            <w:pPr>
              <w:spacing w:after="0"/>
              <w:rPr>
                <w:sz w:val="15"/>
                <w:szCs w:val="15"/>
                <w:color w:val="auto"/>
              </w:rPr>
            </w:pPr>
          </w:p>
        </w:tc>
        <w:tc>
          <w:tcPr>
            <w:tcW w:w="174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years through ten</w:t>
            </w:r>
          </w:p>
        </w:tc>
        <w:tc>
          <w:tcPr>
            <w:tcW w:w="120" w:type="dxa"/>
            <w:vAlign w:val="bottom"/>
          </w:tcPr>
          <w:p>
            <w:pPr>
              <w:spacing w:after="0"/>
              <w:rPr>
                <w:sz w:val="15"/>
                <w:szCs w:val="15"/>
                <w:color w:val="auto"/>
              </w:rPr>
            </w:pPr>
          </w:p>
        </w:tc>
        <w:tc>
          <w:tcPr>
            <w:tcW w:w="1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20" w:type="dxa"/>
            <w:vAlign w:val="bottom"/>
          </w:tcPr>
          <w:p>
            <w:pPr>
              <w:spacing w:after="0"/>
              <w:rPr>
                <w:sz w:val="15"/>
                <w:szCs w:val="15"/>
                <w:color w:val="auto"/>
              </w:rPr>
            </w:pPr>
          </w:p>
        </w:tc>
        <w:tc>
          <w:tcPr>
            <w:tcW w:w="168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140" w:type="dxa"/>
            <w:vAlign w:val="bottom"/>
          </w:tcPr>
          <w:p>
            <w:pPr>
              <w:spacing w:after="0"/>
              <w:rPr>
                <w:sz w:val="21"/>
                <w:szCs w:val="21"/>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1"/>
                <w:szCs w:val="21"/>
                <w:color w:val="auto"/>
              </w:rPr>
            </w:pPr>
          </w:p>
        </w:tc>
        <w:tc>
          <w:tcPr>
            <w:tcW w:w="178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5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18"/>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Mortgage-backed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11"/>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8"/>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Collateralized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available-for-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104,580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115,140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1"/>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105,415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118,654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Due in one year</w:t>
            </w:r>
          </w:p>
        </w:tc>
        <w:tc>
          <w:tcPr>
            <w:tcW w:w="140" w:type="dxa"/>
            <w:vAlign w:val="bottom"/>
          </w:tcPr>
          <w:p>
            <w:pPr>
              <w:spacing w:after="0"/>
              <w:rPr>
                <w:sz w:val="17"/>
                <w:szCs w:val="17"/>
                <w:color w:val="auto"/>
              </w:rPr>
            </w:pPr>
          </w:p>
        </w:tc>
        <w:tc>
          <w:tcPr>
            <w:tcW w:w="1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Due after one</w:t>
            </w:r>
          </w:p>
        </w:tc>
        <w:tc>
          <w:tcPr>
            <w:tcW w:w="140" w:type="dxa"/>
            <w:vAlign w:val="bottom"/>
          </w:tcPr>
          <w:p>
            <w:pPr>
              <w:spacing w:after="0"/>
              <w:rPr>
                <w:sz w:val="17"/>
                <w:szCs w:val="17"/>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Due after five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 five</w:t>
            </w:r>
          </w:p>
        </w:tc>
        <w:tc>
          <w:tcPr>
            <w:tcW w:w="140" w:type="dxa"/>
            <w:vAlign w:val="bottom"/>
          </w:tcPr>
          <w:p>
            <w:pPr>
              <w:spacing w:after="0"/>
              <w:rPr>
                <w:sz w:val="15"/>
                <w:szCs w:val="15"/>
                <w:color w:val="auto"/>
              </w:rPr>
            </w:pPr>
          </w:p>
        </w:tc>
        <w:tc>
          <w:tcPr>
            <w:tcW w:w="174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years through ten</w:t>
            </w:r>
          </w:p>
        </w:tc>
        <w:tc>
          <w:tcPr>
            <w:tcW w:w="120" w:type="dxa"/>
            <w:vAlign w:val="bottom"/>
          </w:tcPr>
          <w:p>
            <w:pPr>
              <w:spacing w:after="0"/>
              <w:rPr>
                <w:sz w:val="15"/>
                <w:szCs w:val="15"/>
                <w:color w:val="auto"/>
              </w:rPr>
            </w:pPr>
          </w:p>
        </w:tc>
        <w:tc>
          <w:tcPr>
            <w:tcW w:w="1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20" w:type="dxa"/>
            <w:vAlign w:val="bottom"/>
          </w:tcPr>
          <w:p>
            <w:pPr>
              <w:spacing w:after="0"/>
              <w:rPr>
                <w:sz w:val="15"/>
                <w:szCs w:val="15"/>
                <w:color w:val="auto"/>
              </w:rPr>
            </w:pPr>
          </w:p>
        </w:tc>
        <w:tc>
          <w:tcPr>
            <w:tcW w:w="168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140" w:type="dxa"/>
            <w:vAlign w:val="bottom"/>
          </w:tcPr>
          <w:p>
            <w:pPr>
              <w:spacing w:after="0"/>
              <w:rPr>
                <w:sz w:val="21"/>
                <w:szCs w:val="21"/>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1"/>
                <w:szCs w:val="21"/>
                <w:color w:val="auto"/>
              </w:rPr>
            </w:pPr>
          </w:p>
        </w:tc>
        <w:tc>
          <w:tcPr>
            <w:tcW w:w="178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23"/>
        </w:trPr>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39"/>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Mortgage-backed</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38,426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62"/>
        </w:trPr>
        <w:tc>
          <w:tcPr>
            <w:tcW w:w="188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8"/>
                <w:szCs w:val="18"/>
                <w:color w:val="auto"/>
              </w:rPr>
              <w:t>Total available-for-</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105,527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115,988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1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106,381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119,744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As of March 31, 2023 and December 31, 2022, our total loans amounted to $2.9 billion and $2.8 billion, respectively. The following table presents the balance and associated percentage of each major product type within our portfolio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2,442,520</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84.71 %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2,394,674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2,871,952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2,793,466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99.66 %</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0" w:type="dxa"/>
            <w:vAlign w:val="bottom"/>
          </w:tcPr>
          <w:p>
            <w:pPr>
              <w:spacing w:after="0"/>
              <w:rPr>
                <w:sz w:val="1"/>
                <w:szCs w:val="1"/>
                <w:color w:val="auto"/>
              </w:rPr>
            </w:pPr>
          </w:p>
        </w:tc>
      </w:tr>
      <w:tr>
        <w:trPr>
          <w:trHeight w:val="27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2,883,267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2,802,882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2,881,163</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2,800,742</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17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20" w:type="dxa"/>
            <w:vAlign w:val="bottom"/>
            <w:vMerge w:val="restart"/>
          </w:tcPr>
          <w:p>
            <w:pPr>
              <w:spacing w:after="0"/>
              <w:rPr>
                <w:sz w:val="15"/>
                <w:szCs w:val="15"/>
                <w:color w:val="auto"/>
              </w:rPr>
            </w:pPr>
          </w:p>
        </w:tc>
        <w:tc>
          <w:tcPr>
            <w:tcW w:w="1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Real Estate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LTV</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LTV</w:t>
            </w: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709,015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1,230,431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524,891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494,906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402,384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171,456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410,282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157,339</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404,559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74.23 %</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338,435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699,599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152.76 %</w:t>
            </w:r>
          </w:p>
        </w:tc>
        <w:tc>
          <w:tcPr>
            <w:tcW w:w="0" w:type="dxa"/>
            <w:vAlign w:val="bottom"/>
          </w:tcPr>
          <w:p>
            <w:pPr>
              <w:spacing w:after="0"/>
              <w:rPr>
                <w:sz w:val="1"/>
                <w:szCs w:val="1"/>
                <w:color w:val="auto"/>
              </w:rPr>
            </w:pPr>
          </w:p>
        </w:tc>
      </w:tr>
      <w:tr>
        <w:trPr>
          <w:trHeight w:val="275"/>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2,442,520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4,778,238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673,891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1,174,642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506,041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264,599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202,203</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459,695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289,820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383,321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145,899</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74.68 %</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343,403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704,984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152.96 %</w:t>
            </w:r>
          </w:p>
        </w:tc>
        <w:tc>
          <w:tcPr>
            <w:tcW w:w="0" w:type="dxa"/>
            <w:vAlign w:val="bottom"/>
          </w:tcPr>
          <w:p>
            <w:pPr>
              <w:spacing w:after="0"/>
              <w:rPr>
                <w:sz w:val="1"/>
                <w:szCs w:val="1"/>
                <w:color w:val="auto"/>
              </w:rPr>
            </w:pPr>
          </w:p>
        </w:tc>
      </w:tr>
      <w:tr>
        <w:trPr>
          <w:trHeight w:val="270"/>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2,394,674</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4,685,333</w:t>
            </w:r>
          </w:p>
        </w:tc>
        <w:tc>
          <w:tcPr>
            <w:tcW w:w="10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35"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Types of collateral in the “all other types” category are those that individually make up less than 5.00% commercial real estate concentration and include hospitality properties, auto dealerships, car washes, assisted living communities, country clubs, gas stations/convenience stores, medical offices, special purpose properties, mortuaries, restaurants, and schools.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significantly. Our primary focus remains commercial real estate lending (including commercial, commercial land and development, and commercial construction), which constitutes 89.08% of loans held for investment at March 31, 2023. Commercial secured lending represents 6.05% of loans held for investment at March 31, 2023. We sell the guaranteed portion of all SBA 7(a) loans in the secondary market and will continue to do so as long as market conditions continue to be favorable.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673.90% and 680.34% as of March 31, 2023 and December 31, 2022, respectively. We have established internal concentration limits in the loan portfolio for commercial real estate loans by sector (e.g., manufactured home communities, self-storage, hospitality, etc.). All loan sectors were within our established limits as of March 31, 2023. Additionally, our loans are geographically concentrated with borrowers and collateral properties primarily in California.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Due in 1</w:t>
            </w:r>
          </w:p>
        </w:tc>
        <w:tc>
          <w:tcPr>
            <w:tcW w:w="18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Due after 1</w:t>
            </w: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Due after 5</w:t>
            </w:r>
          </w:p>
        </w:tc>
        <w:tc>
          <w:tcPr>
            <w:tcW w:w="20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w:t>
            </w:r>
          </w:p>
        </w:tc>
        <w:tc>
          <w:tcPr>
            <w:tcW w:w="160" w:type="dxa"/>
            <w:vAlign w:val="bottom"/>
          </w:tcPr>
          <w:p>
            <w:pPr>
              <w:spacing w:after="0"/>
              <w:rPr>
                <w:sz w:val="15"/>
                <w:szCs w:val="15"/>
                <w:color w:val="auto"/>
              </w:rPr>
            </w:pPr>
          </w:p>
        </w:tc>
        <w:tc>
          <w:tcPr>
            <w:tcW w:w="15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2,126,171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2,442,520</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184,815</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0" w:type="dxa"/>
            <w:vAlign w:val="bottom"/>
          </w:tcPr>
          <w:p>
            <w:pPr>
              <w:spacing w:after="0"/>
              <w:rPr>
                <w:sz w:val="1"/>
                <w:szCs w:val="1"/>
                <w:color w:val="auto"/>
              </w:rPr>
            </w:pPr>
          </w:p>
        </w:tc>
      </w:tr>
      <w:tr>
        <w:trPr>
          <w:trHeight w:val="257"/>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2,378,931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2,883,267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Due in 1</w:t>
            </w: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Due after 1</w:t>
            </w: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Due after 5</w:t>
            </w:r>
          </w:p>
        </w:tc>
        <w:tc>
          <w:tcPr>
            <w:tcW w:w="200" w:type="dxa"/>
            <w:vAlign w:val="bottom"/>
          </w:tcPr>
          <w:p>
            <w:pPr>
              <w:spacing w:after="0"/>
              <w:rPr>
                <w:sz w:val="18"/>
                <w:szCs w:val="18"/>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w:t>
            </w:r>
          </w:p>
        </w:tc>
        <w:tc>
          <w:tcPr>
            <w:tcW w:w="16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2,394,674</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88,669</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0" w:type="dxa"/>
            <w:vAlign w:val="bottom"/>
          </w:tcPr>
          <w:p>
            <w:pPr>
              <w:spacing w:after="0"/>
              <w:rPr>
                <w:sz w:val="1"/>
                <w:szCs w:val="1"/>
                <w:color w:val="auto"/>
              </w:rPr>
            </w:pPr>
          </w:p>
        </w:tc>
      </w:tr>
      <w:tr>
        <w:trPr>
          <w:trHeight w:val="25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0" w:type="dxa"/>
            <w:vAlign w:val="bottom"/>
          </w:tcPr>
          <w:p>
            <w:pPr>
              <w:spacing w:after="0"/>
              <w:rPr>
                <w:sz w:val="1"/>
                <w:szCs w:val="1"/>
                <w:color w:val="auto"/>
              </w:rPr>
            </w:pPr>
          </w:p>
        </w:tc>
      </w:tr>
      <w:tr>
        <w:trPr>
          <w:trHeight w:val="25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0" w:type="dxa"/>
            <w:vAlign w:val="bottom"/>
          </w:tcPr>
          <w:p>
            <w:pPr>
              <w:spacing w:after="0"/>
              <w:rPr>
                <w:sz w:val="1"/>
                <w:szCs w:val="1"/>
                <w:color w:val="auto"/>
              </w:rPr>
            </w:pPr>
          </w:p>
        </w:tc>
      </w:tr>
      <w:tr>
        <w:trPr>
          <w:trHeight w:val="257"/>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352,580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2,802,882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March 31, 2023:</w:t>
      </w:r>
    </w:p>
    <w:p>
      <w:pPr>
        <w:sectPr>
          <w:pgSz w:w="11900" w:h="16838" w:orient="portrait"/>
          <w:cols w:equalWidth="0" w:num="1">
            <w:col w:w="11240"/>
          </w:cols>
          <w:pgMar w:left="320" w:top="1147"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558,746</w:t>
            </w: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665,358</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2,217,909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2,442,520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15,475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98,415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9,410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23,862</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51,616</w:t>
      </w:r>
    </w:p>
    <w:p>
      <w:pPr>
        <w:spacing w:after="0" w:line="30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184,815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24,776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32,378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26035</wp:posOffset>
            </wp:positionV>
            <wp:extent cx="1157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2,883,267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26035</wp:posOffset>
            </wp:positionV>
            <wp:extent cx="11576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51435</wp:posOffset>
            </wp:positionV>
            <wp:extent cx="1157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794" w:lineRule="exact"/>
        <w:rPr>
          <w:sz w:val="20"/>
          <w:szCs w:val="20"/>
          <w:color w:val="auto"/>
        </w:rPr>
      </w:pPr>
    </w:p>
    <w:p>
      <w:pPr>
        <w:sectPr>
          <w:pgSz w:w="11900" w:h="16838" w:orient="portrait"/>
          <w:cols w:equalWidth="0" w:num="2">
            <w:col w:w="9520" w:space="620"/>
            <w:col w:w="1100"/>
          </w:cols>
          <w:pgMar w:left="320" w:top="1147"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400" w:type="dxa"/>
            <w:vAlign w:val="bottom"/>
          </w:tcPr>
          <w:p>
            <w:pPr>
              <w:spacing w:after="0"/>
              <w:rPr>
                <w:sz w:val="17"/>
                <w:szCs w:val="17"/>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552,206</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1,842,468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2,394,674</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88,669</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2,149,847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2,802,882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w:t>
      </w:r>
    </w:p>
    <w:p>
      <w:pPr>
        <w:sectPr>
          <w:pgSz w:w="11900" w:h="16838" w:orient="portrait"/>
          <w:cols w:equalWidth="0" w:num="1">
            <w:col w:w="11240"/>
          </w:cols>
          <w:pgMar w:left="320" w:top="11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8" w:name="page49"/>
    <w:bookmarkEnd w:id="4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sold 55 SBA 7(a) loans with government guaranteed portions totaling $12.7 million. The Company received gross proceeds of $13.3 million on the loans sold during the three months ended March 31, 2023, resulting in the recognition of net gains on sale of $0.6 million during the same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our nonperforming and restructured assets and certain other related information as of the dates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250"/>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r>
      <w:tr>
        <w:trPr>
          <w:trHeight w:val="263"/>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r>
      <w:tr>
        <w:trPr>
          <w:trHeight w:val="155"/>
        </w:trPr>
        <w:tc>
          <w:tcPr>
            <w:tcW w:w="7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50"/>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r>
      <w:tr>
        <w:trPr>
          <w:trHeight w:val="155"/>
        </w:trPr>
        <w:tc>
          <w:tcPr>
            <w:tcW w:w="7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50"/>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owned</w:t>
            </w:r>
          </w:p>
        </w:tc>
        <w:tc>
          <w:tcPr>
            <w:tcW w:w="1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7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25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LMs (not included above)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9"/>
        </w:trPr>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5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8,167.68 %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7,026.98 %</w:t>
            </w:r>
          </w:p>
        </w:tc>
      </w:tr>
      <w:tr>
        <w:trPr>
          <w:trHeight w:val="257"/>
        </w:trPr>
        <w:tc>
          <w:tcPr>
            <w:tcW w:w="77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Nonperforming loans to loans held for investment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5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325"/>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r>
    </w:tbl>
    <w:p>
      <w:pPr>
        <w:spacing w:after="0" w:line="15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held for investment are equivalent to total loans outstanding at period end.</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remained consistent at 0.01% as of December 31, 2022 and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The following table shows our levels of classified loans as of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2,442,520</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98,415</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51,616</w:t>
            </w:r>
          </w:p>
        </w:tc>
      </w:tr>
      <w:tr>
        <w:trPr>
          <w:trHeight w:val="25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173,500</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w:t>
            </w:r>
          </w:p>
        </w:tc>
      </w:tr>
      <w:tr>
        <w:trPr>
          <w:trHeight w:val="256"/>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r>
      <w:tr>
        <w:trPr>
          <w:trHeight w:val="27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2,847,388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2,871,952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2,379,766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2,394,674</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52,478</w:t>
            </w:r>
          </w:p>
        </w:tc>
      </w:tr>
      <w:tr>
        <w:trPr>
          <w:trHeight w:val="26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165,186</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25,431</w:t>
            </w:r>
          </w:p>
        </w:tc>
      </w:tr>
      <w:tr>
        <w:trPr>
          <w:trHeight w:val="257"/>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28,628</w:t>
            </w:r>
          </w:p>
        </w:tc>
      </w:tr>
      <w:tr>
        <w:trPr>
          <w:trHeight w:val="27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increased to $24.6 million at March 31, 2023 from $22.3 million at December 31, 2022. Loans designated as watch increased while loans designated substandard decreased period-over-period due to additional commercial real estate loans designated as watch at March 31, 2023, partly offset by an improvement in the risk grade of some commercial real estate loans designated as watch at December 31, 2022. This resulted in an increase in the reserve overall. There were no loans with doubtful risk grades at March 31, 2023 or December 31,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through a provision for credit losses charged to operations. Loans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the Company’s allowance for credit losses was $34.2 million, as compared to $28.4 million at December 31, 2022. The $5.8 million increase in the allowance is due to a $5.3 million adjustment recorded in connection with the adoption of ASC 326 and a $0.9 million provision for credit losses recorded during the three months ended March 31, 2023, partially offset by net charge-offs of $0.4 million during the same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entire allowance for credit losses is available to absorb losses from any and all loans, the following table represents management’s allocation of our allowance for credit losses by loan category, and the percentage of the allowance for credit losses in each category,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5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50"/>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78.56 %</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5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5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r>
      <w:tr>
        <w:trPr>
          <w:trHeight w:val="25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50"/>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25.00 %</w:t>
            </w: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56"/>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57"/>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Unallocated</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0.16 %</w:t>
            </w:r>
          </w:p>
        </w:tc>
      </w:tr>
      <w:tr>
        <w:trPr>
          <w:trHeight w:val="275"/>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allowance for credit losses to total loans held for investment was 1.19% at March 31, 2023, compared to 1.02% at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loans totaled $0.4 million, or 0.01% of total loans held for investment, at both March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activity within the allowance for credit losses as of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00" w:type="dxa"/>
            <w:vAlign w:val="bottom"/>
          </w:tcPr>
          <w:p>
            <w:pPr>
              <w:spacing w:after="0"/>
              <w:rPr>
                <w:sz w:val="21"/>
                <w:szCs w:val="21"/>
                <w:color w:val="auto"/>
              </w:rPr>
            </w:pPr>
          </w:p>
        </w:tc>
        <w:tc>
          <w:tcPr>
            <w:tcW w:w="30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0" w:type="dxa"/>
            <w:vAlign w:val="bottom"/>
          </w:tcPr>
          <w:p>
            <w:pPr>
              <w:spacing w:after="0"/>
              <w:rPr>
                <w:sz w:val="1"/>
                <w:szCs w:val="1"/>
                <w:color w:val="auto"/>
              </w:rPr>
            </w:pPr>
          </w:p>
        </w:tc>
      </w:tr>
      <w:tr>
        <w:trPr>
          <w:trHeight w:val="18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30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2,826,035</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1,970,311</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23,243</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adoption of ASC 326</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charge-offs</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34,172</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23,904</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2,869,848</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2,080,158</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loans held for investment</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2023, total liabilities increased by $162.3 million from $3.0 billion as of December 31, 2022 to $3.1 billion as of March 31, 2023. This increase was primarily due to an increase in total deposits of $138.4 million, comprised of an increase of $273.0 million in interest-bearing deposits, partially offset by a decrease of $134.6 million in non-interest-bearing deposits, as well as increases in FHLB advances of $20.0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93.11% of our total liabilities as of March 31, 2023, deposits are our primary source of funding for our business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by $138.4 million, or 4.97%, to $2.9 billion at March 31, 2023 from $2.8 billion at December 31, 2022. Deposit increases were primarily attributable to an increase in the number of new relationships, as well as normal fluctuations in some of our larger accounts. Non-interest-bearing deposits decreased by $134.6 million from December 31, 2022 to $836.7 million and represented 28.65% of total deposits at March 31, 2023, compared to 34.91% of total deposits at December 31, 2022. Our loan to deposit ratio was 98.66% at March 31, 2023, as compared to 100.67% at December 31, 2022. We intend to continue to operate our business with a loan to deposit ratio within the range of these levels.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following tables summarize our deposit composition by average deposits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2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Rate Paid</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Rate Paid</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1,242,355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1,011,582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901,491</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922,128</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39.43 %</w:t>
            </w:r>
          </w:p>
        </w:tc>
        <w:tc>
          <w:tcPr>
            <w:tcW w:w="0" w:type="dxa"/>
            <w:vAlign w:val="bottom"/>
          </w:tcPr>
          <w:p>
            <w:pPr>
              <w:spacing w:after="0"/>
              <w:rPr>
                <w:sz w:val="1"/>
                <w:szCs w:val="1"/>
                <w:color w:val="auto"/>
              </w:rPr>
            </w:pPr>
          </w:p>
        </w:tc>
      </w:tr>
      <w:tr>
        <w:trPr>
          <w:trHeight w:val="281"/>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2,824,391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2,338,583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and uncollateralized deposits totaled $1.0 billion and $1.2 billion at March 31, 2023 and December 31, 2022,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our 40 largest deposit relationships, each accounting for more than $10.0 million, totaled $1.6 billion, or 54.40% of our total deposits. The average age on deposit relationships of more than $10.0 million was 10.6 years. As of December 31, 2022, our 40 largest deposit relationships, each accounting for more than $10.0 million, totaled $1.5 billion, or 52.15%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5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641,795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601,968</w:t>
            </w:r>
          </w:p>
        </w:tc>
      </w:tr>
      <w:tr>
        <w:trPr>
          <w:trHeight w:val="25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Non-profits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195,996</w:t>
            </w:r>
          </w:p>
        </w:tc>
      </w:tr>
      <w:tr>
        <w:trPr>
          <w:trHeight w:val="26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Businesses</w:t>
            </w: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589,138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527,921</w:t>
            </w:r>
          </w:p>
        </w:tc>
      </w:tr>
      <w:tr>
        <w:trPr>
          <w:trHeight w:val="25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Brokered deposits</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124,993</w:t>
            </w:r>
          </w:p>
        </w:tc>
      </w:tr>
      <w:tr>
        <w:trPr>
          <w:trHeight w:val="282"/>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single deposit relationship at March 31, 2023 related to a non-profit association that supports hospitals and health systems. The balances for this customer were $220.9 million, or approximately 7.56% of total deposits, as of that date. At December 31, 2022, our largest single deposit relationship related to a government agency and had balances of $180.0 million, or 6.47% of total deposits as of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maturity of time deposits as of March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60" w:type="dxa"/>
            <w:vAlign w:val="bottom"/>
          </w:tcPr>
          <w:p>
            <w:pPr>
              <w:spacing w:after="0"/>
              <w:rPr>
                <w:sz w:val="18"/>
                <w:szCs w:val="18"/>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Uninsured</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than $250,000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Portion</w:t>
            </w:r>
          </w:p>
        </w:tc>
        <w:tc>
          <w:tcPr>
            <w:tcW w:w="0" w:type="dxa"/>
            <w:vAlign w:val="bottom"/>
          </w:tcPr>
          <w:p>
            <w:pPr>
              <w:spacing w:after="0"/>
              <w:rPr>
                <w:sz w:val="1"/>
                <w:szCs w:val="1"/>
                <w:color w:val="auto"/>
              </w:rPr>
            </w:pPr>
          </w:p>
        </w:tc>
      </w:tr>
      <w:tr>
        <w:trPr>
          <w:trHeight w:val="25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maturity:</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273,315</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52,434</w:t>
            </w:r>
          </w:p>
        </w:tc>
        <w:tc>
          <w:tcPr>
            <w:tcW w:w="0" w:type="dxa"/>
            <w:vAlign w:val="bottom"/>
          </w:tcPr>
          <w:p>
            <w:pPr>
              <w:spacing w:after="0"/>
              <w:rPr>
                <w:sz w:val="1"/>
                <w:szCs w:val="1"/>
                <w:color w:val="auto"/>
              </w:rPr>
            </w:pP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twelve months</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0" w:type="dxa"/>
            <w:vAlign w:val="bottom"/>
          </w:tcPr>
          <w:p>
            <w:pPr>
              <w:spacing w:after="0"/>
              <w:rPr>
                <w:sz w:val="1"/>
                <w:szCs w:val="1"/>
                <w:color w:val="auto"/>
              </w:rPr>
            </w:pPr>
          </w:p>
        </w:tc>
      </w:tr>
      <w:tr>
        <w:trPr>
          <w:trHeight w:val="25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229,040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372,570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borrowings of $120.0 million outstanding as of March 31, 2023 and borrowings of $100.0 million outstanding as of December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March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(8.18% as of March 31, 2023) through maturity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equity totaled $260.7 million at March 31, 2023 and $252.8 million at December 31, 2022. The increase in shareholders’ equity was primarily attributable to net income recognized of $13.2 million and $1.5 million in other comprehensive income, partially offset by a decrease of $4.5 million to retained earnings, net of tax effect, relating to the adoption of ASC 326 on January 1, 2023 and $2.6 million in cash distributions paid during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and the securities being offered will be provided at the time of the offering. Proceeds from any future offerings are expected to be used for corporate purposes or other purposes to be disclosed at the time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March 31, 2023, management believes the above-mentioned sources will provide adequate liquidity during the next twelve months for the Bank to meet its operating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had cash outflows of $69.5 million in loan originations and advances, net of principal collected, and $24.0 million in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March 31, 2023, total off-balance sheet commitments totaled $335.1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 checking, time deposits, and non-interest-bearing demand deposits. Aside from commercial and business clients, a significant portion of our deposits are from municipalities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non-profit organizations. Cash flows from deposits are impacted by the timing and amount of customer deposits, changes in market rates, and collateral availability.</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had significant cash inflows related to an increase in deposits of $138.4 million, primarily as a result of an increase in the number of new relationships and fluctuations in existing accounts.</w:t>
      </w:r>
    </w:p>
    <w:p>
      <w:pPr>
        <w:spacing w:after="0" w:line="16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Over the next twelve months, approximately $337.5 million of time deposits are expected to mature. These deposits may not renew due to general competition.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March 31, 2023, cash and cash equivalents represented 11.91% of total deposits.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$118.7 million at March 31, 2023. Mortgage-backed securities and obligations of states and political subdivisions comprised 51.38% and 32.76%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$8.2 million from our securities over the next 12 months.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we had cash proceeds from sales, maturities, calls, and prepayments of securities of $2.9 million. Additionally, at March 31, 2023, securities available-for-sale totaled $115.1 million, of which $93.9 million have been pledged as collateral for borrowings and other commitments.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March 31, 2023, the Bank had outstanding borrowings of $120.0 million and a total financing availability of $278.1 million, net of letters of credit issued of $666.5 million.</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 and Correspondent Bank Lines of Credit</w:t>
      </w:r>
    </w:p>
    <w:p>
      <w:pPr>
        <w:spacing w:after="0" w:line="2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At March 31, 2023, unused and available amounts for borrowing from the Federal Reserve discount window and correspondent bank lines of credit were $76.7 million and $190.0 million, respectively.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52" w:lineRule="exact"/>
        <w:rPr>
          <w:sz w:val="20"/>
          <w:szCs w:val="20"/>
          <w:color w:val="auto"/>
        </w:rPr>
      </w:pPr>
    </w:p>
    <w:p>
      <w:pPr>
        <w:jc w:val="both"/>
        <w:ind w:left="20" w:right="20"/>
        <w:spacing w:after="0" w:line="270"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available borrowing capacity as set forth below) was approximately $892.7 million as of March 31, 2023</w:t>
      </w:r>
      <w:r>
        <w:rPr>
          <w:rFonts w:ascii="Arial" w:cs="Arial" w:eastAsia="Arial" w:hAnsi="Arial"/>
          <w:sz w:val="18"/>
          <w:szCs w:val="18"/>
          <w:color w:val="auto"/>
        </w:rPr>
        <w: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March 31, 2023</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1"/>
                <w:szCs w:val="21"/>
                <w:color w:val="auto"/>
              </w:rPr>
            </w:pP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Line of Credit</w:t>
            </w:r>
          </w:p>
        </w:tc>
        <w:tc>
          <w:tcPr>
            <w:tcW w:w="620" w:type="dxa"/>
            <w:vAlign w:val="bottom"/>
          </w:tcPr>
          <w:p>
            <w:pPr>
              <w:spacing w:after="0"/>
              <w:rPr>
                <w:sz w:val="21"/>
                <w:szCs w:val="21"/>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Borrowings</w:t>
            </w:r>
          </w:p>
        </w:tc>
        <w:tc>
          <w:tcPr>
            <w:tcW w:w="400" w:type="dxa"/>
            <w:vAlign w:val="bottom"/>
          </w:tcPr>
          <w:p>
            <w:pPr>
              <w:spacing w:after="0"/>
              <w:rPr>
                <w:sz w:val="21"/>
                <w:szCs w:val="21"/>
                <w:color w:val="auto"/>
              </w:rPr>
            </w:pPr>
          </w:p>
        </w:tc>
        <w:tc>
          <w:tcPr>
            <w:tcW w:w="17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Available</w:t>
            </w:r>
          </w:p>
        </w:tc>
      </w:tr>
      <w:tr>
        <w:trPr>
          <w:trHeight w:val="236"/>
        </w:trPr>
        <w:tc>
          <w:tcPr>
            <w:tcW w:w="20" w:type="dxa"/>
            <w:vAlign w:val="bottom"/>
          </w:tcPr>
          <w:p>
            <w:pPr>
              <w:spacing w:after="0"/>
              <w:rPr>
                <w:sz w:val="20"/>
                <w:szCs w:val="20"/>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398,145</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278,145</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Federal Reserve discount window</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76,665</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Correspondent bank lines of credit</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347,939</w:t>
            </w:r>
          </w:p>
        </w:tc>
      </w:tr>
      <w:tr>
        <w:trPr>
          <w:trHeight w:val="275"/>
        </w:trPr>
        <w:tc>
          <w:tcPr>
            <w:tcW w:w="20" w:type="dxa"/>
            <w:vAlign w:val="bottom"/>
          </w:tcPr>
          <w:p>
            <w:pPr>
              <w:spacing w:after="0"/>
              <w:rPr>
                <w:sz w:val="23"/>
                <w:szCs w:val="23"/>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892,749</w:t>
            </w: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2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Our estimated future contractual obligations as of March 31, 2023 include both current and long-term obligations. Under our operating leases, we have an operating lease liability of $5.4 million. We also have a current obligation of $331.8 million and a long-term obligation of $40.8 million related to time deposits, as discussed in Note 5, Interest-Bearing</w:t>
      </w:r>
    </w:p>
    <w:p>
      <w:pPr>
        <w:sectPr>
          <w:pgSz w:w="11900" w:h="16838" w:orient="portrait"/>
          <w:cols w:equalWidth="0" w:num="1">
            <w:col w:w="11260"/>
          </w:cols>
          <w:pgMar w:left="300" w:top="114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type w:val="continuous"/>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Deposits. We have net subordinated notes of $73.6 million, all of which are long-term obligations. We also had contractual obligations on unfunded loan commitments and standby letters of credit totaling $335.1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to its shareholders totaling $2.6 million during the three months ended March 31,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2023 at a rate of $0.20 per share, our average total dividend paid each quarter would be approximately $3.5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 activities: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2"/>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64,954</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(53,849)</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$2.8 million for the three months ended March 31, 2023 as compared to the three months ended March 31, 2022. Cash provided by operating activities is subject to variability period-over-period as a result of timing differences, including with respect to the collection of receivables and payments of interest expense, accounts payable, and bonuses.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$65.0 million for the three months ended March 31, 2023 as compared to the three months ended March 31, 2022, primarily due to decreased loan origination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by $53.8 million for the three months ended March 31, 2023 as compared to the three months ended March 31, 2022, primarily due to decreased deposit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as a bank holding company with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Bancorp's total consolidated assets were not in excess of $3.0 billion as of June 30, 2022, and so it has prepared and filed financial reports with the Federal Reserve as a small bank holding company. If the Company’s total consolidated assets remain in excess of $3.0 billion as of June 30, 2023, then starting in March 2024, the Company will cease filing financial reports with the Federal Reserve as though it were a small holding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March 31, 2023,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adequacy ratios as of March 31, 2023 and December 31, 2022 for Bancorp and the Bank are presented in the following tables. As of March 31, 2023 and December 31, 2022, Bancorp’s Tier 2 capital included subordinated debt, which was not included at the Bank level. Eligible amounts of subordinated debt included in Tier 2 capital will be phased out by 20% per year beginning five years before the maturity date of the notes.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ind w:left="26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w:t>
            </w:r>
          </w:p>
        </w:tc>
        <w:tc>
          <w:tcPr>
            <w:tcW w:w="23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Bancorp</w:t>
            </w:r>
          </w:p>
        </w:tc>
        <w:tc>
          <w:tcPr>
            <w:tcW w:w="2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Adequacy Purposes</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3"/>
                <w:szCs w:val="23"/>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242,780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273,662</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182,037</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273,662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273,662</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366,113</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235,065</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263,993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8"/>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263,993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263,993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91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71"/>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1"/>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5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the Bank</w:t>
            </w:r>
          </w:p>
        </w:tc>
        <w:tc>
          <w:tcPr>
            <w:tcW w:w="1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Adequacy Purposes</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7"/>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242,425</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303,031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1"/>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337,959</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136,396</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6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5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356,301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234,795</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176,072</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234,763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8"/>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8"/>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132,054</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190,745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122,652</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7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Regulatory Reform in Response to Recent Bank Failures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recent failures of Silicon Valley Bank (Santa Clara, California), Signature Bank (New York, New York), and First Republic Bank (San Francisco, California) in March and April of this year may lead to regulatory changes and initiatives that could impact the Company. For example, the FDIC has stated that it plans to impose a special deposit insurance assessment on banks in order to recover losses that the FDIC's Deposit Insurance Fund incurred to support uninsured depositors of these institutions. In addition, President Biden has encouraged the federal banking agencies to adopt various reforms, including the completion of an incentive compensation rule for bank executives pursuant to Section 956 of the Dodd-Frank Act, in response to these failures. On April 28, 2023, the Federal Reserve and the FDIC issued reports on the potential causes of failures of Silicon Valley Bank and Signature Bank, respectively. Among the changes discussed, the Federal Reserve and the FDIC highlighted potential changes needed to supervisory approaches for banks of all sizes as well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as to regulatory requirements. Currently, it is unclear what actions federal regulatory agencies will take as a result of these failures.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Term Funding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Reserve created the Bank Term Funding Program (the “BTFP”) in response to recent concerns over liquidity in the banking sector. This program provides funding to eligible depository institutions to help ensure that banks can meet the needs of all depositors. The BTFP offers one-year loans to banks pledging any collateral eligible for purchase by the Federal Reserve Banks in open market operations, such as U.S. Treasury securities, U.S. agency securities, and U.S. agency mortgage-backed securities. At March 31, 2023, the Company had not participated in the BTFP.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Business Lending Data Collection Rule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30, 2023, the Consumer Financial Protection Bureau finalized a rule under Section 1071 of the Dodd-Frank Act requiring lenders to collect and report data regarding small business lending activity. The Company is evaluating the impact of the new rule.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Annual</w:t>
            </w:r>
          </w:p>
        </w:tc>
        <w:tc>
          <w:tcPr>
            <w:tcW w:w="41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6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120" w:type="dxa"/>
            <w:vAlign w:val="bottom"/>
            <w:vMerge w:val="continue"/>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ended December 31, 2022</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Reserve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FRB</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Reserve Bank of San Francisco</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GNMA</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GSE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HTM</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Held-to-Maturity</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Five Star Bank</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ICS</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Insured Cash Sweep®</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4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6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organizations</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IPO</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1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Modifications to loans to borrowers experiencing</w:t>
            </w: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LM</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Deposit Account Registry Service®</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4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Current expected credit loss model for recognition of</w:t>
            </w:r>
          </w:p>
        </w:tc>
        <w:tc>
          <w:tcPr>
            <w:tcW w:w="164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losses under ASC 326</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NIM</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Margin</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ROAA</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ROAE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ROUA</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SBA</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FHLMC</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SOFR</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FNMA</w:t>
            </w: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TDR</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Troubled Debt Restructuring</w:t>
            </w:r>
          </w:p>
        </w:tc>
        <w:tc>
          <w:tcPr>
            <w:tcW w:w="0" w:type="dxa"/>
            <w:vAlign w:val="bottom"/>
          </w:tcPr>
          <w:p>
            <w:pPr>
              <w:spacing w:after="0"/>
              <w:rPr>
                <w:sz w:val="1"/>
                <w:szCs w:val="1"/>
                <w:color w:val="auto"/>
              </w:rPr>
            </w:pPr>
          </w:p>
        </w:tc>
      </w:tr>
      <w:tr>
        <w:trPr>
          <w:trHeight w:val="898"/>
        </w:trPr>
        <w:tc>
          <w:tcPr>
            <w:tcW w:w="1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58</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3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March 31, 2023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ASC 326. As a result, the Company made changes to and incorporated new policies, processes, and controls over the estimation of the allowance for credit losses. There were changes implemented to account for the additional complexity of the credit loss models, review of economic forecasts, and other assumptions used in the estimation process. These changes were not undertaken in response to any identified deficiency in the Company’s internal control over financial reporting. There have been no other changes in the Company’s internal control.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2022 Annual Report on Form 10-K, previously filed with the SEC, except for the addition of the following risk factor: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or the perceived risk of a failure, to raise the statutory debt limit of the United States could have an adverse effect on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inability of U.S. lawmakers to pass legislation to raise the U.S. government's debt limit of $31.4 trillion has increased the possibility of a default by the U.S. government on its debt obligations, which could have an adverse impact on financial markets, interest rates, and economic conditions in the United States and worldwide. The U.S. government reached its debt limit of $31.4 trillion in January 2023. Since then, the U.S. Department of Treasury has implemented extraordinary measures to prevent default.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unclear if Congress and the President will reach an agreement to increase the U.S. government's debt limit in a timely manner. The political stalemate over legislation to fund U.S. government operations and raise the U.S. government's debt limit may increase the possibility of a default by the U.S. government on its debt obligations and related credit-rating downgrades. This creates uncertainty in the U.S. financial markets and domestic political conditions, which could have an adverse impact on our business, financial condition, and results of operations. If the United States is unable to increase the U.S. government's debt limit in a timely manner, the U.S. government could shut down for a period of time and the United States could default or delay on payment of its obligations or both, which could have an adverse impact on financial markets and economic conditions in the United States and worldwide and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2"/>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490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40" w:type="dxa"/>
            <w:vAlign w:val="bottom"/>
            <w:tcBorders>
              <w:top w:val="single" w:sz="8" w:color="0000FF"/>
            </w:tcBorders>
          </w:tcPr>
          <w:p>
            <w:pPr>
              <w:spacing w:after="0"/>
              <w:rPr>
                <w:sz w:val="17"/>
                <w:szCs w:val="17"/>
                <w:color w:val="auto"/>
              </w:rPr>
            </w:pPr>
          </w:p>
        </w:tc>
        <w:tc>
          <w:tcPr>
            <w:tcW w:w="70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42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40" w:type="dxa"/>
            <w:vAlign w:val="bottom"/>
            <w:tcBorders>
              <w:top w:val="single" w:sz="8" w:color="0000FF"/>
            </w:tcBorders>
          </w:tcPr>
          <w:p>
            <w:pPr>
              <w:spacing w:after="0"/>
              <w:rPr>
                <w:sz w:val="17"/>
                <w:szCs w:val="17"/>
                <w:color w:val="auto"/>
              </w:rPr>
            </w:pPr>
          </w:p>
        </w:tc>
        <w:tc>
          <w:tcPr>
            <w:tcW w:w="70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w:t>
            </w:r>
          </w:p>
        </w:tc>
        <w:tc>
          <w:tcPr>
            <w:tcW w:w="400" w:type="dxa"/>
            <w:vAlign w:val="bottom"/>
            <w:gridSpan w:val="3"/>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7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w:t>
            </w:r>
          </w:p>
        </w:tc>
        <w:tc>
          <w:tcPr>
            <w:tcW w:w="460" w:type="dxa"/>
            <w:vAlign w:val="bottom"/>
            <w:gridSpan w:val="5"/>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by Section 906 of the Sarbanes-Oxley</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58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3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10, 2023</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10, 2023</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2"/>
        </w:trPr>
        <w:tc>
          <w:tcPr>
            <w:tcW w:w="3480" w:type="dxa"/>
            <w:vAlign w:val="bottom"/>
          </w:tcPr>
          <w:p>
            <w:pPr>
              <w:spacing w:after="0"/>
              <w:rPr>
                <w:sz w:val="24"/>
                <w:szCs w:val="24"/>
                <w:color w:val="auto"/>
              </w:rPr>
            </w:pPr>
          </w:p>
        </w:tc>
        <w:tc>
          <w:tcPr>
            <w:tcW w:w="1880" w:type="dxa"/>
            <w:vAlign w:val="bottom"/>
          </w:tcPr>
          <w:p>
            <w:pPr>
              <w:jc w:val="right"/>
              <w:ind w:right="1319"/>
              <w:spacing w:after="0"/>
              <w:rPr>
                <w:sz w:val="20"/>
                <w:szCs w:val="20"/>
                <w:color w:val="auto"/>
              </w:rPr>
            </w:pPr>
            <w:r>
              <w:rPr>
                <w:rFonts w:ascii="Times New Roman" w:cs="Times New Roman" w:eastAsia="Times New Roman" w:hAnsi="Times New Roman"/>
                <w:sz w:val="16"/>
                <w:szCs w:val="16"/>
                <w:color w:val="auto"/>
              </w:rPr>
              <w:t>62</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May 10, 2023</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May 10, 2023</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ectPr>
          <w:pgSz w:w="11900" w:h="16838" w:orient="portrait"/>
          <w:cols w:equalWidth="0" w:num="1">
            <w:col w:w="11240"/>
          </w:cols>
          <w:pgMar w:left="320" w:top="114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March 31, 2023,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May 10, 2023</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March 31, 2023, as filed with the Securities and Exchange Commission on the date hereof (the “Report”), I, Heather C. Luck, Senior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May 10, 2023</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2023-05-10T13:49:25Z</dcterms:created>
  <dcterms:modified xsi:type="dcterms:W3CDTF">2023-05-10T13:49:25Z</dcterms:modified>
</cp:coreProperties>
</file>